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方正黑体_GBK" w:hAnsi="方正黑体_GBK" w:eastAsia="方正黑体_GBK" w:cs="方正黑体_GBK"/>
          <w:sz w:val="33"/>
          <w:szCs w:val="33"/>
          <w:lang w:val="en" w:eastAsia="zh-CN"/>
        </w:rPr>
      </w:pPr>
      <w:r>
        <w:rPr>
          <w:rFonts w:hint="eastAsia" w:ascii="方正黑体_GBK" w:hAnsi="方正黑体_GBK" w:eastAsia="方正黑体_GBK" w:cs="方正黑体_GBK"/>
          <w:sz w:val="33"/>
          <w:szCs w:val="33"/>
          <w:lang w:val="en" w:eastAsia="zh-CN"/>
        </w:rPr>
        <w:t>附件</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800" w:firstLineChars="200"/>
        <w:textAlignment w:val="auto"/>
        <w:rPr>
          <w:rFonts w:hint="eastAsia" w:ascii="方正小标宋_GBK" w:hAnsi="方正小标宋_GBK" w:eastAsia="方正小标宋_GBK" w:cs="方正小标宋_GBK"/>
          <w:color w:val="000000"/>
          <w:kern w:val="2"/>
          <w:sz w:val="40"/>
          <w:szCs w:val="40"/>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90" w:lineRule="exact"/>
        <w:ind w:firstLine="800" w:firstLineChars="200"/>
        <w:textAlignment w:val="auto"/>
        <w:rPr>
          <w:rFonts w:hint="eastAsia" w:ascii="方正小标宋_GBK" w:hAnsi="方正小标宋_GBK" w:eastAsia="方正小标宋_GBK" w:cs="方正小标宋_GBK"/>
          <w:color w:val="000000"/>
          <w:kern w:val="2"/>
          <w:sz w:val="40"/>
          <w:szCs w:val="40"/>
          <w:lang w:val="en-US" w:eastAsia="zh-CN" w:bidi="ar-SA"/>
        </w:rPr>
      </w:pPr>
      <w:r>
        <w:rPr>
          <w:rFonts w:hint="eastAsia" w:ascii="方正小标宋_GBK" w:hAnsi="方正小标宋_GBK" w:eastAsia="方正小标宋_GBK" w:cs="方正小标宋_GBK"/>
          <w:color w:val="000000"/>
          <w:kern w:val="2"/>
          <w:sz w:val="40"/>
          <w:szCs w:val="40"/>
          <w:lang w:val="en-US" w:eastAsia="zh-CN" w:bidi="ar-SA"/>
        </w:rPr>
        <w:t xml:space="preserve">  </w:t>
      </w:r>
      <w:bookmarkStart w:id="0" w:name="_GoBack"/>
      <w:r>
        <w:rPr>
          <w:rFonts w:hint="eastAsia" w:ascii="方正小标宋_GBK" w:hAnsi="方正小标宋_GBK" w:eastAsia="方正小标宋_GBK" w:cs="方正小标宋_GBK"/>
          <w:color w:val="000000"/>
          <w:kern w:val="2"/>
          <w:sz w:val="40"/>
          <w:szCs w:val="40"/>
          <w:lang w:val="en-US" w:eastAsia="zh-CN" w:bidi="ar-SA"/>
        </w:rPr>
        <w:t xml:space="preserve"> 强直性脊柱炎等四种特殊疾病认定标准</w:t>
      </w:r>
      <w:bookmarkEnd w:id="0"/>
    </w:p>
    <w:p>
      <w:pPr>
        <w:pStyle w:val="3"/>
        <w:keepNext w:val="0"/>
        <w:keepLines w:val="0"/>
        <w:pageBreakBefore w:val="0"/>
        <w:widowControl w:val="0"/>
        <w:kinsoku/>
        <w:wordWrap/>
        <w:overflowPunct/>
        <w:topLinePunct w:val="0"/>
        <w:autoSpaceDE/>
        <w:autoSpaceDN/>
        <w:bidi w:val="0"/>
        <w:adjustRightInd/>
        <w:spacing w:line="59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一、强直性脊柱炎</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eastAsia" w:ascii="方正楷体_GBK" w:hAnsi="方正楷体_GBK" w:eastAsia="方正楷体_GBK" w:cs="方正楷体_GBK"/>
          <w:sz w:val="33"/>
          <w:szCs w:val="33"/>
          <w:lang w:val="en-US" w:eastAsia="zh-CN"/>
        </w:rPr>
      </w:pPr>
      <w:r>
        <w:rPr>
          <w:rFonts w:hint="eastAsia" w:ascii="方正楷体_GBK" w:hAnsi="方正楷体_GBK" w:eastAsia="方正楷体_GBK" w:cs="方正楷体_GBK"/>
          <w:sz w:val="33"/>
          <w:szCs w:val="33"/>
          <w:lang w:val="en-US" w:eastAsia="zh-CN"/>
        </w:rPr>
        <w:t>（一）认定标准</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临床标准，满足以下条件之一</w:t>
      </w:r>
      <w:r>
        <w:rPr>
          <w:rFonts w:hint="eastAsia" w:ascii="Times New Roman" w:hAnsi="Times New Roman" w:eastAsia="方正仿宋_GBK" w:cs="Times New Roman"/>
          <w:sz w:val="33"/>
          <w:szCs w:val="33"/>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腰痛、僵硬在3个月以上，活动改善，休息无改善</w:t>
      </w:r>
      <w:r>
        <w:rPr>
          <w:rFonts w:hint="eastAsia" w:ascii="Times New Roman" w:hAnsi="Times New Roman" w:eastAsia="方正仿宋_GBK" w:cs="Times New Roman"/>
          <w:sz w:val="33"/>
          <w:szCs w:val="33"/>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腰椎屈曲、侧弯活动受限</w:t>
      </w:r>
      <w:r>
        <w:rPr>
          <w:rFonts w:hint="eastAsia" w:ascii="Times New Roman" w:hAnsi="Times New Roman" w:eastAsia="方正仿宋_GBK" w:cs="Times New Roman"/>
          <w:sz w:val="33"/>
          <w:szCs w:val="33"/>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胸廓活动度低于相应年龄、性别的正常人群</w:t>
      </w:r>
      <w:r>
        <w:rPr>
          <w:rFonts w:hint="eastAsia" w:ascii="Times New Roman" w:hAnsi="Times New Roman" w:eastAsia="方正仿宋_GBK" w:cs="Times New Roman"/>
          <w:sz w:val="33"/>
          <w:szCs w:val="33"/>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放射学标准</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双侧骶髂关节炎≥2级或单侧骶髂关节炎≥3级。</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方正楷体_GBK" w:hAnsi="方正楷体_GBK" w:eastAsia="方正楷体_GBK" w:cs="方正楷体_GBK"/>
          <w:sz w:val="33"/>
          <w:szCs w:val="33"/>
          <w:lang w:val="en-US" w:eastAsia="zh-CN"/>
        </w:rPr>
      </w:pPr>
      <w:r>
        <w:rPr>
          <w:rFonts w:hint="eastAsia" w:ascii="方正楷体_GBK" w:hAnsi="方正楷体_GBK" w:eastAsia="方正楷体_GBK" w:cs="方正楷体_GBK"/>
          <w:sz w:val="33"/>
          <w:szCs w:val="33"/>
          <w:lang w:val="en-US" w:eastAsia="zh-CN"/>
        </w:rPr>
        <w:t>（二）</w:t>
      </w:r>
      <w:r>
        <w:rPr>
          <w:rFonts w:hint="default" w:ascii="方正楷体_GBK" w:hAnsi="方正楷体_GBK" w:eastAsia="方正楷体_GBK" w:cs="方正楷体_GBK"/>
          <w:sz w:val="33"/>
          <w:szCs w:val="33"/>
          <w:lang w:val="en-US" w:eastAsia="zh-CN"/>
        </w:rPr>
        <w:t>认定资料</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病情诊断证明书</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出院证明书或门诊诊断证明书</w:t>
      </w:r>
      <w:r>
        <w:rPr>
          <w:rFonts w:hint="eastAsia" w:ascii="Times New Roman" w:hAnsi="Times New Roman" w:eastAsia="方正仿宋_GBK" w:cs="Times New Roman"/>
          <w:sz w:val="33"/>
          <w:szCs w:val="33"/>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放射学检查</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X线或CT或MRI检查显示双侧骶髂关节呈II级及以上损害或单侧骶髂关节呈III级及以上损害。</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二、肺结核</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方正楷体_GBK" w:hAnsi="方正楷体_GBK" w:eastAsia="方正楷体_GBK" w:cs="方正楷体_GBK"/>
          <w:sz w:val="33"/>
          <w:szCs w:val="33"/>
          <w:lang w:val="en-US" w:eastAsia="zh-CN"/>
        </w:rPr>
      </w:pPr>
      <w:r>
        <w:rPr>
          <w:rFonts w:hint="eastAsia" w:ascii="方正楷体_GBK" w:hAnsi="方正楷体_GBK" w:eastAsia="方正楷体_GBK" w:cs="方正楷体_GBK"/>
          <w:sz w:val="33"/>
          <w:szCs w:val="33"/>
          <w:lang w:val="en-US" w:eastAsia="zh-CN"/>
        </w:rPr>
        <w:t>（</w:t>
      </w:r>
      <w:r>
        <w:rPr>
          <w:rFonts w:hint="default" w:ascii="方正楷体_GBK" w:hAnsi="方正楷体_GBK" w:eastAsia="方正楷体_GBK" w:cs="方正楷体_GBK"/>
          <w:sz w:val="33"/>
          <w:szCs w:val="33"/>
          <w:lang w:val="en-US" w:eastAsia="zh-CN"/>
        </w:rPr>
        <w:t>一</w:t>
      </w:r>
      <w:r>
        <w:rPr>
          <w:rFonts w:hint="eastAsia" w:ascii="方正楷体_GBK" w:hAnsi="方正楷体_GBK" w:eastAsia="方正楷体_GBK" w:cs="方正楷体_GBK"/>
          <w:sz w:val="33"/>
          <w:szCs w:val="33"/>
          <w:lang w:val="en-US" w:eastAsia="zh-CN"/>
        </w:rPr>
        <w:t>）</w:t>
      </w:r>
      <w:r>
        <w:rPr>
          <w:rFonts w:hint="default" w:ascii="方正楷体_GBK" w:hAnsi="方正楷体_GBK" w:eastAsia="方正楷体_GBK" w:cs="方正楷体_GBK"/>
          <w:sz w:val="33"/>
          <w:szCs w:val="33"/>
          <w:lang w:val="en-US" w:eastAsia="zh-CN"/>
        </w:rPr>
        <w:t>认定标准</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有结核病史或接触史及临床表现，满足以下条件之一</w:t>
      </w:r>
      <w:r>
        <w:rPr>
          <w:rFonts w:hint="eastAsia" w:ascii="Times New Roman" w:hAnsi="Times New Roman" w:eastAsia="方正仿宋_GBK" w:cs="Times New Roman"/>
          <w:kern w:val="2"/>
          <w:sz w:val="33"/>
          <w:szCs w:val="33"/>
          <w:lang w:val="en-US" w:eastAsia="zh-CN" w:bidi="ar-SA"/>
        </w:rPr>
        <w:t>：</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痰抗酸杆菌涂片或结核菌培养或分子生物学检查阳性,或肺部组织/胸膜病理检查符合结核</w:t>
      </w:r>
      <w:r>
        <w:rPr>
          <w:rFonts w:hint="eastAsia" w:ascii="Times New Roman" w:hAnsi="Times New Roman" w:eastAsia="方正仿宋_GBK" w:cs="Times New Roman"/>
          <w:sz w:val="33"/>
          <w:szCs w:val="33"/>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痰抗酸杆菌涂片或结核菌培养或分子生物学检查阴性,但胸部影像学检查发现异常且排除其他肺部疾病者需符合下列各项之一</w:t>
      </w: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临床有结核中毒症状或呼吸道症状</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低热、盗汗、消瘦、咳嗽、咳痰或咯血等</w:t>
      </w: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胸部影像学检查符合肺结核特点</w:t>
      </w: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结核菌素试验中度及以上或γ-干扰素释放试验阳性或结核抗体阳性</w:t>
      </w: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经抗结核诊断性治疗有效者</w:t>
      </w: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val="en-US" w:eastAsia="zh-CN"/>
        </w:rPr>
        <w:t>肺外组织病理检查结果为结核病变者</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支气管镜下符合结核病改变</w:t>
      </w: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lang w:val="en-US" w:eastAsia="zh-CN"/>
        </w:rPr>
        <w:t>胸水检查符合结核改变。</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方正楷体_GBK" w:hAnsi="方正楷体_GBK" w:eastAsia="方正楷体_GBK" w:cs="方正楷体_GBK"/>
          <w:sz w:val="33"/>
          <w:szCs w:val="33"/>
          <w:lang w:val="en-US" w:eastAsia="zh-CN"/>
        </w:rPr>
      </w:pPr>
      <w:r>
        <w:rPr>
          <w:rFonts w:hint="eastAsia" w:ascii="方正楷体_GBK" w:hAnsi="方正楷体_GBK" w:eastAsia="方正楷体_GBK" w:cs="方正楷体_GBK"/>
          <w:sz w:val="33"/>
          <w:szCs w:val="33"/>
          <w:lang w:val="en-US" w:eastAsia="zh-CN"/>
        </w:rPr>
        <w:t>（二）</w:t>
      </w:r>
      <w:r>
        <w:rPr>
          <w:rFonts w:hint="default" w:ascii="方正楷体_GBK" w:hAnsi="方正楷体_GBK" w:eastAsia="方正楷体_GBK" w:cs="方正楷体_GBK"/>
          <w:sz w:val="33"/>
          <w:szCs w:val="33"/>
          <w:lang w:val="en-US" w:eastAsia="zh-CN"/>
        </w:rPr>
        <w:t>认定资料</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1</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病情诊断证明书</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出院证明书或门诊诊断证明书</w:t>
      </w:r>
      <w:r>
        <w:rPr>
          <w:rFonts w:hint="eastAsia" w:ascii="Times New Roman" w:hAnsi="Times New Roman" w:eastAsia="方正仿宋_GBK" w:cs="Times New Roman"/>
          <w:b w:val="0"/>
          <w:bCs w:val="0"/>
          <w:color w:val="000000"/>
          <w:kern w:val="2"/>
          <w:sz w:val="33"/>
          <w:szCs w:val="33"/>
          <w:lang w:val="en-US" w:eastAsia="zh-CN" w:bidi="ar-SA"/>
        </w:rPr>
        <w:t>）；</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2</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痰液病原学报告</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抗酸染色或分子生物学或培养</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或胸部影像学报告或病理检查报告等。</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方正黑体_GBK" w:hAnsi="方正黑体_GBK" w:eastAsia="方正黑体_GBK" w:cs="方正黑体_GBK"/>
          <w:sz w:val="33"/>
          <w:szCs w:val="33"/>
          <w:lang w:val="en-US" w:eastAsia="zh-CN"/>
        </w:rPr>
      </w:pPr>
      <w:r>
        <w:rPr>
          <w:rFonts w:hint="default" w:ascii="方正黑体_GBK" w:hAnsi="方正黑体_GBK" w:eastAsia="方正黑体_GBK" w:cs="方正黑体_GBK"/>
          <w:sz w:val="33"/>
          <w:szCs w:val="33"/>
          <w:lang w:val="en-US" w:eastAsia="zh-CN"/>
        </w:rPr>
        <w:t>三、耐多药肺结核</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方正楷体_GBK" w:hAnsi="方正楷体_GBK" w:eastAsia="方正楷体_GBK" w:cs="方正楷体_GBK"/>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（一）</w:t>
      </w:r>
      <w:r>
        <w:rPr>
          <w:rFonts w:hint="default" w:ascii="方正楷体_GBK" w:hAnsi="方正楷体_GBK" w:eastAsia="方正楷体_GBK" w:cs="方正楷体_GBK"/>
          <w:kern w:val="2"/>
          <w:sz w:val="33"/>
          <w:szCs w:val="33"/>
          <w:lang w:val="en-US" w:eastAsia="zh-CN" w:bidi="ar-SA"/>
        </w:rPr>
        <w:t>认定标准</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eastAsia"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1</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肺结核确诊病史</w:t>
      </w:r>
      <w:r>
        <w:rPr>
          <w:rFonts w:hint="eastAsia" w:ascii="Times New Roman" w:hAnsi="Times New Roman" w:eastAsia="方正仿宋_GBK" w:cs="Times New Roman"/>
          <w:b w:val="0"/>
          <w:bCs w:val="0"/>
          <w:color w:val="000000"/>
          <w:kern w:val="2"/>
          <w:sz w:val="33"/>
          <w:szCs w:val="33"/>
          <w:lang w:val="en-US" w:eastAsia="zh-CN" w:bidi="ar-SA"/>
        </w:rPr>
        <w:t>；</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eastAsia" w:ascii="Times New Roman" w:hAnsi="Times New Roman" w:eastAsia="方正仿宋_GBK" w:cs="Times New Roman"/>
          <w:b w:val="0"/>
          <w:bCs w:val="0"/>
          <w:color w:val="000000"/>
          <w:kern w:val="2"/>
          <w:sz w:val="33"/>
          <w:szCs w:val="33"/>
          <w:lang w:val="en-US" w:eastAsia="zh-CN" w:bidi="ar-SA"/>
        </w:rPr>
        <w:t>2．</w:t>
      </w:r>
      <w:r>
        <w:rPr>
          <w:rFonts w:hint="default" w:ascii="Times New Roman" w:hAnsi="Times New Roman" w:eastAsia="方正仿宋_GBK" w:cs="Times New Roman"/>
          <w:b w:val="0"/>
          <w:bCs w:val="0"/>
          <w:color w:val="000000"/>
          <w:kern w:val="2"/>
          <w:sz w:val="33"/>
          <w:szCs w:val="33"/>
          <w:lang w:val="en-US" w:eastAsia="zh-CN" w:bidi="ar-SA"/>
        </w:rPr>
        <w:t>痰结核菌培养阳性且至少同时对异烟肼和利福平耐药</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或分子生物学检查阳性且至少同时对异烟肼和利福平耐药。</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以上条件需同时满足。</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方正楷体_GBK" w:hAnsi="方正楷体_GBK" w:eastAsia="方正楷体_GBK" w:cs="方正楷体_GBK"/>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w:t>
      </w:r>
      <w:r>
        <w:rPr>
          <w:rFonts w:hint="default" w:ascii="方正楷体_GBK" w:hAnsi="方正楷体_GBK" w:eastAsia="方正楷体_GBK" w:cs="方正楷体_GBK"/>
          <w:kern w:val="2"/>
          <w:sz w:val="33"/>
          <w:szCs w:val="33"/>
          <w:lang w:val="en-US" w:eastAsia="zh-CN" w:bidi="ar-SA"/>
        </w:rPr>
        <w:t>二</w:t>
      </w:r>
      <w:r>
        <w:rPr>
          <w:rFonts w:hint="eastAsia" w:ascii="方正楷体_GBK" w:hAnsi="方正楷体_GBK" w:eastAsia="方正楷体_GBK" w:cs="方正楷体_GBK"/>
          <w:kern w:val="2"/>
          <w:sz w:val="33"/>
          <w:szCs w:val="33"/>
          <w:lang w:val="en-US" w:eastAsia="zh-CN" w:bidi="ar-SA"/>
        </w:rPr>
        <w:t>）</w:t>
      </w:r>
      <w:r>
        <w:rPr>
          <w:rFonts w:hint="default" w:ascii="方正楷体_GBK" w:hAnsi="方正楷体_GBK" w:eastAsia="方正楷体_GBK" w:cs="方正楷体_GBK"/>
          <w:kern w:val="2"/>
          <w:sz w:val="33"/>
          <w:szCs w:val="33"/>
          <w:lang w:val="en-US" w:eastAsia="zh-CN" w:bidi="ar-SA"/>
        </w:rPr>
        <w:t>认定资料</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1</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病情诊断证明书</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出院证明书或门诊诊断证明书</w:t>
      </w:r>
      <w:r>
        <w:rPr>
          <w:rFonts w:hint="eastAsia" w:ascii="Times New Roman" w:hAnsi="Times New Roman" w:eastAsia="方正仿宋_GBK" w:cs="Times New Roman"/>
          <w:b w:val="0"/>
          <w:bCs w:val="0"/>
          <w:color w:val="000000"/>
          <w:kern w:val="2"/>
          <w:sz w:val="33"/>
          <w:szCs w:val="33"/>
          <w:lang w:val="en-US" w:eastAsia="zh-CN" w:bidi="ar-SA"/>
        </w:rPr>
        <w:t>）；</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2</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痰分枝杆菌培养检查及药敏检查报告单或结核分枝杆菌耐药基因检查报告单。</w:t>
      </w:r>
    </w:p>
    <w:p>
      <w:pPr>
        <w:pStyle w:val="2"/>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四、重度骨质疏松</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方正楷体_GBK" w:hAnsi="方正楷体_GBK" w:eastAsia="方正楷体_GBK" w:cs="方正楷体_GBK"/>
          <w:kern w:val="2"/>
          <w:sz w:val="33"/>
          <w:szCs w:val="33"/>
          <w:lang w:val="en-US" w:eastAsia="zh-CN" w:bidi="ar-SA"/>
        </w:rPr>
      </w:pPr>
      <w:r>
        <w:rPr>
          <w:rFonts w:hint="eastAsia" w:ascii="方正楷体_GBK" w:hAnsi="方正楷体_GBK" w:eastAsia="方正楷体_GBK" w:cs="方正楷体_GBK"/>
          <w:kern w:val="2"/>
          <w:sz w:val="33"/>
          <w:szCs w:val="33"/>
          <w:lang w:val="en-US" w:eastAsia="zh-CN" w:bidi="ar-SA"/>
        </w:rPr>
        <w:t>（一）</w:t>
      </w:r>
      <w:r>
        <w:rPr>
          <w:rFonts w:hint="default" w:ascii="方正楷体_GBK" w:hAnsi="方正楷体_GBK" w:eastAsia="方正楷体_GBK" w:cs="方正楷体_GBK"/>
          <w:kern w:val="2"/>
          <w:sz w:val="33"/>
          <w:szCs w:val="33"/>
          <w:lang w:val="en-US" w:eastAsia="zh-CN" w:bidi="ar-SA"/>
        </w:rPr>
        <w:t>认定标准</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诊断骨质疏松症的患者满足以下任意一条</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 xml:space="preserve"> </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1</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DXA测定的中轴骨骨密度</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腰椎或髋部</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或桡骨远端1/3骨密度的T-值≤-2.5且伴有脆性骨折</w:t>
      </w:r>
      <w:r>
        <w:rPr>
          <w:rFonts w:hint="eastAsia" w:ascii="Times New Roman" w:hAnsi="Times New Roman" w:eastAsia="方正仿宋_GBK" w:cs="Times New Roman"/>
          <w:b w:val="0"/>
          <w:bCs w:val="0"/>
          <w:color w:val="000000"/>
          <w:kern w:val="2"/>
          <w:sz w:val="33"/>
          <w:szCs w:val="33"/>
          <w:lang w:val="en-US" w:eastAsia="zh-CN" w:bidi="ar-SA"/>
        </w:rPr>
        <w:t>；</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2</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无脆性骨折，但DXA测定的腰椎、股骨颈、全髋或桡骨远端1/3骨密度的T-值≤-3.0</w:t>
      </w:r>
      <w:r>
        <w:rPr>
          <w:rFonts w:hint="eastAsia" w:ascii="Times New Roman" w:hAnsi="Times New Roman" w:eastAsia="方正仿宋_GBK" w:cs="Times New Roman"/>
          <w:b w:val="0"/>
          <w:bCs w:val="0"/>
          <w:color w:val="000000"/>
          <w:kern w:val="2"/>
          <w:sz w:val="33"/>
          <w:szCs w:val="33"/>
          <w:lang w:val="en-US" w:eastAsia="zh-CN" w:bidi="ar-SA"/>
        </w:rPr>
        <w:t>；</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3</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QCT腰椎骨密度≤80mg/cm3。</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方正楷体_GBK" w:hAnsi="方正楷体_GBK" w:eastAsia="方正楷体_GBK" w:cs="方正楷体_GBK"/>
          <w:kern w:val="2"/>
          <w:sz w:val="33"/>
          <w:szCs w:val="33"/>
          <w:lang w:val="en-US" w:eastAsia="zh-CN" w:bidi="ar-SA"/>
        </w:rPr>
      </w:pPr>
      <w:r>
        <w:rPr>
          <w:rFonts w:hint="eastAsia" w:ascii="Times New Roman" w:hAnsi="Times New Roman" w:eastAsia="方正仿宋_GBK" w:cs="Times New Roman"/>
          <w:b w:val="0"/>
          <w:bCs w:val="0"/>
          <w:color w:val="000000"/>
          <w:kern w:val="2"/>
          <w:sz w:val="33"/>
          <w:szCs w:val="33"/>
          <w:lang w:val="en-US" w:eastAsia="zh-CN" w:bidi="ar-SA"/>
        </w:rPr>
        <w:t>（二）</w:t>
      </w:r>
      <w:r>
        <w:rPr>
          <w:rFonts w:hint="default" w:ascii="方正楷体_GBK" w:hAnsi="方正楷体_GBK" w:eastAsia="方正楷体_GBK" w:cs="方正楷体_GBK"/>
          <w:kern w:val="2"/>
          <w:sz w:val="33"/>
          <w:szCs w:val="33"/>
          <w:lang w:val="en-US" w:eastAsia="zh-CN" w:bidi="ar-SA"/>
        </w:rPr>
        <w:t>认定资料</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1</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病情诊断证明书</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出院证明书或门诊诊断证明书</w:t>
      </w:r>
      <w:r>
        <w:rPr>
          <w:rFonts w:hint="eastAsia" w:ascii="Times New Roman" w:hAnsi="Times New Roman" w:eastAsia="方正仿宋_GBK" w:cs="Times New Roman"/>
          <w:b w:val="0"/>
          <w:bCs w:val="0"/>
          <w:color w:val="000000"/>
          <w:kern w:val="2"/>
          <w:sz w:val="33"/>
          <w:szCs w:val="33"/>
          <w:lang w:val="en-US" w:eastAsia="zh-CN" w:bidi="ar-SA"/>
        </w:rPr>
        <w:t>）；</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2</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骨密度检查报告</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DXA报告或QCT报告</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和</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或</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骨折部位影像学检查报告</w:t>
      </w:r>
      <w:r>
        <w:rPr>
          <w:rFonts w:hint="eastAsia" w:ascii="Times New Roman" w:hAnsi="Times New Roman" w:eastAsia="方正仿宋_GBK" w:cs="Times New Roman"/>
          <w:b w:val="0"/>
          <w:bCs w:val="0"/>
          <w:color w:val="000000"/>
          <w:kern w:val="2"/>
          <w:sz w:val="33"/>
          <w:szCs w:val="33"/>
          <w:lang w:val="en-US" w:eastAsia="zh-CN" w:bidi="ar-SA"/>
        </w:rPr>
        <w:t>；</w:t>
      </w:r>
    </w:p>
    <w:p>
      <w:pPr>
        <w:pStyle w:val="3"/>
        <w:keepNext w:val="0"/>
        <w:keepLines w:val="0"/>
        <w:pageBreakBefore w:val="0"/>
        <w:widowControl w:val="0"/>
        <w:kinsoku/>
        <w:wordWrap/>
        <w:overflowPunct/>
        <w:topLinePunct w:val="0"/>
        <w:autoSpaceDE/>
        <w:autoSpaceDN/>
        <w:bidi w:val="0"/>
        <w:adjustRightInd/>
        <w:spacing w:line="590" w:lineRule="exact"/>
        <w:ind w:left="0" w:leftChars="0" w:firstLine="660" w:firstLineChars="200"/>
        <w:textAlignment w:val="auto"/>
        <w:rPr>
          <w:rFonts w:hint="default" w:ascii="Times New Roman" w:hAnsi="Times New Roman" w:eastAsia="方正仿宋_GBK" w:cs="Times New Roman"/>
          <w:b w:val="0"/>
          <w:bCs w:val="0"/>
          <w:color w:val="000000"/>
          <w:kern w:val="2"/>
          <w:sz w:val="33"/>
          <w:szCs w:val="33"/>
          <w:lang w:val="en-US" w:eastAsia="zh-CN" w:bidi="ar-SA"/>
        </w:rPr>
      </w:pPr>
      <w:r>
        <w:rPr>
          <w:rFonts w:hint="default" w:ascii="Times New Roman" w:hAnsi="Times New Roman" w:eastAsia="方正仿宋_GBK" w:cs="Times New Roman"/>
          <w:b w:val="0"/>
          <w:bCs w:val="0"/>
          <w:color w:val="000000"/>
          <w:kern w:val="2"/>
          <w:sz w:val="33"/>
          <w:szCs w:val="33"/>
          <w:lang w:val="en-US" w:eastAsia="zh-CN" w:bidi="ar-SA"/>
        </w:rPr>
        <w:t>3</w:t>
      </w:r>
      <w:r>
        <w:rPr>
          <w:rFonts w:hint="eastAsia"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kern w:val="2"/>
          <w:sz w:val="33"/>
          <w:szCs w:val="33"/>
          <w:lang w:val="en-US" w:eastAsia="zh-CN" w:bidi="ar-SA"/>
        </w:rPr>
        <w:t>脆性骨折患者需要病史资料。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BC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First Indent 2"/>
    <w:basedOn w:val="4"/>
    <w:qFormat/>
    <w:uiPriority w:val="0"/>
    <w:pPr>
      <w:ind w:firstLine="420" w:firstLineChars="200"/>
    </w:pPr>
  </w:style>
  <w:style w:type="paragraph" w:styleId="4">
    <w:name w:val="Body Text Indent"/>
    <w:basedOn w:val="1"/>
    <w:uiPriority w:val="0"/>
    <w:pPr>
      <w:widowControl/>
      <w:spacing w:line="640" w:lineRule="exact"/>
      <w:ind w:firstLine="645"/>
      <w:jc w:val="left"/>
    </w:pPr>
    <w:rPr>
      <w:rFonts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2022-08-16T08:30:40Z</dcterms:created>
  <dc:creator>Administrator</dc:creator>
  <cp:lastModifiedBy>Administrator</cp:lastModifiedBy>
  <dcterms:modified xsi:type="dcterms:W3CDTF">2022-08-16T08:30:47Z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