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FAA9E0">
      <w:pPr>
        <w:pStyle w:val="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90" w:lineRule="exact"/>
        <w:jc w:val="both"/>
        <w:textAlignment w:val="auto"/>
        <w:rPr>
          <w:rFonts w:hint="eastAsia" w:ascii="Times New Roman" w:hAnsi="Times New Roman" w:eastAsia="方正仿宋_GBK" w:cs="Times New Roman"/>
          <w:i w:val="0"/>
          <w:caps w:val="0"/>
          <w:color w:val="auto"/>
          <w:spacing w:val="0"/>
          <w:sz w:val="33"/>
          <w:szCs w:val="33"/>
          <w:highlight w:val="none"/>
          <w:u w:val="none"/>
          <w:shd w:val="clear" w:color="auto" w:fill="FFFFFF"/>
          <w:lang w:val="en-US" w:eastAsia="zh-CN"/>
        </w:rPr>
      </w:pPr>
      <w:r>
        <w:rPr>
          <w:rFonts w:hint="eastAsia" w:ascii="Times New Roman" w:hAnsi="Times New Roman" w:eastAsia="方正黑体_GBK" w:cs="方正黑体_GBK"/>
          <w:i w:val="0"/>
          <w:caps w:val="0"/>
          <w:color w:val="auto"/>
          <w:spacing w:val="0"/>
          <w:sz w:val="33"/>
          <w:szCs w:val="33"/>
          <w:highlight w:val="none"/>
          <w:u w:val="none"/>
          <w:shd w:val="clear" w:color="auto" w:fill="FFFFFF"/>
          <w:lang w:val="en-US" w:eastAsia="zh-CN"/>
        </w:rPr>
        <w:t>附件</w:t>
      </w:r>
    </w:p>
    <w:p w14:paraId="0537B615">
      <w:pPr>
        <w:pStyle w:val="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120" w:afterAutospacing="0" w:line="660" w:lineRule="exact"/>
        <w:jc w:val="center"/>
        <w:textAlignment w:val="auto"/>
        <w:rPr>
          <w:rFonts w:hint="eastAsia" w:ascii="Times New Roman" w:hAnsi="Times New Roman" w:eastAsia="方正小标宋_GBK" w:cs="方正小标宋_GBK"/>
          <w:b/>
          <w:bCs/>
          <w:i w:val="0"/>
          <w:caps w:val="0"/>
          <w:color w:val="auto"/>
          <w:spacing w:val="0"/>
          <w:sz w:val="44"/>
          <w:szCs w:val="44"/>
          <w:highlight w:val="none"/>
          <w:u w:val="none"/>
          <w:shd w:val="clear" w:color="auto" w:fill="FFFFFF"/>
          <w:lang w:val="en-US" w:eastAsia="zh-CN"/>
        </w:rPr>
      </w:pPr>
      <w:r>
        <w:rPr>
          <w:rFonts w:hint="eastAsia" w:ascii="Times New Roman" w:hAnsi="Times New Roman" w:eastAsia="方正小标宋_GBK" w:cs="方正小标宋_GBK"/>
          <w:b/>
          <w:bCs/>
          <w:i w:val="0"/>
          <w:caps w:val="0"/>
          <w:color w:val="auto"/>
          <w:spacing w:val="0"/>
          <w:sz w:val="44"/>
          <w:szCs w:val="44"/>
          <w:highlight w:val="none"/>
          <w:u w:val="none"/>
          <w:shd w:val="clear" w:color="auto" w:fill="FFFFFF"/>
          <w:lang w:val="en-US" w:eastAsia="zh-CN"/>
        </w:rPr>
        <w:t>邻水县推动公立医院高质量发展工作清单</w:t>
      </w:r>
    </w:p>
    <w:tbl>
      <w:tblPr>
        <w:tblStyle w:val="6"/>
        <w:tblW w:w="141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
        <w:gridCol w:w="1429"/>
        <w:gridCol w:w="8010"/>
        <w:gridCol w:w="2280"/>
        <w:gridCol w:w="1384"/>
      </w:tblGrid>
      <w:tr w14:paraId="00C31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blHeader/>
          <w:jc w:val="center"/>
        </w:trPr>
        <w:tc>
          <w:tcPr>
            <w:tcW w:w="1008" w:type="dxa"/>
            <w:noWrap w:val="0"/>
            <w:vAlign w:val="center"/>
          </w:tcPr>
          <w:p w14:paraId="10EA9D1E">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jc w:val="center"/>
              <w:textAlignment w:val="auto"/>
              <w:rPr>
                <w:rFonts w:hint="eastAsia" w:ascii="Times New Roman" w:hAnsi="Times New Roman" w:eastAsia="方正黑体_GBK" w:cs="方正黑体_GBK"/>
                <w:b w:val="0"/>
                <w:bCs w:val="0"/>
                <w:color w:val="auto"/>
                <w:sz w:val="24"/>
                <w:szCs w:val="24"/>
                <w:u w:val="none"/>
                <w:lang w:val="en-US" w:eastAsia="zh-CN"/>
              </w:rPr>
            </w:pPr>
            <w:r>
              <w:rPr>
                <w:rFonts w:hint="eastAsia" w:ascii="Times New Roman" w:hAnsi="Times New Roman" w:eastAsia="方正黑体_GBK" w:cs="方正黑体_GBK"/>
                <w:b w:val="0"/>
                <w:bCs w:val="0"/>
                <w:color w:val="auto"/>
                <w:sz w:val="24"/>
                <w:szCs w:val="24"/>
                <w:u w:val="none"/>
                <w:lang w:val="en-US" w:eastAsia="zh-CN"/>
              </w:rPr>
              <w:t>序号</w:t>
            </w:r>
          </w:p>
        </w:tc>
        <w:tc>
          <w:tcPr>
            <w:tcW w:w="1429" w:type="dxa"/>
            <w:noWrap w:val="0"/>
            <w:vAlign w:val="center"/>
          </w:tcPr>
          <w:p w14:paraId="3B48D0DC">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jc w:val="center"/>
              <w:textAlignment w:val="auto"/>
              <w:rPr>
                <w:rFonts w:hint="eastAsia" w:ascii="Times New Roman" w:hAnsi="Times New Roman" w:eastAsia="方正黑体_GBK" w:cs="方正黑体_GBK"/>
                <w:b w:val="0"/>
                <w:bCs w:val="0"/>
                <w:color w:val="auto"/>
                <w:sz w:val="24"/>
                <w:szCs w:val="24"/>
                <w:u w:val="none"/>
                <w:lang w:val="en-US" w:eastAsia="zh-CN"/>
              </w:rPr>
            </w:pPr>
            <w:r>
              <w:rPr>
                <w:rFonts w:hint="eastAsia" w:ascii="Times New Roman" w:hAnsi="Times New Roman" w:eastAsia="方正黑体_GBK" w:cs="方正黑体_GBK"/>
                <w:b w:val="0"/>
                <w:bCs w:val="0"/>
                <w:color w:val="auto"/>
                <w:sz w:val="24"/>
                <w:szCs w:val="24"/>
                <w:u w:val="none"/>
                <w:lang w:val="en-US" w:eastAsia="zh-CN"/>
              </w:rPr>
              <w:t>工作任务</w:t>
            </w:r>
          </w:p>
        </w:tc>
        <w:tc>
          <w:tcPr>
            <w:tcW w:w="8010" w:type="dxa"/>
            <w:noWrap w:val="0"/>
            <w:vAlign w:val="center"/>
          </w:tcPr>
          <w:p w14:paraId="1C103B62">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jc w:val="center"/>
              <w:textAlignment w:val="auto"/>
              <w:rPr>
                <w:rFonts w:hint="eastAsia" w:ascii="Times New Roman" w:hAnsi="Times New Roman" w:eastAsia="方正黑体_GBK" w:cs="方正黑体_GBK"/>
                <w:b w:val="0"/>
                <w:bCs w:val="0"/>
                <w:i w:val="0"/>
                <w:caps w:val="0"/>
                <w:color w:val="auto"/>
                <w:spacing w:val="0"/>
                <w:sz w:val="24"/>
                <w:szCs w:val="24"/>
                <w:highlight w:val="none"/>
                <w:u w:val="none"/>
                <w:shd w:val="clear" w:color="auto" w:fill="FFFFFF"/>
                <w:vertAlign w:val="baseline"/>
                <w:lang w:val="en-US" w:eastAsia="zh-CN"/>
              </w:rPr>
            </w:pPr>
            <w:r>
              <w:rPr>
                <w:rFonts w:hint="eastAsia" w:ascii="Times New Roman" w:hAnsi="Times New Roman" w:eastAsia="方正黑体_GBK" w:cs="方正黑体_GBK"/>
                <w:b w:val="0"/>
                <w:bCs w:val="0"/>
                <w:color w:val="auto"/>
                <w:sz w:val="24"/>
                <w:szCs w:val="24"/>
                <w:u w:val="none"/>
              </w:rPr>
              <w:t>具体措施</w:t>
            </w:r>
          </w:p>
        </w:tc>
        <w:tc>
          <w:tcPr>
            <w:tcW w:w="2280" w:type="dxa"/>
            <w:noWrap w:val="0"/>
            <w:vAlign w:val="center"/>
          </w:tcPr>
          <w:p w14:paraId="0FBDE786">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jc w:val="center"/>
              <w:textAlignment w:val="auto"/>
              <w:rPr>
                <w:rFonts w:hint="eastAsia" w:ascii="Times New Roman" w:hAnsi="Times New Roman" w:eastAsia="方正黑体_GBK" w:cs="方正黑体_GBK"/>
                <w:b w:val="0"/>
                <w:bCs w:val="0"/>
                <w:i w:val="0"/>
                <w:caps w:val="0"/>
                <w:color w:val="auto"/>
                <w:spacing w:val="0"/>
                <w:sz w:val="24"/>
                <w:szCs w:val="24"/>
                <w:highlight w:val="none"/>
                <w:u w:val="none"/>
                <w:shd w:val="clear" w:color="auto" w:fill="FFFFFF"/>
                <w:vertAlign w:val="baseline"/>
                <w:lang w:val="en-US" w:eastAsia="zh-CN"/>
              </w:rPr>
            </w:pPr>
            <w:r>
              <w:rPr>
                <w:rFonts w:hint="eastAsia" w:ascii="Times New Roman" w:hAnsi="Times New Roman" w:eastAsia="方正黑体_GBK" w:cs="方正黑体_GBK"/>
                <w:b w:val="0"/>
                <w:bCs w:val="0"/>
                <w:color w:val="auto"/>
                <w:sz w:val="24"/>
                <w:szCs w:val="24"/>
                <w:u w:val="none"/>
              </w:rPr>
              <w:t>责任单位</w:t>
            </w:r>
          </w:p>
        </w:tc>
        <w:tc>
          <w:tcPr>
            <w:tcW w:w="1384" w:type="dxa"/>
            <w:noWrap w:val="0"/>
            <w:vAlign w:val="center"/>
          </w:tcPr>
          <w:p w14:paraId="297D0D23">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jc w:val="center"/>
              <w:textAlignment w:val="auto"/>
              <w:rPr>
                <w:rFonts w:hint="eastAsia" w:ascii="Times New Roman" w:hAnsi="Times New Roman" w:eastAsia="方正黑体_GBK" w:cs="方正黑体_GBK"/>
                <w:b w:val="0"/>
                <w:bCs w:val="0"/>
                <w:i w:val="0"/>
                <w:caps w:val="0"/>
                <w:color w:val="auto"/>
                <w:spacing w:val="0"/>
                <w:sz w:val="24"/>
                <w:szCs w:val="24"/>
                <w:highlight w:val="none"/>
                <w:u w:val="none"/>
                <w:shd w:val="clear" w:color="auto" w:fill="FFFFFF"/>
                <w:vertAlign w:val="baseline"/>
                <w:lang w:val="en-US" w:eastAsia="zh-CN"/>
              </w:rPr>
            </w:pPr>
            <w:r>
              <w:rPr>
                <w:rFonts w:hint="eastAsia" w:ascii="Times New Roman" w:hAnsi="Times New Roman" w:eastAsia="方正黑体_GBK" w:cs="方正黑体_GBK"/>
                <w:b w:val="0"/>
                <w:bCs w:val="0"/>
                <w:color w:val="auto"/>
                <w:sz w:val="24"/>
                <w:szCs w:val="24"/>
                <w:u w:val="none"/>
              </w:rPr>
              <w:t>完成时限</w:t>
            </w:r>
          </w:p>
        </w:tc>
      </w:tr>
      <w:tr w14:paraId="38BBE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jc w:val="center"/>
        </w:trPr>
        <w:tc>
          <w:tcPr>
            <w:tcW w:w="1008" w:type="dxa"/>
            <w:noWrap w:val="0"/>
            <w:vAlign w:val="center"/>
          </w:tcPr>
          <w:p w14:paraId="35C5F2E9">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pP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t>1</w:t>
            </w:r>
          </w:p>
        </w:tc>
        <w:tc>
          <w:tcPr>
            <w:tcW w:w="1429" w:type="dxa"/>
            <w:noWrap w:val="0"/>
            <w:vAlign w:val="center"/>
          </w:tcPr>
          <w:p w14:paraId="0A4BD990">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pP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t>合理布局优质医疗资源</w:t>
            </w:r>
          </w:p>
        </w:tc>
        <w:tc>
          <w:tcPr>
            <w:tcW w:w="8010" w:type="dxa"/>
            <w:noWrap w:val="0"/>
            <w:vAlign w:val="center"/>
          </w:tcPr>
          <w:p w14:paraId="3B0633DE">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jc w:val="both"/>
              <w:textAlignment w:val="auto"/>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pP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t>科学规划公立医院功能布局，加大政策、人才、资金等方面支持力度，促进优质医疗资源扩容和区域均衡布局。到2025年底前，力争将县人民医院、县中医医院创建为三级甲等医院。推动县级医院综合服务能力提升，深入实施“千县工程”县人民医院能力建设项目，补齐县级医院医疗服务和管理能力短板，充分发挥县级医院的城乡纽带作用和县域龙头作用。</w:t>
            </w:r>
          </w:p>
        </w:tc>
        <w:tc>
          <w:tcPr>
            <w:tcW w:w="2280" w:type="dxa"/>
            <w:noWrap w:val="0"/>
            <w:vAlign w:val="center"/>
          </w:tcPr>
          <w:p w14:paraId="5D4424F3">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pP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t>县卫生健康局、县发展改革局、县财政局、县人力资源社会保障局</w:t>
            </w:r>
          </w:p>
        </w:tc>
        <w:tc>
          <w:tcPr>
            <w:tcW w:w="1384" w:type="dxa"/>
            <w:noWrap w:val="0"/>
            <w:vAlign w:val="center"/>
          </w:tcPr>
          <w:p w14:paraId="7BC4E5DF">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pP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t>2025年底</w:t>
            </w:r>
          </w:p>
        </w:tc>
      </w:tr>
      <w:tr w14:paraId="30318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8" w:hRule="atLeast"/>
          <w:jc w:val="center"/>
        </w:trPr>
        <w:tc>
          <w:tcPr>
            <w:tcW w:w="1008" w:type="dxa"/>
            <w:noWrap w:val="0"/>
            <w:vAlign w:val="center"/>
          </w:tcPr>
          <w:p w14:paraId="5688E71F">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pP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t>2</w:t>
            </w:r>
          </w:p>
        </w:tc>
        <w:tc>
          <w:tcPr>
            <w:tcW w:w="1429" w:type="dxa"/>
            <w:noWrap w:val="0"/>
            <w:vAlign w:val="center"/>
          </w:tcPr>
          <w:p w14:paraId="146CAE17">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pP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t>建设区域高水平医院</w:t>
            </w:r>
          </w:p>
        </w:tc>
        <w:tc>
          <w:tcPr>
            <w:tcW w:w="8010" w:type="dxa"/>
            <w:noWrap w:val="0"/>
            <w:vAlign w:val="center"/>
          </w:tcPr>
          <w:p w14:paraId="161436C0">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jc w:val="both"/>
              <w:textAlignment w:val="auto"/>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pP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t>抢抓成渝地区双城经济圈建设重大战略机遇，加强与川渝地区高水平医院合作，紧紧围绕县域内群众需求大、死亡率高、外转率高的疾病，通过引进先进技术和人才，组建专科联盟、远程协作网等，将县人民医院、县中医医院、县妇幼保健院、县精神病医院、县第二人民医院建设成为医疗技术精湛、医疗质量过硬、医疗服务高效、医院管理精细、满意度较高的公立</w:t>
            </w:r>
            <w:r>
              <w:rPr>
                <w:rFonts w:hint="eastAsia"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t>医疗机构</w:t>
            </w: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t>。立足县级医院功能定位，深化县人民医院与重庆医科大学附属第二医院合作、县中医医院与重庆大学附属肿瘤医院合作。按照“提能力、增功能、补短板”要求，实施县级医院提标扩能工程，支持县级医院开展创等达标行动，不断提升医疗服务能力水平。</w:t>
            </w:r>
          </w:p>
        </w:tc>
        <w:tc>
          <w:tcPr>
            <w:tcW w:w="2280" w:type="dxa"/>
            <w:noWrap w:val="0"/>
            <w:vAlign w:val="center"/>
          </w:tcPr>
          <w:p w14:paraId="2D30A278">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pP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t>县卫生健康局、县发展改革局、县财政局、县自然资源规划局</w:t>
            </w:r>
          </w:p>
        </w:tc>
        <w:tc>
          <w:tcPr>
            <w:tcW w:w="1384" w:type="dxa"/>
            <w:noWrap w:val="0"/>
            <w:vAlign w:val="center"/>
          </w:tcPr>
          <w:p w14:paraId="103B7542">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pP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t>持续推进</w:t>
            </w:r>
          </w:p>
        </w:tc>
      </w:tr>
      <w:tr w14:paraId="1E9FD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1" w:hRule="atLeast"/>
          <w:jc w:val="center"/>
        </w:trPr>
        <w:tc>
          <w:tcPr>
            <w:tcW w:w="1008" w:type="dxa"/>
            <w:noWrap w:val="0"/>
            <w:vAlign w:val="center"/>
          </w:tcPr>
          <w:p w14:paraId="0DFE7FEC">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pP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t>3</w:t>
            </w:r>
          </w:p>
        </w:tc>
        <w:tc>
          <w:tcPr>
            <w:tcW w:w="1429" w:type="dxa"/>
            <w:noWrap w:val="0"/>
            <w:vAlign w:val="center"/>
          </w:tcPr>
          <w:p w14:paraId="0DD8447D">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pP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t>推进县域医共体建设</w:t>
            </w:r>
          </w:p>
        </w:tc>
        <w:tc>
          <w:tcPr>
            <w:tcW w:w="8010" w:type="dxa"/>
            <w:noWrap w:val="0"/>
            <w:vAlign w:val="center"/>
          </w:tcPr>
          <w:p w14:paraId="513728A6">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jc w:val="both"/>
              <w:textAlignment w:val="auto"/>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pP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t>按照县镇融合、镇村一体化发展原则，积极借鉴其他市州、区县紧密型县域医共体建设经验，启动实施邻水县紧密型县域医共体建设试点，推动县域内医疗资源共享，逐步实现六个共同体建设，完成“八统一”任务。全力推进九龙、柑子、兴仁3个县域医疗卫生次中心建设，逐步达到二级综合医院水平，与县级医院形成协同错位发展格局，逐步形成“基层首诊、双向转诊、急慢分治、上下联动”的分级诊疗模式。</w:t>
            </w:r>
          </w:p>
        </w:tc>
        <w:tc>
          <w:tcPr>
            <w:tcW w:w="2280" w:type="dxa"/>
            <w:noWrap w:val="0"/>
            <w:vAlign w:val="center"/>
          </w:tcPr>
          <w:p w14:paraId="7676E76B">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pP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t>县卫生健康局、县财政局、县委编办、县人力资源社会保障局、县医</w:t>
            </w:r>
          </w:p>
          <w:p w14:paraId="26FEEB69">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pP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t>保局</w:t>
            </w:r>
          </w:p>
        </w:tc>
        <w:tc>
          <w:tcPr>
            <w:tcW w:w="1384" w:type="dxa"/>
            <w:noWrap w:val="0"/>
            <w:vAlign w:val="center"/>
          </w:tcPr>
          <w:p w14:paraId="4491AFE4">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pP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t>2025年底</w:t>
            </w:r>
          </w:p>
        </w:tc>
      </w:tr>
      <w:tr w14:paraId="3549E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jc w:val="center"/>
        </w:trPr>
        <w:tc>
          <w:tcPr>
            <w:tcW w:w="1008" w:type="dxa"/>
            <w:noWrap w:val="0"/>
            <w:vAlign w:val="center"/>
          </w:tcPr>
          <w:p w14:paraId="1A72275D">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pP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t>4</w:t>
            </w:r>
          </w:p>
        </w:tc>
        <w:tc>
          <w:tcPr>
            <w:tcW w:w="1429" w:type="dxa"/>
            <w:noWrap w:val="0"/>
            <w:vAlign w:val="center"/>
          </w:tcPr>
          <w:p w14:paraId="7CCFF82E">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pP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t>健全重大疫情防控救治体系</w:t>
            </w:r>
          </w:p>
        </w:tc>
        <w:tc>
          <w:tcPr>
            <w:tcW w:w="8010" w:type="dxa"/>
            <w:noWrap w:val="0"/>
            <w:vAlign w:val="center"/>
          </w:tcPr>
          <w:p w14:paraId="4E384E23">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jc w:val="both"/>
              <w:textAlignment w:val="auto"/>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pP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t>加强感染性疾病科和相对独立的传染病区建设，二级以上综合医院设置感染性疾病科比例达100%。提升全县重大疫情防控救治能力，加快推进县人民医院传染病区基础设施建设和设备改造升级。创新医防协同机制，加强公立医院公共卫生科室标准化建设，健全公共卫生医师制度。建立健全中医药全程介入重大疫情防控救治运行机制，打造高水平中医疫病防治队伍。加强院感专职队伍建设，提高重大疫情院感防控能力，县人民医院、县中医医院设置1名首席院感专家，享受副院长级待遇。</w:t>
            </w:r>
          </w:p>
        </w:tc>
        <w:tc>
          <w:tcPr>
            <w:tcW w:w="2280" w:type="dxa"/>
            <w:noWrap w:val="0"/>
            <w:vAlign w:val="center"/>
          </w:tcPr>
          <w:p w14:paraId="4FECF447">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pP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t>县卫生健康局、县发展改革局、县自然资源规划局、县财政局、县人力资源社会保障局、县应急局，各镇人民政府</w:t>
            </w:r>
          </w:p>
        </w:tc>
        <w:tc>
          <w:tcPr>
            <w:tcW w:w="1384" w:type="dxa"/>
            <w:noWrap w:val="0"/>
            <w:vAlign w:val="center"/>
          </w:tcPr>
          <w:p w14:paraId="0B8E68E0">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pP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t>2025年底</w:t>
            </w:r>
          </w:p>
          <w:p w14:paraId="464DEEAD">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pPr>
          </w:p>
        </w:tc>
      </w:tr>
      <w:tr w14:paraId="4B686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4" w:hRule="atLeast"/>
          <w:jc w:val="center"/>
        </w:trPr>
        <w:tc>
          <w:tcPr>
            <w:tcW w:w="1008" w:type="dxa"/>
            <w:noWrap w:val="0"/>
            <w:vAlign w:val="center"/>
          </w:tcPr>
          <w:p w14:paraId="2C8A855D">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pP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t>5</w:t>
            </w:r>
          </w:p>
        </w:tc>
        <w:tc>
          <w:tcPr>
            <w:tcW w:w="1429" w:type="dxa"/>
            <w:noWrap w:val="0"/>
            <w:vAlign w:val="center"/>
          </w:tcPr>
          <w:p w14:paraId="19AE3DF3">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pP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t>推动临床重点专科群建设</w:t>
            </w:r>
          </w:p>
        </w:tc>
        <w:tc>
          <w:tcPr>
            <w:tcW w:w="8010" w:type="dxa"/>
            <w:noWrap w:val="0"/>
            <w:vAlign w:val="center"/>
          </w:tcPr>
          <w:p w14:paraId="3AD9D6D9">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jc w:val="both"/>
              <w:textAlignment w:val="auto"/>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pP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t>以满足重大疾病临床需求为导向，重点发展肿瘤、呼吸、麻醉、消化、心血管、妇产等临床专科，以专科发展带动诊疗能力和水平提升，力争在2025年底前新建1个省级临床重点专科、5个市级临床重点专科、评选9个县级临床重点专科。加强公立医院临床路径管理，做到合理施治，全县三级、二级公立医院出院患者按照临床路径管理率分别达到50%、70%。持续提升医疗质量，发挥县级专业医疗质量控制中心作用，健全医疗服务质量管理与控制体系，依规完善医疗服务标准和规范。加大对县中医医院支持力度，做优做强专科专病，打造一批中医特色突出、临床疗效显著、示范带动作用明显的中医科室。强化中西医协同，鼓励和支持二级综合医院设置中医临床科室，健全中西医协同疫病防治机制。</w:t>
            </w:r>
          </w:p>
        </w:tc>
        <w:tc>
          <w:tcPr>
            <w:tcW w:w="2280" w:type="dxa"/>
            <w:noWrap w:val="0"/>
            <w:vAlign w:val="center"/>
          </w:tcPr>
          <w:p w14:paraId="27D30D73">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pP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t>县卫生健康局、县财政局</w:t>
            </w:r>
          </w:p>
        </w:tc>
        <w:tc>
          <w:tcPr>
            <w:tcW w:w="1384" w:type="dxa"/>
            <w:noWrap w:val="0"/>
            <w:vAlign w:val="center"/>
          </w:tcPr>
          <w:p w14:paraId="7126440A">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pP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t>2025年底</w:t>
            </w:r>
          </w:p>
          <w:p w14:paraId="63358CB5">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pPr>
          </w:p>
        </w:tc>
      </w:tr>
      <w:tr w14:paraId="1F1DE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jc w:val="center"/>
        </w:trPr>
        <w:tc>
          <w:tcPr>
            <w:tcW w:w="1008" w:type="dxa"/>
            <w:noWrap w:val="0"/>
            <w:vAlign w:val="center"/>
          </w:tcPr>
          <w:p w14:paraId="735B41F5">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pP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t>6</w:t>
            </w:r>
          </w:p>
        </w:tc>
        <w:tc>
          <w:tcPr>
            <w:tcW w:w="1429" w:type="dxa"/>
            <w:noWrap w:val="0"/>
            <w:vAlign w:val="center"/>
          </w:tcPr>
          <w:p w14:paraId="6DC76D3B">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pP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t>推进医学领域技术创新。</w:t>
            </w:r>
          </w:p>
        </w:tc>
        <w:tc>
          <w:tcPr>
            <w:tcW w:w="8010" w:type="dxa"/>
            <w:noWrap w:val="0"/>
            <w:vAlign w:val="center"/>
          </w:tcPr>
          <w:p w14:paraId="49BFE662">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jc w:val="both"/>
              <w:textAlignment w:val="auto"/>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pP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t>聚焦疑难杂症，推进医学技术创新，加快科技成果转化。推进公立医院深化赋予科研人员职务科技成果所有权或长期使用权改革。加快发展商业健康保险，促进医疗新技术进入临床使用。</w:t>
            </w:r>
          </w:p>
        </w:tc>
        <w:tc>
          <w:tcPr>
            <w:tcW w:w="2280" w:type="dxa"/>
            <w:noWrap w:val="0"/>
            <w:vAlign w:val="center"/>
          </w:tcPr>
          <w:p w14:paraId="64F70667">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pPr>
            <w:r>
              <w:rPr>
                <w:rFonts w:hint="eastAsia" w:ascii="Times New Roman" w:hAnsi="Times New Roman" w:eastAsia="方正仿宋_GBK" w:cs="Times New Roman"/>
                <w:b w:val="0"/>
                <w:bCs w:val="0"/>
                <w:i w:val="0"/>
                <w:caps w:val="0"/>
                <w:color w:val="auto"/>
                <w:spacing w:val="0"/>
                <w:kern w:val="0"/>
                <w:sz w:val="24"/>
                <w:szCs w:val="24"/>
                <w:highlight w:val="none"/>
                <w:u w:val="none"/>
                <w:shd w:val="clear" w:color="auto" w:fill="FFFFFF"/>
                <w:vertAlign w:val="baseline"/>
                <w:lang w:val="en-US" w:eastAsia="zh-CN" w:bidi="ar"/>
              </w:rPr>
              <w:t>县</w:t>
            </w:r>
            <w:r>
              <w:rPr>
                <w:rFonts w:hint="default" w:ascii="Times New Roman" w:hAnsi="Times New Roman" w:eastAsia="方正仿宋_GBK" w:cs="Times New Roman"/>
                <w:b w:val="0"/>
                <w:bCs w:val="0"/>
                <w:i w:val="0"/>
                <w:caps w:val="0"/>
                <w:color w:val="auto"/>
                <w:spacing w:val="0"/>
                <w:kern w:val="0"/>
                <w:sz w:val="24"/>
                <w:szCs w:val="24"/>
                <w:highlight w:val="none"/>
                <w:u w:val="none"/>
                <w:shd w:val="clear" w:color="auto" w:fill="FFFFFF"/>
                <w:vertAlign w:val="baseline"/>
                <w:lang w:val="en-US" w:eastAsia="zh-CN" w:bidi="ar"/>
              </w:rPr>
              <w:t>卫生健康</w:t>
            </w:r>
            <w:r>
              <w:rPr>
                <w:rFonts w:hint="eastAsia" w:ascii="Times New Roman" w:hAnsi="Times New Roman" w:eastAsia="方正仿宋_GBK" w:cs="Times New Roman"/>
                <w:b w:val="0"/>
                <w:bCs w:val="0"/>
                <w:i w:val="0"/>
                <w:caps w:val="0"/>
                <w:color w:val="auto"/>
                <w:spacing w:val="0"/>
                <w:kern w:val="0"/>
                <w:sz w:val="24"/>
                <w:szCs w:val="24"/>
                <w:highlight w:val="none"/>
                <w:u w:val="none"/>
                <w:shd w:val="clear" w:color="auto" w:fill="FFFFFF"/>
                <w:vertAlign w:val="baseline"/>
                <w:lang w:val="en-US" w:eastAsia="zh-CN" w:bidi="ar"/>
              </w:rPr>
              <w:t>局</w:t>
            </w:r>
            <w:r>
              <w:rPr>
                <w:rFonts w:hint="default" w:ascii="Times New Roman" w:hAnsi="Times New Roman" w:eastAsia="方正仿宋_GBK" w:cs="Times New Roman"/>
                <w:b w:val="0"/>
                <w:bCs w:val="0"/>
                <w:i w:val="0"/>
                <w:caps w:val="0"/>
                <w:color w:val="auto"/>
                <w:spacing w:val="0"/>
                <w:kern w:val="0"/>
                <w:sz w:val="24"/>
                <w:szCs w:val="24"/>
                <w:highlight w:val="none"/>
                <w:u w:val="none"/>
                <w:shd w:val="clear" w:color="auto" w:fill="FFFFFF"/>
                <w:vertAlign w:val="baseline"/>
                <w:lang w:val="en-US" w:eastAsia="zh-CN" w:bidi="ar"/>
              </w:rPr>
              <w:t>、</w:t>
            </w:r>
            <w:r>
              <w:rPr>
                <w:rFonts w:hint="eastAsia" w:ascii="Times New Roman" w:hAnsi="Times New Roman" w:eastAsia="方正仿宋_GBK" w:cs="Times New Roman"/>
                <w:b w:val="0"/>
                <w:bCs w:val="0"/>
                <w:i w:val="0"/>
                <w:caps w:val="0"/>
                <w:color w:val="auto"/>
                <w:spacing w:val="0"/>
                <w:kern w:val="0"/>
                <w:sz w:val="24"/>
                <w:szCs w:val="24"/>
                <w:highlight w:val="none"/>
                <w:u w:val="none"/>
                <w:shd w:val="clear" w:color="auto" w:fill="FFFFFF"/>
                <w:vertAlign w:val="baseline"/>
                <w:lang w:val="en-US" w:eastAsia="zh-CN" w:bidi="ar"/>
              </w:rPr>
              <w:t>县教科体局、县</w:t>
            </w:r>
            <w:r>
              <w:rPr>
                <w:rFonts w:hint="default" w:ascii="Times New Roman" w:hAnsi="Times New Roman" w:eastAsia="方正仿宋_GBK" w:cs="Times New Roman"/>
                <w:b w:val="0"/>
                <w:bCs w:val="0"/>
                <w:i w:val="0"/>
                <w:caps w:val="0"/>
                <w:color w:val="auto"/>
                <w:spacing w:val="0"/>
                <w:kern w:val="0"/>
                <w:sz w:val="24"/>
                <w:szCs w:val="24"/>
                <w:highlight w:val="none"/>
                <w:u w:val="none"/>
                <w:shd w:val="clear" w:color="auto" w:fill="FFFFFF"/>
                <w:vertAlign w:val="baseline"/>
                <w:lang w:val="en-US" w:eastAsia="zh-CN" w:bidi="ar"/>
              </w:rPr>
              <w:t>财政局</w:t>
            </w:r>
            <w:r>
              <w:rPr>
                <w:rFonts w:hint="eastAsia" w:ascii="Times New Roman" w:hAnsi="Times New Roman" w:eastAsia="方正仿宋_GBK" w:cs="Times New Roman"/>
                <w:b w:val="0"/>
                <w:bCs w:val="0"/>
                <w:i w:val="0"/>
                <w:caps w:val="0"/>
                <w:color w:val="auto"/>
                <w:spacing w:val="0"/>
                <w:kern w:val="0"/>
                <w:sz w:val="24"/>
                <w:szCs w:val="24"/>
                <w:highlight w:val="none"/>
                <w:u w:val="none"/>
                <w:shd w:val="clear" w:color="auto" w:fill="FFFFFF"/>
                <w:vertAlign w:val="baseline"/>
                <w:lang w:val="en-US" w:eastAsia="zh-CN" w:bidi="ar"/>
              </w:rPr>
              <w:t>、县</w:t>
            </w:r>
            <w:r>
              <w:rPr>
                <w:rFonts w:hint="default" w:ascii="Times New Roman" w:hAnsi="Times New Roman" w:eastAsia="方正仿宋_GBK" w:cs="Times New Roman"/>
                <w:b w:val="0"/>
                <w:bCs w:val="0"/>
                <w:i w:val="0"/>
                <w:caps w:val="0"/>
                <w:color w:val="auto"/>
                <w:spacing w:val="0"/>
                <w:kern w:val="0"/>
                <w:sz w:val="24"/>
                <w:szCs w:val="24"/>
                <w:highlight w:val="none"/>
                <w:u w:val="none"/>
                <w:shd w:val="clear" w:color="auto" w:fill="FFFFFF"/>
                <w:vertAlign w:val="baseline"/>
                <w:lang w:val="en-US" w:eastAsia="zh-CN" w:bidi="ar"/>
              </w:rPr>
              <w:t>发展改革</w:t>
            </w:r>
            <w:r>
              <w:rPr>
                <w:rFonts w:hint="eastAsia" w:ascii="Times New Roman" w:hAnsi="Times New Roman" w:eastAsia="方正仿宋_GBK" w:cs="Times New Roman"/>
                <w:b w:val="0"/>
                <w:bCs w:val="0"/>
                <w:i w:val="0"/>
                <w:caps w:val="0"/>
                <w:color w:val="auto"/>
                <w:spacing w:val="0"/>
                <w:kern w:val="0"/>
                <w:sz w:val="24"/>
                <w:szCs w:val="24"/>
                <w:highlight w:val="none"/>
                <w:u w:val="none"/>
                <w:shd w:val="clear" w:color="auto" w:fill="FFFFFF"/>
                <w:vertAlign w:val="baseline"/>
                <w:lang w:val="en-US" w:eastAsia="zh-CN" w:bidi="ar"/>
              </w:rPr>
              <w:t>局</w:t>
            </w:r>
          </w:p>
        </w:tc>
        <w:tc>
          <w:tcPr>
            <w:tcW w:w="1384" w:type="dxa"/>
            <w:noWrap w:val="0"/>
            <w:vAlign w:val="center"/>
          </w:tcPr>
          <w:p w14:paraId="0F59BCCC">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pP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t>2025年底</w:t>
            </w:r>
          </w:p>
        </w:tc>
      </w:tr>
      <w:tr w14:paraId="36013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4" w:hRule="atLeast"/>
          <w:jc w:val="center"/>
        </w:trPr>
        <w:tc>
          <w:tcPr>
            <w:tcW w:w="1008" w:type="dxa"/>
            <w:noWrap w:val="0"/>
            <w:vAlign w:val="center"/>
          </w:tcPr>
          <w:p w14:paraId="5F77B481">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pPr>
            <w:r>
              <w:rPr>
                <w:rFonts w:hint="eastAsia"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t>7</w:t>
            </w:r>
          </w:p>
        </w:tc>
        <w:tc>
          <w:tcPr>
            <w:tcW w:w="1429" w:type="dxa"/>
            <w:noWrap w:val="0"/>
            <w:vAlign w:val="center"/>
          </w:tcPr>
          <w:p w14:paraId="22DBFD7A">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auto"/>
              <w:rPr>
                <w:rFonts w:hint="default" w:ascii="Times New Roman" w:hAnsi="Times New Roman" w:eastAsia="方正仿宋_GBK" w:cs="Times New Roman"/>
                <w:b w:val="0"/>
                <w:bCs w:val="0"/>
                <w:i w:val="0"/>
                <w:caps w:val="0"/>
                <w:color w:val="auto"/>
                <w:spacing w:val="0"/>
                <w:kern w:val="0"/>
                <w:sz w:val="24"/>
                <w:szCs w:val="24"/>
                <w:highlight w:val="none"/>
                <w:u w:val="none"/>
                <w:shd w:val="clear" w:color="auto" w:fill="FFFFFF"/>
                <w:vertAlign w:val="baseline"/>
                <w:lang w:val="en-US" w:eastAsia="zh-CN" w:bidi="ar"/>
              </w:rPr>
            </w:pP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t>改善医疗服务质量</w:t>
            </w:r>
          </w:p>
        </w:tc>
        <w:tc>
          <w:tcPr>
            <w:tcW w:w="8010" w:type="dxa"/>
            <w:noWrap w:val="0"/>
            <w:vAlign w:val="center"/>
          </w:tcPr>
          <w:p w14:paraId="5B3D7B3C">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jc w:val="both"/>
              <w:textAlignment w:val="auto"/>
              <w:rPr>
                <w:rFonts w:hint="default" w:ascii="Times New Roman" w:hAnsi="Times New Roman" w:eastAsia="方正仿宋_GBK" w:cs="Times New Roman"/>
                <w:b w:val="0"/>
                <w:bCs w:val="0"/>
                <w:i w:val="0"/>
                <w:caps w:val="0"/>
                <w:color w:val="auto"/>
                <w:spacing w:val="0"/>
                <w:kern w:val="0"/>
                <w:sz w:val="24"/>
                <w:szCs w:val="24"/>
                <w:highlight w:val="none"/>
                <w:u w:val="none"/>
                <w:shd w:val="clear" w:color="auto" w:fill="FFFFFF"/>
                <w:vertAlign w:val="baseline"/>
                <w:lang w:val="en-US" w:eastAsia="zh-CN" w:bidi="ar"/>
              </w:rPr>
            </w:pPr>
            <w:r>
              <w:rPr>
                <w:rFonts w:hint="default" w:ascii="Times New Roman" w:hAnsi="Times New Roman" w:eastAsia="方正仿宋_GBK" w:cs="Times New Roman"/>
                <w:b w:val="0"/>
                <w:bCs w:val="0"/>
                <w:i w:val="0"/>
                <w:caps w:val="0"/>
                <w:color w:val="auto"/>
                <w:spacing w:val="0"/>
                <w:kern w:val="0"/>
                <w:sz w:val="24"/>
                <w:szCs w:val="24"/>
                <w:highlight w:val="none"/>
                <w:u w:val="none"/>
                <w:shd w:val="clear" w:color="auto" w:fill="FFFFFF"/>
                <w:vertAlign w:val="baseline"/>
                <w:lang w:val="en-US" w:eastAsia="zh-CN" w:bidi="ar"/>
              </w:rPr>
              <w:t>传承“大爱成就大医”的医者仁心，遵循临床诊疗技术规范，深入实施改善医疗服务行动计划，为群众提供安全可靠、费用合适、方便可及、优质高效的医疗卫生服务。推行二级以上公立医院同级间检查检验结果互认，实现县内同级医院间、医共体内公立医院检查检验结果互认。持续推进妇产优质服务提升行动，开展无痛分娩医院建设试点，深入实施产科单间工程，全县建成产科单间60间。推进老年友善医院建设，实施“便利老年人日常就医”行动，支持医疗机构开展适老化改造，合理保留、优化医疗机构传统服务方式，改善老年人就医体验。加强临床药学服务和药品不良反应监测。加大健康教育和宣传力度，强化患者人文关怀，构建和谐医患关系。</w:t>
            </w:r>
          </w:p>
        </w:tc>
        <w:tc>
          <w:tcPr>
            <w:tcW w:w="2280" w:type="dxa"/>
            <w:noWrap w:val="0"/>
            <w:vAlign w:val="center"/>
          </w:tcPr>
          <w:p w14:paraId="41EDB4FB">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auto"/>
              <w:rPr>
                <w:rFonts w:hint="default" w:ascii="Times New Roman" w:hAnsi="Times New Roman" w:eastAsia="方正仿宋_GBK" w:cs="Times New Roman"/>
                <w:b w:val="0"/>
                <w:bCs w:val="0"/>
                <w:i w:val="0"/>
                <w:caps w:val="0"/>
                <w:color w:val="auto"/>
                <w:spacing w:val="0"/>
                <w:kern w:val="0"/>
                <w:sz w:val="24"/>
                <w:szCs w:val="24"/>
                <w:highlight w:val="none"/>
                <w:u w:val="none"/>
                <w:shd w:val="clear" w:color="auto" w:fill="FFFFFF"/>
                <w:vertAlign w:val="baseline"/>
                <w:lang w:val="en-US" w:eastAsia="zh-CN" w:bidi="ar"/>
              </w:rPr>
            </w:pPr>
            <w:r>
              <w:rPr>
                <w:rFonts w:hint="default" w:ascii="Times New Roman" w:hAnsi="Times New Roman" w:eastAsia="方正仿宋_GBK" w:cs="Times New Roman"/>
                <w:b w:val="0"/>
                <w:bCs w:val="0"/>
                <w:i w:val="0"/>
                <w:caps w:val="0"/>
                <w:color w:val="auto"/>
                <w:spacing w:val="0"/>
                <w:kern w:val="0"/>
                <w:sz w:val="24"/>
                <w:szCs w:val="24"/>
                <w:highlight w:val="none"/>
                <w:u w:val="none"/>
                <w:shd w:val="clear" w:color="auto" w:fill="FFFFFF"/>
                <w:vertAlign w:val="baseline"/>
                <w:lang w:val="en-US" w:eastAsia="zh-CN" w:bidi="ar"/>
              </w:rPr>
              <w:t>县卫生健康局、县市场监管局，各镇人民政府</w:t>
            </w:r>
          </w:p>
          <w:p w14:paraId="577F6B3A">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auto"/>
              <w:rPr>
                <w:rFonts w:hint="default" w:ascii="Times New Roman" w:hAnsi="Times New Roman" w:eastAsia="方正仿宋_GBK" w:cs="Times New Roman"/>
                <w:b w:val="0"/>
                <w:bCs w:val="0"/>
                <w:i w:val="0"/>
                <w:caps w:val="0"/>
                <w:color w:val="auto"/>
                <w:spacing w:val="0"/>
                <w:kern w:val="0"/>
                <w:sz w:val="24"/>
                <w:szCs w:val="24"/>
                <w:highlight w:val="none"/>
                <w:u w:val="none"/>
                <w:shd w:val="clear" w:color="auto" w:fill="FFFFFF"/>
                <w:vertAlign w:val="baseline"/>
                <w:lang w:val="en-US" w:eastAsia="zh-CN" w:bidi="ar"/>
              </w:rPr>
            </w:pPr>
          </w:p>
        </w:tc>
        <w:tc>
          <w:tcPr>
            <w:tcW w:w="1384" w:type="dxa"/>
            <w:noWrap w:val="0"/>
            <w:vAlign w:val="center"/>
          </w:tcPr>
          <w:p w14:paraId="7C491710">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pPr>
            <w:r>
              <w:rPr>
                <w:rFonts w:hint="eastAsia"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t>持续推进</w:t>
            </w:r>
          </w:p>
          <w:p w14:paraId="7CCC858D">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auto"/>
              <w:rPr>
                <w:rFonts w:hint="default" w:ascii="Times New Roman" w:hAnsi="Times New Roman" w:eastAsia="方正仿宋_GBK" w:cs="Times New Roman"/>
                <w:b w:val="0"/>
                <w:bCs w:val="0"/>
                <w:i w:val="0"/>
                <w:caps w:val="0"/>
                <w:color w:val="auto"/>
                <w:spacing w:val="0"/>
                <w:kern w:val="0"/>
                <w:sz w:val="24"/>
                <w:szCs w:val="24"/>
                <w:highlight w:val="none"/>
                <w:u w:val="none"/>
                <w:shd w:val="clear" w:color="auto" w:fill="FFFFFF"/>
                <w:vertAlign w:val="baseline"/>
                <w:lang w:val="en-US" w:eastAsia="zh-CN" w:bidi="ar"/>
              </w:rPr>
            </w:pPr>
          </w:p>
        </w:tc>
      </w:tr>
      <w:tr w14:paraId="13915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0" w:hRule="atLeast"/>
          <w:jc w:val="center"/>
        </w:trPr>
        <w:tc>
          <w:tcPr>
            <w:tcW w:w="1008" w:type="dxa"/>
            <w:noWrap w:val="0"/>
            <w:vAlign w:val="center"/>
          </w:tcPr>
          <w:p w14:paraId="1C61B049">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pPr>
            <w:r>
              <w:rPr>
                <w:rFonts w:hint="eastAsia"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t>8</w:t>
            </w:r>
          </w:p>
        </w:tc>
        <w:tc>
          <w:tcPr>
            <w:tcW w:w="1429" w:type="dxa"/>
            <w:noWrap w:val="0"/>
            <w:vAlign w:val="center"/>
          </w:tcPr>
          <w:p w14:paraId="2F557885">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pP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t>创新医疗服务模式</w:t>
            </w:r>
          </w:p>
        </w:tc>
        <w:tc>
          <w:tcPr>
            <w:tcW w:w="8010" w:type="dxa"/>
            <w:noWrap w:val="0"/>
            <w:vAlign w:val="center"/>
          </w:tcPr>
          <w:p w14:paraId="395C2E89">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jc w:val="both"/>
              <w:textAlignment w:val="auto"/>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pP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t>以肿瘤、疑难复杂和多系统多器官疾病为重点，全面实施多学科诊疗模式，到2024年底，三级公立医院全部建立患者综合服务中心（窗口），为患者提供“一站式”诊疗服务。到2025年底，力争二级以上公立医院开设多学科诊疗门诊。逐步提高日间手术占择期手术的比例，三级公立医院日间手术占择期手术比例达20%以上。做实责任制整体护理，强化基础护理，发展“互联网+护理”服务，开展上门护理、居家护理等延续护理服务。开设合理用药咨询或药物治疗管理门诊，提供精准用药服务。大力推进院前急救网络建设，完善120调度指挥信息系统。加强胸痛、卒中、创伤、危重孕产妇救治、危重新生儿救治等五大中心建设，推进渝邻毗邻地区120应急救援服务一体化发展。完善综合医院、县妇幼保健院中西医会诊制度，推广中医综合诊疗、多专业一体化诊疗、全链条服务模式，实施重大疑难疾病中西医临床协作试点。探索推进医疗机构医务、医保等一站式便民服务站（点）窗口建设，为就医群众提供便捷服务。</w:t>
            </w:r>
          </w:p>
        </w:tc>
        <w:tc>
          <w:tcPr>
            <w:tcW w:w="2280" w:type="dxa"/>
            <w:noWrap w:val="0"/>
            <w:vAlign w:val="center"/>
          </w:tcPr>
          <w:p w14:paraId="0FBE42FF">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pP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t>县卫生健康局、县医保局</w:t>
            </w:r>
            <w:r>
              <w:rPr>
                <w:rFonts w:hint="eastAsia"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t>、</w:t>
            </w: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t>县市场</w:t>
            </w:r>
          </w:p>
          <w:p w14:paraId="4B557E44">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pP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t>监管</w:t>
            </w:r>
          </w:p>
        </w:tc>
        <w:tc>
          <w:tcPr>
            <w:tcW w:w="1384" w:type="dxa"/>
            <w:noWrap w:val="0"/>
            <w:vAlign w:val="center"/>
          </w:tcPr>
          <w:p w14:paraId="7E2CDAC1">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pP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t>202</w:t>
            </w:r>
            <w:r>
              <w:rPr>
                <w:rFonts w:hint="eastAsia"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t>5</w:t>
            </w: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t>年底</w:t>
            </w:r>
          </w:p>
          <w:p w14:paraId="21F8B712">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pPr>
          </w:p>
        </w:tc>
      </w:tr>
      <w:tr w14:paraId="54E92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0" w:hRule="atLeast"/>
          <w:jc w:val="center"/>
        </w:trPr>
        <w:tc>
          <w:tcPr>
            <w:tcW w:w="1008" w:type="dxa"/>
            <w:noWrap w:val="0"/>
            <w:vAlign w:val="center"/>
          </w:tcPr>
          <w:p w14:paraId="7A9EE079">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pPr>
            <w:r>
              <w:rPr>
                <w:rFonts w:hint="eastAsia"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t>9</w:t>
            </w:r>
          </w:p>
        </w:tc>
        <w:tc>
          <w:tcPr>
            <w:tcW w:w="1429" w:type="dxa"/>
            <w:noWrap w:val="0"/>
            <w:vAlign w:val="center"/>
          </w:tcPr>
          <w:p w14:paraId="01271E0E">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pP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t>推进智慧医疗支撑体系创新</w:t>
            </w:r>
          </w:p>
        </w:tc>
        <w:tc>
          <w:tcPr>
            <w:tcW w:w="8010" w:type="dxa"/>
            <w:noWrap w:val="0"/>
            <w:vAlign w:val="center"/>
          </w:tcPr>
          <w:p w14:paraId="0EAFEE90">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jc w:val="both"/>
              <w:textAlignment w:val="auto"/>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pP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t>推动医联体内业务信息系统整合，实现医联体内部信息系统统一管理、互联互通，推进资源调配、经营管理、质量评价等数字化和同质化，提升医联体整体服务能力和管理水平。推进远程医疗服务，扩大县级医疗资源辐射范围，逐步实现全县远程医疗服务“一张网”。推进电子病历、智慧服务、智慧管理“三位一体”的智慧医院建设和医院信息标准化建设，到2025年底，力争县人民医院、县中医医院建成二星智慧医院。建立药品追溯制度，推动公立医院处方、药品追溯、医保结算、工伤医疗康复费用结算、医疗服务监管等信息互联互通。拓展医疗机构医保电子凭证应用场景，实现挂号、就医、结算等“一码通、马上办”。</w:t>
            </w:r>
          </w:p>
        </w:tc>
        <w:tc>
          <w:tcPr>
            <w:tcW w:w="2280" w:type="dxa"/>
            <w:noWrap w:val="0"/>
            <w:vAlign w:val="center"/>
          </w:tcPr>
          <w:p w14:paraId="147F9F3A">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pP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t>县卫生健康局、县发展改革局、县医保局、县市场监管</w:t>
            </w:r>
          </w:p>
        </w:tc>
        <w:tc>
          <w:tcPr>
            <w:tcW w:w="1384" w:type="dxa"/>
            <w:noWrap w:val="0"/>
            <w:vAlign w:val="center"/>
          </w:tcPr>
          <w:p w14:paraId="6176EA81">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pP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t>2025年底</w:t>
            </w:r>
          </w:p>
        </w:tc>
      </w:tr>
      <w:tr w14:paraId="7E1AC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0" w:hRule="atLeast"/>
          <w:jc w:val="center"/>
        </w:trPr>
        <w:tc>
          <w:tcPr>
            <w:tcW w:w="1008" w:type="dxa"/>
            <w:noWrap w:val="0"/>
            <w:vAlign w:val="center"/>
          </w:tcPr>
          <w:p w14:paraId="3D16671F">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pPr>
            <w:r>
              <w:rPr>
                <w:rFonts w:hint="eastAsia"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t>10</w:t>
            </w:r>
          </w:p>
        </w:tc>
        <w:tc>
          <w:tcPr>
            <w:tcW w:w="1429" w:type="dxa"/>
            <w:noWrap w:val="0"/>
            <w:vAlign w:val="center"/>
          </w:tcPr>
          <w:p w14:paraId="55705744">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pP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t>培育良好医德医风</w:t>
            </w:r>
          </w:p>
        </w:tc>
        <w:tc>
          <w:tcPr>
            <w:tcW w:w="8010" w:type="dxa"/>
            <w:noWrap w:val="0"/>
            <w:vAlign w:val="center"/>
          </w:tcPr>
          <w:p w14:paraId="436303FA">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jc w:val="both"/>
              <w:textAlignment w:val="auto"/>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pP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t>挖掘整理医院历史、文化特色和名医大家学术思想、高尚医德，提炼医院院训、愿景、使命，凝聚支撑医院高质量发展的精神力量。推进医院精神文明建设，开展社会主义核心价值观教育，大力弘扬伟大抗疫精神和崇高职业精神，办好中国医师节、“5·12”护士节等重要节日，加大对医德高尚、医术精湛、敬业奉献先进典型的宣传力度，传播正能量，增强医务人员职业荣誉感。引导医务人员形成严谨求实的工作作风和“视患者如亲人”的医者担当，持续培育良好医德医风，营造全社会尊医重卫良好氛围。</w:t>
            </w:r>
          </w:p>
        </w:tc>
        <w:tc>
          <w:tcPr>
            <w:tcW w:w="2280" w:type="dxa"/>
            <w:noWrap w:val="0"/>
            <w:vAlign w:val="center"/>
          </w:tcPr>
          <w:p w14:paraId="602499DB">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pP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t>县卫生健康局、县委宣传部，各镇人民政府</w:t>
            </w:r>
          </w:p>
        </w:tc>
        <w:tc>
          <w:tcPr>
            <w:tcW w:w="1384" w:type="dxa"/>
            <w:noWrap w:val="0"/>
            <w:vAlign w:val="center"/>
          </w:tcPr>
          <w:p w14:paraId="76D50597">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pPr>
            <w:r>
              <w:rPr>
                <w:rFonts w:hint="eastAsia"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t>持续推进</w:t>
            </w:r>
          </w:p>
        </w:tc>
      </w:tr>
      <w:tr w14:paraId="37B37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008" w:type="dxa"/>
            <w:noWrap w:val="0"/>
            <w:vAlign w:val="center"/>
          </w:tcPr>
          <w:p w14:paraId="67512A8C">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pPr>
            <w:r>
              <w:rPr>
                <w:rFonts w:hint="eastAsia"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t>11</w:t>
            </w:r>
          </w:p>
        </w:tc>
        <w:tc>
          <w:tcPr>
            <w:tcW w:w="1429" w:type="dxa"/>
            <w:noWrap w:val="0"/>
            <w:vAlign w:val="center"/>
          </w:tcPr>
          <w:p w14:paraId="1DEB505D">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auto"/>
              <w:rPr>
                <w:rFonts w:hint="default" w:ascii="Times New Roman" w:hAnsi="Times New Roman" w:eastAsia="方正仿宋_GBK" w:cs="Times New Roman"/>
                <w:b w:val="0"/>
                <w:bCs w:val="0"/>
                <w:i w:val="0"/>
                <w:caps w:val="0"/>
                <w:color w:val="auto"/>
                <w:spacing w:val="0"/>
                <w:kern w:val="0"/>
                <w:sz w:val="24"/>
                <w:szCs w:val="24"/>
                <w:highlight w:val="none"/>
                <w:u w:val="none"/>
                <w:shd w:val="clear" w:color="auto" w:fill="FFFFFF"/>
                <w:vertAlign w:val="baseline"/>
                <w:lang w:val="en-US" w:eastAsia="zh-CN" w:bidi="ar"/>
              </w:rPr>
            </w:pP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t>提升医院运行效率</w:t>
            </w:r>
          </w:p>
        </w:tc>
        <w:tc>
          <w:tcPr>
            <w:tcW w:w="8010" w:type="dxa"/>
            <w:noWrap w:val="0"/>
            <w:vAlign w:val="center"/>
          </w:tcPr>
          <w:p w14:paraId="6CA9A89B">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auto"/>
              <w:rPr>
                <w:rFonts w:hint="default" w:ascii="Times New Roman" w:hAnsi="Times New Roman" w:eastAsia="方正仿宋_GBK" w:cs="Times New Roman"/>
                <w:b w:val="0"/>
                <w:bCs w:val="0"/>
                <w:i w:val="0"/>
                <w:caps w:val="0"/>
                <w:color w:val="auto"/>
                <w:spacing w:val="0"/>
                <w:kern w:val="0"/>
                <w:sz w:val="24"/>
                <w:szCs w:val="24"/>
                <w:highlight w:val="none"/>
                <w:u w:val="none"/>
                <w:shd w:val="clear" w:color="auto" w:fill="FFFFFF"/>
                <w:vertAlign w:val="baseline"/>
                <w:lang w:val="en-US" w:eastAsia="zh-CN" w:bidi="ar"/>
              </w:rPr>
            </w:pPr>
            <w:r>
              <w:rPr>
                <w:rFonts w:hint="default" w:ascii="Times New Roman" w:hAnsi="Times New Roman" w:eastAsia="方正仿宋_GBK" w:cs="Times New Roman"/>
                <w:b w:val="0"/>
                <w:bCs w:val="0"/>
                <w:i w:val="0"/>
                <w:caps w:val="0"/>
                <w:color w:val="auto"/>
                <w:spacing w:val="0"/>
                <w:kern w:val="0"/>
                <w:sz w:val="24"/>
                <w:szCs w:val="24"/>
                <w:highlight w:val="none"/>
                <w:u w:val="none"/>
                <w:shd w:val="clear" w:color="auto" w:fill="FFFFFF"/>
                <w:vertAlign w:val="baseline"/>
                <w:lang w:val="en-US" w:eastAsia="zh-CN" w:bidi="ar"/>
              </w:rPr>
              <w:t>健全医院运营管理组织架构，整合医疗、教学、科研等业务系统和人、财、物等资源系统，完善各项规章制度。加强运营管理信息化建设，健全运营数据的统计、分析、评价、监控系统，推动医院运营管理迈向科学化、规范化、精细化、智能化。推动县人民医院、县中医医院落实总会计师制度。以大数据方法建立病种组合标准体系，形成疾病严重程度与资源消耗在每一个病组的量化治疗标准，对医院病例组合指数（CMI）、成本产出、医生绩效等进行监测评价，引导医院回归功能定位，提高效率、节约费用，减轻患者就医负担。</w:t>
            </w:r>
          </w:p>
        </w:tc>
        <w:tc>
          <w:tcPr>
            <w:tcW w:w="2280" w:type="dxa"/>
            <w:noWrap w:val="0"/>
            <w:vAlign w:val="center"/>
          </w:tcPr>
          <w:p w14:paraId="66BE9F0C">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auto"/>
              <w:rPr>
                <w:rFonts w:hint="default" w:ascii="Times New Roman" w:hAnsi="Times New Roman" w:eastAsia="方正仿宋_GBK" w:cs="Times New Roman"/>
                <w:b w:val="0"/>
                <w:bCs w:val="0"/>
                <w:i w:val="0"/>
                <w:caps w:val="0"/>
                <w:color w:val="auto"/>
                <w:spacing w:val="0"/>
                <w:kern w:val="0"/>
                <w:sz w:val="24"/>
                <w:szCs w:val="24"/>
                <w:highlight w:val="none"/>
                <w:u w:val="none"/>
                <w:shd w:val="clear" w:color="auto" w:fill="FFFFFF"/>
                <w:vertAlign w:val="baseline"/>
                <w:lang w:val="en-US" w:eastAsia="zh-CN" w:bidi="ar"/>
              </w:rPr>
            </w:pP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t>县委组织部、县卫生健康局</w:t>
            </w:r>
            <w:r>
              <w:rPr>
                <w:rFonts w:hint="eastAsia"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t>、县医保局、县市场监管局</w:t>
            </w:r>
          </w:p>
        </w:tc>
        <w:tc>
          <w:tcPr>
            <w:tcW w:w="1384" w:type="dxa"/>
            <w:noWrap w:val="0"/>
            <w:vAlign w:val="center"/>
          </w:tcPr>
          <w:p w14:paraId="3632E89B">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auto"/>
              <w:rPr>
                <w:rFonts w:hint="default" w:ascii="Times New Roman" w:hAnsi="Times New Roman" w:eastAsia="方正仿宋_GBK" w:cs="Times New Roman"/>
                <w:b w:val="0"/>
                <w:bCs w:val="0"/>
                <w:i w:val="0"/>
                <w:caps w:val="0"/>
                <w:color w:val="auto"/>
                <w:spacing w:val="0"/>
                <w:kern w:val="0"/>
                <w:sz w:val="24"/>
                <w:szCs w:val="24"/>
                <w:highlight w:val="none"/>
                <w:u w:val="none"/>
                <w:shd w:val="clear" w:color="auto" w:fill="FFFFFF"/>
                <w:vertAlign w:val="baseline"/>
                <w:lang w:val="en-US" w:eastAsia="zh-CN" w:bidi="ar"/>
              </w:rPr>
            </w:pP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t>2025年底</w:t>
            </w:r>
          </w:p>
        </w:tc>
      </w:tr>
      <w:tr w14:paraId="22EA4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1008" w:type="dxa"/>
            <w:noWrap w:val="0"/>
            <w:vAlign w:val="center"/>
          </w:tcPr>
          <w:p w14:paraId="0CE5DB70">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pP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t>1</w:t>
            </w:r>
            <w:r>
              <w:rPr>
                <w:rFonts w:hint="eastAsia"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t>2</w:t>
            </w:r>
          </w:p>
        </w:tc>
        <w:tc>
          <w:tcPr>
            <w:tcW w:w="1429" w:type="dxa"/>
            <w:noWrap w:val="0"/>
            <w:vAlign w:val="center"/>
          </w:tcPr>
          <w:p w14:paraId="691FCAE1">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pP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t>加强全面预算管理</w:t>
            </w:r>
          </w:p>
        </w:tc>
        <w:tc>
          <w:tcPr>
            <w:tcW w:w="8010" w:type="dxa"/>
            <w:noWrap w:val="0"/>
            <w:vAlign w:val="center"/>
          </w:tcPr>
          <w:p w14:paraId="2522425B">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jc w:val="both"/>
              <w:textAlignment w:val="auto"/>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pP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t>以医院战略发展规划和年度计划目标为依据，实行全口径、全过程、全员性、全方位预算管理。运用预算手段开展医院内部各类资源的分配、使用、控制、考核等管理活动，促进资源有效分配和使用。健全“预算编</w:t>
            </w:r>
            <w:r>
              <w:rPr>
                <w:rFonts w:hint="default" w:ascii="Times New Roman" w:hAnsi="Times New Roman" w:eastAsia="方正仿宋_GBK" w:cs="Times New Roman"/>
                <w:b w:val="0"/>
                <w:bCs w:val="0"/>
                <w:i w:val="0"/>
                <w:caps w:val="0"/>
                <w:color w:val="auto"/>
                <w:spacing w:val="-6"/>
                <w:sz w:val="24"/>
                <w:szCs w:val="24"/>
                <w:highlight w:val="none"/>
                <w:u w:val="none"/>
                <w:shd w:val="clear" w:color="auto" w:fill="FFFFFF"/>
                <w:vertAlign w:val="baseline"/>
                <w:lang w:val="en-US" w:eastAsia="zh-CN"/>
              </w:rPr>
              <w:t>制有目标、预算执行有监控、预算完成有评价、评价结果有反馈、反馈结果有应用”的全过程预算绩效管理机制。强化预算约束，原则上预算一经批复不得调整。定期公开医院相关财务信息，主动接受社会监督。</w:t>
            </w:r>
          </w:p>
        </w:tc>
        <w:tc>
          <w:tcPr>
            <w:tcW w:w="2280" w:type="dxa"/>
            <w:noWrap w:val="0"/>
            <w:vAlign w:val="center"/>
          </w:tcPr>
          <w:p w14:paraId="4E50A658">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pP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t>县卫生健康局、县财政局、县审计局</w:t>
            </w:r>
          </w:p>
        </w:tc>
        <w:tc>
          <w:tcPr>
            <w:tcW w:w="1384" w:type="dxa"/>
            <w:noWrap w:val="0"/>
            <w:vAlign w:val="center"/>
          </w:tcPr>
          <w:p w14:paraId="3194F3F4">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pPr>
            <w:r>
              <w:rPr>
                <w:rFonts w:hint="eastAsia"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t>持续推进</w:t>
            </w:r>
          </w:p>
        </w:tc>
      </w:tr>
      <w:tr w14:paraId="6C3E2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noWrap w:val="0"/>
            <w:vAlign w:val="center"/>
          </w:tcPr>
          <w:p w14:paraId="119601E7">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pPr>
            <w:r>
              <w:rPr>
                <w:rFonts w:hint="eastAsia"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t>13</w:t>
            </w:r>
          </w:p>
        </w:tc>
        <w:tc>
          <w:tcPr>
            <w:tcW w:w="1429" w:type="dxa"/>
            <w:noWrap w:val="0"/>
            <w:vAlign w:val="center"/>
          </w:tcPr>
          <w:p w14:paraId="5910A48C">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pP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t>强化内部控制管理</w:t>
            </w:r>
          </w:p>
        </w:tc>
        <w:tc>
          <w:tcPr>
            <w:tcW w:w="8010" w:type="dxa"/>
            <w:noWrap w:val="0"/>
            <w:vAlign w:val="center"/>
          </w:tcPr>
          <w:p w14:paraId="28A175E8">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jc w:val="both"/>
              <w:textAlignment w:val="auto"/>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pP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t>以规范经济活动和医疗、教学、科研等业务活动有序开展为主线，以内部控制量化评价为导向，以信息化为支撑，健全重点领域、重要事项、关键岗位的流程管控和制约机制，建立与本行业、本单位治理体系和治理能力相适应、权责一致、制衡有效、运行顺畅、执行有力的内部控制体系。强化成本消耗关键环节的流程管理，降低万元收入能耗支出。推广医院后勤“一站式”服务。</w:t>
            </w:r>
          </w:p>
        </w:tc>
        <w:tc>
          <w:tcPr>
            <w:tcW w:w="2280" w:type="dxa"/>
            <w:noWrap w:val="0"/>
            <w:vAlign w:val="center"/>
          </w:tcPr>
          <w:p w14:paraId="7DE5CC01">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pP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t>县卫生健康局、县审计局</w:t>
            </w:r>
          </w:p>
        </w:tc>
        <w:tc>
          <w:tcPr>
            <w:tcW w:w="1384" w:type="dxa"/>
            <w:noWrap w:val="0"/>
            <w:vAlign w:val="center"/>
          </w:tcPr>
          <w:p w14:paraId="2CA92A9B">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pP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t>2025年底</w:t>
            </w:r>
          </w:p>
        </w:tc>
      </w:tr>
      <w:tr w14:paraId="4045A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noWrap w:val="0"/>
            <w:vAlign w:val="center"/>
          </w:tcPr>
          <w:p w14:paraId="31178A32">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pPr>
            <w:r>
              <w:rPr>
                <w:rFonts w:hint="eastAsia"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t>14</w:t>
            </w:r>
          </w:p>
        </w:tc>
        <w:tc>
          <w:tcPr>
            <w:tcW w:w="1429" w:type="dxa"/>
            <w:noWrap w:val="0"/>
            <w:vAlign w:val="center"/>
          </w:tcPr>
          <w:p w14:paraId="63A0F7A1">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pP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t>加强绩效考核评价</w:t>
            </w:r>
          </w:p>
        </w:tc>
        <w:tc>
          <w:tcPr>
            <w:tcW w:w="8010" w:type="dxa"/>
            <w:noWrap w:val="0"/>
            <w:vAlign w:val="center"/>
          </w:tcPr>
          <w:p w14:paraId="27B6E497">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jc w:val="both"/>
              <w:textAlignment w:val="auto"/>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pP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t>发挥绩效考核“指挥棒”作用，突出公益性导向，扎实推动公立医院绩效考核，将绩效考核结果与医院财政补助、医保支付、绩效工资总量及院长薪酬、任免、奖惩等挂钩，强化结果运用。改革公立医院内部绩效考核办法，以聘用合同为依据，以岗位职责完成情况为重点，将考核结果与薪酬分配挂钩。完善医联体和县域医共体绩效考核制度，强化分工协作，促进资源共享，提高基层服务能力和居民健康水平。</w:t>
            </w:r>
          </w:p>
        </w:tc>
        <w:tc>
          <w:tcPr>
            <w:tcW w:w="2280" w:type="dxa"/>
            <w:noWrap w:val="0"/>
            <w:vAlign w:val="center"/>
          </w:tcPr>
          <w:p w14:paraId="3AD3E75D">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pP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t>县卫生健康局、县人力资源社会保障局、县财政局、县医保局</w:t>
            </w:r>
          </w:p>
        </w:tc>
        <w:tc>
          <w:tcPr>
            <w:tcW w:w="1384" w:type="dxa"/>
            <w:noWrap w:val="0"/>
            <w:vAlign w:val="center"/>
          </w:tcPr>
          <w:p w14:paraId="0788889E">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pPr>
            <w:r>
              <w:rPr>
                <w:rFonts w:hint="eastAsia"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t>持续推进</w:t>
            </w:r>
          </w:p>
        </w:tc>
      </w:tr>
      <w:tr w14:paraId="23A8F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noWrap w:val="0"/>
            <w:vAlign w:val="center"/>
          </w:tcPr>
          <w:p w14:paraId="6937F2C9">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pP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t>1</w:t>
            </w:r>
            <w:r>
              <w:rPr>
                <w:rFonts w:hint="eastAsia"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t>5</w:t>
            </w:r>
          </w:p>
        </w:tc>
        <w:tc>
          <w:tcPr>
            <w:tcW w:w="1429" w:type="dxa"/>
            <w:noWrap w:val="0"/>
            <w:vAlign w:val="center"/>
          </w:tcPr>
          <w:p w14:paraId="3B85C280">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pP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t>深化人事制度改革</w:t>
            </w:r>
          </w:p>
        </w:tc>
        <w:tc>
          <w:tcPr>
            <w:tcW w:w="8010" w:type="dxa"/>
            <w:noWrap w:val="0"/>
            <w:vAlign w:val="center"/>
          </w:tcPr>
          <w:p w14:paraId="1C265897">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jc w:val="both"/>
              <w:textAlignment w:val="auto"/>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pP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t>合理核定公立医院人员编制，建立动态调整机制。实行人员总量管理的公立医院以核定的人员总量作为岗位设置基数，完善试点医院岗位设置，有效增加中、高级专业技术岗位数量，畅通职级晋升通道，落实公立医院用人自主权，统筹考虑编制内外人员待遇。落实岗位管理制度，按照医、护、药、技、管等不同类别合理设置岗位，坚持竞聘上岗、按岗聘用、合同管理，以健全岗位设置管理制度和聘用制度为重点，以转换用人机制和搞活用人制度为核心，实现由固定用人向合同用人、由身份管理向岗位管理转变。加强重点领域、紧缺专业、关键岗位专业人才培养引进，县人民医院、县中医医院卫生专业技术人员不少于80%，本科及以上学历不低于50%。增加护士配备，逐步使公立医院医护比总体达到1：2左右。</w:t>
            </w:r>
          </w:p>
        </w:tc>
        <w:tc>
          <w:tcPr>
            <w:tcW w:w="2280" w:type="dxa"/>
            <w:noWrap w:val="0"/>
            <w:vAlign w:val="center"/>
          </w:tcPr>
          <w:p w14:paraId="2BBD8C29">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pP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t>县委编办、县卫生健康局、县人力资源社会保障局</w:t>
            </w:r>
          </w:p>
        </w:tc>
        <w:tc>
          <w:tcPr>
            <w:tcW w:w="1384" w:type="dxa"/>
            <w:noWrap w:val="0"/>
            <w:vAlign w:val="center"/>
          </w:tcPr>
          <w:p w14:paraId="08F860E3">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pP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t>2025年底</w:t>
            </w:r>
          </w:p>
        </w:tc>
      </w:tr>
      <w:tr w14:paraId="2A4D0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atLeast"/>
          <w:jc w:val="center"/>
        </w:trPr>
        <w:tc>
          <w:tcPr>
            <w:tcW w:w="1008" w:type="dxa"/>
            <w:noWrap w:val="0"/>
            <w:vAlign w:val="center"/>
          </w:tcPr>
          <w:p w14:paraId="3D891178">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pP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t>1</w:t>
            </w:r>
            <w:r>
              <w:rPr>
                <w:rFonts w:hint="eastAsia"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t>6</w:t>
            </w:r>
          </w:p>
        </w:tc>
        <w:tc>
          <w:tcPr>
            <w:tcW w:w="1429" w:type="dxa"/>
            <w:noWrap w:val="0"/>
            <w:vAlign w:val="center"/>
          </w:tcPr>
          <w:p w14:paraId="7ADDF7A9">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pP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lang w:eastAsia="zh-CN"/>
              </w:rPr>
              <w:t>深化</w:t>
            </w: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rPr>
              <w:t>薪酬制度</w:t>
            </w: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lang w:eastAsia="zh-CN"/>
              </w:rPr>
              <w:t>改革</w:t>
            </w:r>
          </w:p>
        </w:tc>
        <w:tc>
          <w:tcPr>
            <w:tcW w:w="8010" w:type="dxa"/>
            <w:noWrap w:val="0"/>
            <w:vAlign w:val="center"/>
          </w:tcPr>
          <w:p w14:paraId="39A621B3">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jc w:val="both"/>
              <w:textAlignment w:val="auto"/>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pP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t>落实“允许医疗卫生机构突破现行事业单位工资调控水平，允许医疗服务收入扣除成本并按规定提取各项基金后主要用于人员奖励”要求，合理确定、动态调整公立医院薪酬水平，合理确定人员支出占公立医院业务支出的比例。建立主要体现岗位职责和知识价值的薪酬体系，实行以岗定责、以岗定薪、责薪相适、考核兑现。在核定的薪酬总量内，公立医院可采取多种方式自主分配。公立医院内部分配应兼顾不同科室之间的平衡，向关键紧缺岗位、高风险和高强度岗位，高层次人才、业务骨干等倾斜。健全公立医院负责人薪酬激励机制，公立医院主要负责人薪酬水平应与其他负责人、本单位职工薪酬水平保持合理关系。鼓励对主要负责人实行年薪制。</w:t>
            </w:r>
          </w:p>
        </w:tc>
        <w:tc>
          <w:tcPr>
            <w:tcW w:w="2280" w:type="dxa"/>
            <w:noWrap w:val="0"/>
            <w:vAlign w:val="center"/>
          </w:tcPr>
          <w:p w14:paraId="1811604A">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pP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t>县人力资源社会保障局、县财政局、县卫生健康局</w:t>
            </w:r>
          </w:p>
        </w:tc>
        <w:tc>
          <w:tcPr>
            <w:tcW w:w="1384" w:type="dxa"/>
            <w:noWrap w:val="0"/>
            <w:vAlign w:val="center"/>
          </w:tcPr>
          <w:p w14:paraId="577E311D">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pPr>
            <w:r>
              <w:rPr>
                <w:rFonts w:hint="eastAsia"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t>持续推进</w:t>
            </w:r>
          </w:p>
        </w:tc>
      </w:tr>
      <w:tr w14:paraId="222AF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1008" w:type="dxa"/>
            <w:noWrap w:val="0"/>
            <w:vAlign w:val="center"/>
          </w:tcPr>
          <w:p w14:paraId="0408B18B">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pPr>
            <w:r>
              <w:rPr>
                <w:rFonts w:hint="eastAsia"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t>17</w:t>
            </w:r>
          </w:p>
        </w:tc>
        <w:tc>
          <w:tcPr>
            <w:tcW w:w="1429" w:type="dxa"/>
            <w:noWrap w:val="0"/>
            <w:vAlign w:val="center"/>
          </w:tcPr>
          <w:p w14:paraId="25010981">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lang w:eastAsia="zh-CN"/>
              </w:rPr>
            </w:pP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lang w:eastAsia="zh-CN"/>
              </w:rPr>
              <w:t>完善培养评价制度</w:t>
            </w:r>
          </w:p>
        </w:tc>
        <w:tc>
          <w:tcPr>
            <w:tcW w:w="8010" w:type="dxa"/>
            <w:noWrap w:val="0"/>
            <w:vAlign w:val="center"/>
          </w:tcPr>
          <w:p w14:paraId="320B1227">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jc w:val="both"/>
              <w:textAlignment w:val="auto"/>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pP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t>落实住院医师规范化培训、专科医师规范化培训和继续医学教育制度。加强老年、儿科、重症、传染病、精神、急诊、康复等紧缺护理专业护士培养培训。坚持分层分类评价，进一步细化以品德能力业绩贡献为导向的职称评价标准，推行成果代表作制度，淡化论文数量要求。</w:t>
            </w:r>
          </w:p>
        </w:tc>
        <w:tc>
          <w:tcPr>
            <w:tcW w:w="2280" w:type="dxa"/>
            <w:noWrap w:val="0"/>
            <w:vAlign w:val="center"/>
          </w:tcPr>
          <w:p w14:paraId="3731BE52">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pP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t>县卫生健康局、县人力资源社会</w:t>
            </w:r>
          </w:p>
          <w:p w14:paraId="4F7F1BC6">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pP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t>保障局</w:t>
            </w:r>
          </w:p>
        </w:tc>
        <w:tc>
          <w:tcPr>
            <w:tcW w:w="1384" w:type="dxa"/>
            <w:noWrap w:val="0"/>
            <w:vAlign w:val="center"/>
          </w:tcPr>
          <w:p w14:paraId="494B0292">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pPr>
            <w:r>
              <w:rPr>
                <w:rFonts w:hint="eastAsia"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t>持续推进</w:t>
            </w:r>
          </w:p>
        </w:tc>
      </w:tr>
      <w:tr w14:paraId="665AA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0" w:hRule="atLeast"/>
          <w:jc w:val="center"/>
        </w:trPr>
        <w:tc>
          <w:tcPr>
            <w:tcW w:w="1008" w:type="dxa"/>
            <w:noWrap w:val="0"/>
            <w:vAlign w:val="center"/>
          </w:tcPr>
          <w:p w14:paraId="4403BDFD">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pPr>
            <w:r>
              <w:rPr>
                <w:rFonts w:hint="eastAsia"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t>18</w:t>
            </w:r>
          </w:p>
        </w:tc>
        <w:tc>
          <w:tcPr>
            <w:tcW w:w="1429" w:type="dxa"/>
            <w:noWrap w:val="0"/>
            <w:vAlign w:val="center"/>
          </w:tcPr>
          <w:p w14:paraId="2838BF67">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lang w:eastAsia="zh-CN"/>
              </w:rPr>
            </w:pP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lang w:eastAsia="zh-CN"/>
              </w:rPr>
              <w:t>深化医疗服务价格改革</w:t>
            </w:r>
          </w:p>
        </w:tc>
        <w:tc>
          <w:tcPr>
            <w:tcW w:w="8010" w:type="dxa"/>
            <w:noWrap w:val="0"/>
            <w:vAlign w:val="center"/>
          </w:tcPr>
          <w:p w14:paraId="71E9C3A4">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jc w:val="both"/>
              <w:textAlignment w:val="auto"/>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pP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t>建立健全适应经济社会发展、更好发挥政府作用、医疗机构充分参与、体现技术劳务价值的医疗服务价格形成机制。统筹兼顾医疗发展需要和各方承受能力，调控医疗服务价格总体水平。建立健全医疗服务价格动态调整机制，科学确立启动条件、调价空间、调整方法，定期开展调价评估，达到启动条件的严格按照规范流程调整医疗服务价格，支持公立医院优化收入结构，提高医疗服务收入（不含药品、耗材、检查、检验收入）占医疗收入的比例。严格执行全省统一的医疗服务项目价格规范。建立医疗服务价格监测制度，定期监测公立医疗机构医疗服务价格、成本、费用、收入分配及改革运行情况等，作为实施医疗服务价格动态调整的基础。</w:t>
            </w:r>
          </w:p>
        </w:tc>
        <w:tc>
          <w:tcPr>
            <w:tcW w:w="2280" w:type="dxa"/>
            <w:noWrap w:val="0"/>
            <w:vAlign w:val="center"/>
          </w:tcPr>
          <w:p w14:paraId="7B683315">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pP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t>县医保局、县卫生健康局、县市场</w:t>
            </w:r>
          </w:p>
          <w:p w14:paraId="52E64554">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pP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t>监管局</w:t>
            </w:r>
          </w:p>
        </w:tc>
        <w:tc>
          <w:tcPr>
            <w:tcW w:w="1384" w:type="dxa"/>
            <w:noWrap w:val="0"/>
            <w:vAlign w:val="center"/>
          </w:tcPr>
          <w:p w14:paraId="66A68654">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pPr>
            <w:r>
              <w:rPr>
                <w:rFonts w:hint="eastAsia"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t>持续推进</w:t>
            </w:r>
          </w:p>
        </w:tc>
      </w:tr>
      <w:tr w14:paraId="796CD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7" w:hRule="atLeast"/>
          <w:jc w:val="center"/>
        </w:trPr>
        <w:tc>
          <w:tcPr>
            <w:tcW w:w="1008" w:type="dxa"/>
            <w:noWrap w:val="0"/>
            <w:vAlign w:val="center"/>
          </w:tcPr>
          <w:p w14:paraId="01D1078B">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pP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t>1</w:t>
            </w:r>
            <w:r>
              <w:rPr>
                <w:rFonts w:hint="eastAsia"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t>9</w:t>
            </w:r>
          </w:p>
        </w:tc>
        <w:tc>
          <w:tcPr>
            <w:tcW w:w="1429" w:type="dxa"/>
            <w:noWrap w:val="0"/>
            <w:vAlign w:val="center"/>
          </w:tcPr>
          <w:p w14:paraId="639BDB96">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pP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rPr>
              <w:t>深化医保支付方式改革</w:t>
            </w:r>
          </w:p>
        </w:tc>
        <w:tc>
          <w:tcPr>
            <w:tcW w:w="8010" w:type="dxa"/>
            <w:noWrap w:val="0"/>
            <w:vAlign w:val="center"/>
          </w:tcPr>
          <w:p w14:paraId="516E273E">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jc w:val="both"/>
              <w:textAlignment w:val="auto"/>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pP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t>全力推进疾病诊断相关分组（DRG）结合点数法付费改革工作，不断扩大支付改革覆盖面，建立健全适合全县实际的医保支付体系。加强医保基金收支预算管理，逐步实行统筹区域内医保基金总额控制。规范医保协议管理，明确结算时限，细化结算规则，确保基金及时足额拨付。指导推动公立医院积极参与国家及省际联盟组织药品和医用耗材集中采购使用改革，履行合同约定采购量，落实医保资金结余留用政策。探索将中医优势病种纳入支付方式改革范围，落实职工医保普通门诊费用统筹保障机制，将符合基本医疗保障政策规定的中医诊疗项目、中药饮片和民族药品纳入门诊统筹支付范围，鼓励实行中西医同病同效同价。</w:t>
            </w:r>
          </w:p>
        </w:tc>
        <w:tc>
          <w:tcPr>
            <w:tcW w:w="2280" w:type="dxa"/>
            <w:noWrap w:val="0"/>
            <w:vAlign w:val="center"/>
          </w:tcPr>
          <w:p w14:paraId="3571CDA9">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pP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t>县医保局、县卫生</w:t>
            </w:r>
            <w:bookmarkStart w:id="0" w:name="_GoBack"/>
            <w:bookmarkEnd w:id="0"/>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t>健康局</w:t>
            </w:r>
          </w:p>
        </w:tc>
        <w:tc>
          <w:tcPr>
            <w:tcW w:w="1384" w:type="dxa"/>
            <w:noWrap w:val="0"/>
            <w:vAlign w:val="center"/>
          </w:tcPr>
          <w:p w14:paraId="196EA8C1">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pP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t>2024年底</w:t>
            </w:r>
          </w:p>
        </w:tc>
      </w:tr>
      <w:tr w14:paraId="40590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6" w:hRule="atLeast"/>
          <w:jc w:val="center"/>
        </w:trPr>
        <w:tc>
          <w:tcPr>
            <w:tcW w:w="1008" w:type="dxa"/>
            <w:noWrap w:val="0"/>
            <w:vAlign w:val="center"/>
          </w:tcPr>
          <w:p w14:paraId="4C7051C5">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auto"/>
              <w:rPr>
                <w:rFonts w:hint="default" w:ascii="Times New Roman" w:hAnsi="Times New Roman" w:eastAsia="方正仿宋_GBK" w:cs="Times New Roman"/>
                <w:b w:val="0"/>
                <w:bCs w:val="0"/>
                <w:i w:val="0"/>
                <w:caps w:val="0"/>
                <w:color w:val="auto"/>
                <w:spacing w:val="0"/>
                <w:kern w:val="0"/>
                <w:sz w:val="24"/>
                <w:szCs w:val="24"/>
                <w:highlight w:val="none"/>
                <w:u w:val="none"/>
                <w:shd w:val="clear" w:color="auto" w:fill="FFFFFF"/>
                <w:vertAlign w:val="baseline"/>
                <w:lang w:val="en-US" w:eastAsia="zh-CN" w:bidi="ar"/>
              </w:rPr>
            </w:pPr>
            <w:r>
              <w:rPr>
                <w:rFonts w:hint="eastAsia" w:ascii="Times New Roman" w:hAnsi="Times New Roman" w:eastAsia="方正仿宋_GBK" w:cs="Times New Roman"/>
                <w:b w:val="0"/>
                <w:bCs w:val="0"/>
                <w:i w:val="0"/>
                <w:caps w:val="0"/>
                <w:color w:val="auto"/>
                <w:spacing w:val="0"/>
                <w:kern w:val="0"/>
                <w:sz w:val="24"/>
                <w:szCs w:val="24"/>
                <w:highlight w:val="none"/>
                <w:u w:val="none"/>
                <w:shd w:val="clear" w:color="auto" w:fill="FFFFFF"/>
                <w:vertAlign w:val="baseline"/>
                <w:lang w:val="en-US" w:eastAsia="zh-CN" w:bidi="ar"/>
              </w:rPr>
              <w:t>20</w:t>
            </w:r>
          </w:p>
        </w:tc>
        <w:tc>
          <w:tcPr>
            <w:tcW w:w="1429" w:type="dxa"/>
            <w:noWrap w:val="0"/>
            <w:vAlign w:val="center"/>
          </w:tcPr>
          <w:p w14:paraId="500515A9">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auto"/>
              <w:rPr>
                <w:rFonts w:hint="default" w:ascii="Times New Roman" w:hAnsi="Times New Roman" w:eastAsia="方正仿宋_GBK" w:cs="Times New Roman"/>
                <w:b w:val="0"/>
                <w:bCs w:val="0"/>
                <w:i w:val="0"/>
                <w:caps w:val="0"/>
                <w:color w:val="auto"/>
                <w:spacing w:val="0"/>
                <w:kern w:val="0"/>
                <w:sz w:val="24"/>
                <w:szCs w:val="24"/>
                <w:highlight w:val="none"/>
                <w:u w:val="none"/>
                <w:shd w:val="clear" w:color="auto" w:fill="FFFFFF"/>
                <w:vertAlign w:val="baseline"/>
                <w:lang w:val="en-US" w:eastAsia="zh-CN" w:bidi="ar"/>
              </w:rPr>
            </w:pP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t>关心关爱医务人员</w:t>
            </w:r>
          </w:p>
        </w:tc>
        <w:tc>
          <w:tcPr>
            <w:tcW w:w="8010" w:type="dxa"/>
            <w:noWrap w:val="0"/>
            <w:vAlign w:val="center"/>
          </w:tcPr>
          <w:p w14:paraId="41129A16">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auto"/>
              <w:rPr>
                <w:rFonts w:hint="default" w:ascii="Times New Roman" w:hAnsi="Times New Roman" w:eastAsia="方正仿宋_GBK" w:cs="Times New Roman"/>
                <w:b w:val="0"/>
                <w:bCs w:val="0"/>
                <w:i w:val="0"/>
                <w:caps w:val="0"/>
                <w:color w:val="auto"/>
                <w:spacing w:val="0"/>
                <w:kern w:val="0"/>
                <w:sz w:val="24"/>
                <w:szCs w:val="24"/>
                <w:highlight w:val="none"/>
                <w:u w:val="none"/>
                <w:shd w:val="clear" w:color="auto" w:fill="FFFFFF"/>
                <w:vertAlign w:val="baseline"/>
                <w:lang w:val="en-US" w:eastAsia="zh-CN" w:bidi="ar"/>
              </w:rPr>
            </w:pPr>
            <w:r>
              <w:rPr>
                <w:rFonts w:hint="default" w:ascii="Times New Roman" w:hAnsi="Times New Roman" w:eastAsia="方正仿宋_GBK" w:cs="Times New Roman"/>
                <w:b w:val="0"/>
                <w:bCs w:val="0"/>
                <w:i w:val="0"/>
                <w:caps w:val="0"/>
                <w:color w:val="auto"/>
                <w:spacing w:val="0"/>
                <w:kern w:val="0"/>
                <w:sz w:val="24"/>
                <w:szCs w:val="24"/>
                <w:highlight w:val="none"/>
                <w:u w:val="none"/>
                <w:shd w:val="clear" w:color="auto" w:fill="FFFFFF"/>
                <w:vertAlign w:val="baseline"/>
                <w:lang w:val="en-US" w:eastAsia="zh-CN" w:bidi="ar"/>
              </w:rPr>
              <w:t>通过改善值班条件、落实休假制度、假期子女托管、争取人才公寓等方式，建立关心关爱医务人员长效机制和职工关爱帮扶机制。鼓励公立医院通过设立青年学习基金等多种方式，关心年轻医务人员成长。建立医务人员职业荣誉制度。加强医院安全防范，强化安保队伍建设，县人民医院、县中医医院安防系统建设达标率达100%。健全完善医疗纠纷预防和处理机制，依法严厉打击医闹、暴力伤医等涉医违法犯罪行为。</w:t>
            </w:r>
          </w:p>
        </w:tc>
        <w:tc>
          <w:tcPr>
            <w:tcW w:w="2280" w:type="dxa"/>
            <w:noWrap w:val="0"/>
            <w:vAlign w:val="center"/>
          </w:tcPr>
          <w:p w14:paraId="089BCE55">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auto"/>
              <w:rPr>
                <w:rFonts w:hint="default" w:ascii="Times New Roman" w:hAnsi="Times New Roman" w:eastAsia="方正仿宋_GBK" w:cs="Times New Roman"/>
                <w:b w:val="0"/>
                <w:bCs w:val="0"/>
                <w:i w:val="0"/>
                <w:caps w:val="0"/>
                <w:color w:val="auto"/>
                <w:spacing w:val="0"/>
                <w:kern w:val="0"/>
                <w:sz w:val="24"/>
                <w:szCs w:val="24"/>
                <w:highlight w:val="none"/>
                <w:u w:val="none"/>
                <w:shd w:val="clear" w:color="auto" w:fill="FFFFFF"/>
                <w:vertAlign w:val="baseline"/>
                <w:lang w:val="en-US" w:eastAsia="zh-CN" w:bidi="ar"/>
              </w:rPr>
            </w:pP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t>县委组织部、县委政法委、县卫生健康局、县公安局、县司法局、县人力资源社会保障局，各镇人民政府</w:t>
            </w:r>
          </w:p>
        </w:tc>
        <w:tc>
          <w:tcPr>
            <w:tcW w:w="1384" w:type="dxa"/>
            <w:noWrap w:val="0"/>
            <w:vAlign w:val="center"/>
          </w:tcPr>
          <w:p w14:paraId="7EC89395">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auto"/>
              <w:rPr>
                <w:rFonts w:hint="default" w:ascii="Times New Roman" w:hAnsi="Times New Roman" w:eastAsia="方正仿宋_GBK" w:cs="Times New Roman"/>
                <w:b w:val="0"/>
                <w:bCs w:val="0"/>
                <w:i w:val="0"/>
                <w:caps w:val="0"/>
                <w:color w:val="auto"/>
                <w:spacing w:val="0"/>
                <w:kern w:val="0"/>
                <w:sz w:val="24"/>
                <w:szCs w:val="24"/>
                <w:highlight w:val="none"/>
                <w:u w:val="none"/>
                <w:shd w:val="clear" w:color="auto" w:fill="FFFFFF"/>
                <w:vertAlign w:val="baseline"/>
                <w:lang w:val="en-US" w:eastAsia="zh-CN" w:bidi="ar"/>
              </w:rPr>
            </w:pPr>
            <w:r>
              <w:rPr>
                <w:rFonts w:hint="eastAsia" w:ascii="Times New Roman" w:hAnsi="Times New Roman" w:eastAsia="方正仿宋_GBK" w:cs="Times New Roman"/>
                <w:b w:val="0"/>
                <w:bCs w:val="0"/>
                <w:i w:val="0"/>
                <w:caps w:val="0"/>
                <w:color w:val="auto"/>
                <w:spacing w:val="0"/>
                <w:sz w:val="24"/>
                <w:szCs w:val="24"/>
                <w:highlight w:val="none"/>
                <w:u w:val="none"/>
                <w:shd w:val="clear" w:color="auto" w:fill="FFFFFF"/>
                <w:vertAlign w:val="baseline"/>
                <w:lang w:val="en-US" w:eastAsia="zh-CN"/>
              </w:rPr>
              <w:t>持续推进</w:t>
            </w:r>
          </w:p>
        </w:tc>
      </w:tr>
      <w:tr w14:paraId="2BE7F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3" w:hRule="atLeast"/>
          <w:jc w:val="center"/>
        </w:trPr>
        <w:tc>
          <w:tcPr>
            <w:tcW w:w="1008" w:type="dxa"/>
            <w:noWrap w:val="0"/>
            <w:vAlign w:val="center"/>
          </w:tcPr>
          <w:p w14:paraId="7E0000C5">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auto"/>
              <w:rPr>
                <w:rFonts w:hint="default" w:ascii="Times New Roman" w:hAnsi="Times New Roman" w:eastAsia="方正仿宋_GBK" w:cs="Times New Roman"/>
                <w:b w:val="0"/>
                <w:bCs w:val="0"/>
                <w:i w:val="0"/>
                <w:caps w:val="0"/>
                <w:color w:val="auto"/>
                <w:spacing w:val="0"/>
                <w:kern w:val="0"/>
                <w:sz w:val="24"/>
                <w:szCs w:val="24"/>
                <w:highlight w:val="none"/>
                <w:u w:val="none"/>
                <w:shd w:val="clear" w:color="auto" w:fill="FFFFFF"/>
                <w:vertAlign w:val="baseline"/>
                <w:lang w:val="en-US" w:eastAsia="zh-CN" w:bidi="ar"/>
              </w:rPr>
            </w:pPr>
            <w:r>
              <w:rPr>
                <w:rFonts w:hint="eastAsia" w:ascii="Times New Roman" w:hAnsi="Times New Roman" w:eastAsia="方正仿宋_GBK" w:cs="Times New Roman"/>
                <w:b w:val="0"/>
                <w:bCs w:val="0"/>
                <w:i w:val="0"/>
                <w:caps w:val="0"/>
                <w:color w:val="auto"/>
                <w:spacing w:val="0"/>
                <w:kern w:val="0"/>
                <w:sz w:val="24"/>
                <w:szCs w:val="24"/>
                <w:highlight w:val="none"/>
                <w:u w:val="none"/>
                <w:shd w:val="clear" w:color="auto" w:fill="FFFFFF"/>
                <w:vertAlign w:val="baseline"/>
                <w:lang w:val="en-US" w:eastAsia="zh-CN" w:bidi="ar"/>
              </w:rPr>
              <w:t>21</w:t>
            </w:r>
          </w:p>
        </w:tc>
        <w:tc>
          <w:tcPr>
            <w:tcW w:w="1429" w:type="dxa"/>
            <w:noWrap w:val="0"/>
            <w:vAlign w:val="center"/>
          </w:tcPr>
          <w:p w14:paraId="5CB2A07F">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auto"/>
              <w:rPr>
                <w:rFonts w:hint="default" w:ascii="Times New Roman" w:hAnsi="Times New Roman" w:eastAsia="方正仿宋_GBK" w:cs="Times New Roman"/>
                <w:b w:val="0"/>
                <w:bCs w:val="0"/>
                <w:i w:val="0"/>
                <w:caps w:val="0"/>
                <w:color w:val="auto"/>
                <w:spacing w:val="0"/>
                <w:kern w:val="0"/>
                <w:sz w:val="24"/>
                <w:szCs w:val="24"/>
                <w:highlight w:val="none"/>
                <w:u w:val="none"/>
                <w:shd w:val="clear" w:color="auto" w:fill="FFFFFF"/>
                <w:vertAlign w:val="baseline"/>
                <w:lang w:val="en-US" w:eastAsia="zh-CN" w:bidi="ar"/>
              </w:rPr>
            </w:pPr>
            <w:r>
              <w:rPr>
                <w:rFonts w:hint="default" w:ascii="Times New Roman" w:hAnsi="Times New Roman" w:eastAsia="方正仿宋_GBK" w:cs="Times New Roman"/>
                <w:b w:val="0"/>
                <w:bCs w:val="0"/>
                <w:i w:val="0"/>
                <w:caps w:val="0"/>
                <w:color w:val="auto"/>
                <w:spacing w:val="0"/>
                <w:kern w:val="0"/>
                <w:sz w:val="24"/>
                <w:szCs w:val="24"/>
                <w:highlight w:val="none"/>
                <w:u w:val="none"/>
                <w:shd w:val="clear" w:color="auto" w:fill="FFFFFF"/>
                <w:vertAlign w:val="baseline"/>
                <w:lang w:val="en-US" w:eastAsia="zh-CN" w:bidi="ar"/>
              </w:rPr>
              <w:t>全面贯彻落实党委领导下的院长负责制</w:t>
            </w:r>
          </w:p>
        </w:tc>
        <w:tc>
          <w:tcPr>
            <w:tcW w:w="8010" w:type="dxa"/>
            <w:noWrap w:val="0"/>
            <w:vAlign w:val="center"/>
          </w:tcPr>
          <w:p w14:paraId="5D13A9B1">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auto"/>
              <w:rPr>
                <w:rFonts w:hint="default" w:ascii="Times New Roman" w:hAnsi="Times New Roman" w:eastAsia="方正仿宋_GBK" w:cs="Times New Roman"/>
                <w:b w:val="0"/>
                <w:bCs w:val="0"/>
                <w:i w:val="0"/>
                <w:caps w:val="0"/>
                <w:color w:val="auto"/>
                <w:spacing w:val="0"/>
                <w:kern w:val="0"/>
                <w:sz w:val="24"/>
                <w:szCs w:val="24"/>
                <w:highlight w:val="none"/>
                <w:u w:val="none"/>
                <w:shd w:val="clear" w:color="auto" w:fill="FFFFFF"/>
                <w:vertAlign w:val="baseline"/>
                <w:lang w:val="en-US" w:eastAsia="zh-CN" w:bidi="ar"/>
              </w:rPr>
            </w:pPr>
            <w:r>
              <w:rPr>
                <w:rFonts w:hint="default" w:ascii="Times New Roman" w:hAnsi="Times New Roman" w:eastAsia="方正仿宋_GBK" w:cs="Times New Roman"/>
                <w:b w:val="0"/>
                <w:bCs w:val="0"/>
                <w:i w:val="0"/>
                <w:caps w:val="0"/>
                <w:color w:val="auto"/>
                <w:spacing w:val="0"/>
                <w:kern w:val="0"/>
                <w:sz w:val="24"/>
                <w:szCs w:val="24"/>
                <w:highlight w:val="none"/>
                <w:u w:val="none"/>
                <w:shd w:val="clear" w:color="auto" w:fill="FFFFFF"/>
                <w:vertAlign w:val="baseline"/>
                <w:lang w:val="en-US" w:eastAsia="zh-CN" w:bidi="ar"/>
              </w:rPr>
              <w:t>发挥公立医院党委把方向、管大局、作决策、促改革、保落实的领导作用，加强对医院工作的全面领导，支持院长依法依规独立负责行使职权。健全党委会会议、院长办公会议等议事决策制度，建立书记、院长定期沟通和党委领导下的院长负责制执行情况报告制度。把加强党的领导和党的建设有关要求写入医院章程，明确党组织设置形式、地位作用、职责权限和党务工作机构人员配备、经费保障等内容要求。明确党委研究决定医院重大问题机制，把党的领导融入医院治理和现代医院管理全过程、各环节。</w:t>
            </w:r>
          </w:p>
        </w:tc>
        <w:tc>
          <w:tcPr>
            <w:tcW w:w="2280" w:type="dxa"/>
            <w:noWrap w:val="0"/>
            <w:vAlign w:val="center"/>
          </w:tcPr>
          <w:p w14:paraId="58469973">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auto"/>
              <w:rPr>
                <w:rFonts w:hint="default" w:ascii="Times New Roman" w:hAnsi="Times New Roman" w:eastAsia="方正仿宋_GBK" w:cs="Times New Roman"/>
                <w:b w:val="0"/>
                <w:bCs w:val="0"/>
                <w:i w:val="0"/>
                <w:caps w:val="0"/>
                <w:color w:val="auto"/>
                <w:spacing w:val="0"/>
                <w:kern w:val="0"/>
                <w:sz w:val="24"/>
                <w:szCs w:val="24"/>
                <w:highlight w:val="none"/>
                <w:u w:val="none"/>
                <w:shd w:val="clear" w:color="auto" w:fill="FFFFFF"/>
                <w:vertAlign w:val="baseline"/>
                <w:lang w:val="en-US" w:eastAsia="zh-CN" w:bidi="ar"/>
              </w:rPr>
            </w:pPr>
            <w:r>
              <w:rPr>
                <w:rFonts w:hint="default" w:ascii="Times New Roman" w:hAnsi="Times New Roman" w:eastAsia="方正仿宋_GBK" w:cs="Times New Roman"/>
                <w:b w:val="0"/>
                <w:bCs w:val="0"/>
                <w:i w:val="0"/>
                <w:caps w:val="0"/>
                <w:color w:val="auto"/>
                <w:spacing w:val="0"/>
                <w:kern w:val="0"/>
                <w:sz w:val="24"/>
                <w:szCs w:val="24"/>
                <w:highlight w:val="none"/>
                <w:u w:val="none"/>
                <w:shd w:val="clear" w:color="auto" w:fill="FFFFFF"/>
                <w:vertAlign w:val="baseline"/>
                <w:lang w:val="en-US" w:eastAsia="zh-CN" w:bidi="ar"/>
              </w:rPr>
              <w:t>县委组织部、县卫生健康局</w:t>
            </w:r>
          </w:p>
        </w:tc>
        <w:tc>
          <w:tcPr>
            <w:tcW w:w="1384" w:type="dxa"/>
            <w:noWrap w:val="0"/>
            <w:vAlign w:val="center"/>
          </w:tcPr>
          <w:p w14:paraId="3086C57C">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auto"/>
              <w:rPr>
                <w:rFonts w:hint="default" w:ascii="Times New Roman" w:hAnsi="Times New Roman" w:eastAsia="方正仿宋_GBK" w:cs="Times New Roman"/>
                <w:b w:val="0"/>
                <w:bCs w:val="0"/>
                <w:i w:val="0"/>
                <w:caps w:val="0"/>
                <w:color w:val="auto"/>
                <w:spacing w:val="0"/>
                <w:kern w:val="0"/>
                <w:sz w:val="24"/>
                <w:szCs w:val="24"/>
                <w:highlight w:val="none"/>
                <w:u w:val="none"/>
                <w:shd w:val="clear" w:color="auto" w:fill="FFFFFF"/>
                <w:vertAlign w:val="baseline"/>
                <w:lang w:val="en-US" w:eastAsia="zh-CN" w:bidi="ar"/>
              </w:rPr>
            </w:pPr>
            <w:r>
              <w:rPr>
                <w:rFonts w:hint="eastAsia" w:ascii="Times New Roman" w:hAnsi="Times New Roman" w:eastAsia="方正仿宋_GBK" w:cs="Times New Roman"/>
                <w:b w:val="0"/>
                <w:bCs w:val="0"/>
                <w:i w:val="0"/>
                <w:caps w:val="0"/>
                <w:color w:val="auto"/>
                <w:spacing w:val="0"/>
                <w:kern w:val="0"/>
                <w:sz w:val="24"/>
                <w:szCs w:val="24"/>
                <w:highlight w:val="none"/>
                <w:u w:val="none"/>
                <w:shd w:val="clear" w:color="auto" w:fill="FFFFFF"/>
                <w:vertAlign w:val="baseline"/>
                <w:lang w:val="en-US" w:eastAsia="zh-CN" w:bidi="ar"/>
              </w:rPr>
              <w:t>持续推进</w:t>
            </w:r>
          </w:p>
        </w:tc>
      </w:tr>
      <w:tr w14:paraId="2FB51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1008" w:type="dxa"/>
            <w:noWrap w:val="0"/>
            <w:vAlign w:val="center"/>
          </w:tcPr>
          <w:p w14:paraId="1FECD1DE">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auto"/>
              <w:rPr>
                <w:rFonts w:hint="default" w:ascii="Times New Roman" w:hAnsi="Times New Roman" w:eastAsia="方正仿宋_GBK" w:cs="Times New Roman"/>
                <w:b w:val="0"/>
                <w:bCs w:val="0"/>
                <w:i w:val="0"/>
                <w:caps w:val="0"/>
                <w:color w:val="auto"/>
                <w:spacing w:val="0"/>
                <w:kern w:val="0"/>
                <w:sz w:val="24"/>
                <w:szCs w:val="24"/>
                <w:highlight w:val="none"/>
                <w:u w:val="none"/>
                <w:shd w:val="clear" w:color="auto" w:fill="FFFFFF"/>
                <w:vertAlign w:val="baseline"/>
                <w:lang w:val="en-US" w:eastAsia="zh-CN" w:bidi="ar"/>
              </w:rPr>
            </w:pPr>
            <w:r>
              <w:rPr>
                <w:rFonts w:hint="eastAsia" w:ascii="Times New Roman" w:hAnsi="Times New Roman" w:eastAsia="方正仿宋_GBK" w:cs="Times New Roman"/>
                <w:b w:val="0"/>
                <w:bCs w:val="0"/>
                <w:i w:val="0"/>
                <w:caps w:val="0"/>
                <w:color w:val="auto"/>
                <w:spacing w:val="0"/>
                <w:kern w:val="0"/>
                <w:sz w:val="24"/>
                <w:szCs w:val="24"/>
                <w:highlight w:val="none"/>
                <w:u w:val="none"/>
                <w:shd w:val="clear" w:color="auto" w:fill="FFFFFF"/>
                <w:vertAlign w:val="baseline"/>
                <w:lang w:val="en-US" w:eastAsia="zh-CN" w:bidi="ar"/>
              </w:rPr>
              <w:t>22</w:t>
            </w:r>
          </w:p>
        </w:tc>
        <w:tc>
          <w:tcPr>
            <w:tcW w:w="1429" w:type="dxa"/>
            <w:noWrap w:val="0"/>
            <w:vAlign w:val="center"/>
          </w:tcPr>
          <w:p w14:paraId="3940B1D7">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auto"/>
              <w:rPr>
                <w:rFonts w:hint="default" w:ascii="Times New Roman" w:hAnsi="Times New Roman" w:eastAsia="方正仿宋_GBK" w:cs="Times New Roman"/>
                <w:b w:val="0"/>
                <w:bCs w:val="0"/>
                <w:i w:val="0"/>
                <w:caps w:val="0"/>
                <w:color w:val="auto"/>
                <w:spacing w:val="0"/>
                <w:kern w:val="0"/>
                <w:sz w:val="24"/>
                <w:szCs w:val="24"/>
                <w:highlight w:val="none"/>
                <w:u w:val="none"/>
                <w:shd w:val="clear" w:color="auto" w:fill="FFFFFF"/>
                <w:vertAlign w:val="baseline"/>
                <w:lang w:val="en-US" w:eastAsia="zh-CN" w:bidi="ar"/>
              </w:rPr>
            </w:pPr>
            <w:r>
              <w:rPr>
                <w:rFonts w:hint="default" w:ascii="Times New Roman" w:hAnsi="Times New Roman" w:eastAsia="方正仿宋_GBK" w:cs="Times New Roman"/>
                <w:b w:val="0"/>
                <w:bCs w:val="0"/>
                <w:i w:val="0"/>
                <w:caps w:val="0"/>
                <w:color w:val="auto"/>
                <w:spacing w:val="0"/>
                <w:kern w:val="0"/>
                <w:sz w:val="24"/>
                <w:szCs w:val="24"/>
                <w:highlight w:val="none"/>
                <w:u w:val="none"/>
                <w:shd w:val="clear" w:color="auto" w:fill="FFFFFF"/>
                <w:vertAlign w:val="baseline"/>
                <w:lang w:val="en-US" w:eastAsia="zh-CN" w:bidi="ar"/>
              </w:rPr>
              <w:t>加强公立医院领导班子和干部人才队伍建设</w:t>
            </w:r>
          </w:p>
        </w:tc>
        <w:tc>
          <w:tcPr>
            <w:tcW w:w="8010" w:type="dxa"/>
            <w:noWrap w:val="0"/>
            <w:vAlign w:val="center"/>
          </w:tcPr>
          <w:p w14:paraId="0E67E088">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auto"/>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rPr>
            </w:pP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rPr>
              <w:t>按照干部管理权限，坚持政治强、促改革、懂业务、善管理、敢担当、作风正的标准，选优配强医院领导班子</w:t>
            </w: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lang w:eastAsia="zh-CN"/>
              </w:rPr>
              <w:t>，</w:t>
            </w: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rPr>
              <w:t>特别是党委书记和院长。允许实行院长聘任制。党委书记和院长分设的，党委书记一般不兼任行政领导职务，院长是中共党员的同时担任党委副书记。坚持党管干部原则，医院党委要按照干部选拔任用有关规定，制定实施医院内部组织机构负责人选拔任用实施办法。坚持党管人才原则，完善人才培养、使用和引进管理办法，建立医院领导班子成员联系服务高层次人才制度，严格执行医疗卫生人员定期到基层从事医疗卫生工作制度。完善以医德、能力、业绩为重点的人才评价体系。</w:t>
            </w:r>
          </w:p>
        </w:tc>
        <w:tc>
          <w:tcPr>
            <w:tcW w:w="2280" w:type="dxa"/>
            <w:noWrap w:val="0"/>
            <w:vAlign w:val="center"/>
          </w:tcPr>
          <w:p w14:paraId="38A606EA">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auto"/>
              <w:rPr>
                <w:rFonts w:hint="default" w:ascii="Times New Roman" w:hAnsi="Times New Roman" w:eastAsia="方正仿宋_GBK" w:cs="Times New Roman"/>
                <w:b w:val="0"/>
                <w:bCs w:val="0"/>
                <w:i w:val="0"/>
                <w:caps w:val="0"/>
                <w:color w:val="auto"/>
                <w:spacing w:val="0"/>
                <w:kern w:val="0"/>
                <w:sz w:val="24"/>
                <w:szCs w:val="24"/>
                <w:highlight w:val="none"/>
                <w:u w:val="none"/>
                <w:shd w:val="clear" w:color="auto" w:fill="FFFFFF"/>
                <w:vertAlign w:val="baseline"/>
                <w:lang w:val="en-US" w:eastAsia="zh-CN" w:bidi="ar"/>
              </w:rPr>
            </w:pPr>
            <w:r>
              <w:rPr>
                <w:rFonts w:hint="default" w:ascii="Times New Roman" w:hAnsi="Times New Roman" w:eastAsia="方正仿宋_GBK" w:cs="Times New Roman"/>
                <w:b w:val="0"/>
                <w:bCs w:val="0"/>
                <w:i w:val="0"/>
                <w:caps w:val="0"/>
                <w:color w:val="auto"/>
                <w:spacing w:val="0"/>
                <w:kern w:val="0"/>
                <w:sz w:val="24"/>
                <w:szCs w:val="24"/>
                <w:highlight w:val="none"/>
                <w:u w:val="none"/>
                <w:shd w:val="clear" w:color="auto" w:fill="FFFFFF"/>
                <w:vertAlign w:val="baseline"/>
                <w:lang w:val="en-US" w:eastAsia="zh-CN" w:bidi="ar"/>
              </w:rPr>
              <w:t>县委组织部、县卫生健康局</w:t>
            </w:r>
          </w:p>
        </w:tc>
        <w:tc>
          <w:tcPr>
            <w:tcW w:w="1384" w:type="dxa"/>
            <w:noWrap w:val="0"/>
            <w:vAlign w:val="center"/>
          </w:tcPr>
          <w:p w14:paraId="02E3447F">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auto"/>
              <w:rPr>
                <w:rFonts w:hint="default" w:ascii="Times New Roman" w:hAnsi="Times New Roman" w:eastAsia="方正仿宋_GBK" w:cs="Times New Roman"/>
                <w:b w:val="0"/>
                <w:bCs w:val="0"/>
                <w:i w:val="0"/>
                <w:caps w:val="0"/>
                <w:color w:val="auto"/>
                <w:spacing w:val="0"/>
                <w:kern w:val="0"/>
                <w:sz w:val="24"/>
                <w:szCs w:val="24"/>
                <w:highlight w:val="none"/>
                <w:u w:val="none"/>
                <w:shd w:val="clear" w:color="auto" w:fill="FFFFFF"/>
                <w:vertAlign w:val="baseline"/>
                <w:lang w:val="en-US" w:eastAsia="zh-CN" w:bidi="ar"/>
              </w:rPr>
            </w:pPr>
            <w:r>
              <w:rPr>
                <w:rFonts w:hint="eastAsia" w:ascii="Times New Roman" w:hAnsi="Times New Roman" w:eastAsia="方正仿宋_GBK" w:cs="Times New Roman"/>
                <w:b w:val="0"/>
                <w:bCs w:val="0"/>
                <w:i w:val="0"/>
                <w:caps w:val="0"/>
                <w:color w:val="auto"/>
                <w:spacing w:val="0"/>
                <w:kern w:val="0"/>
                <w:sz w:val="24"/>
                <w:szCs w:val="24"/>
                <w:highlight w:val="none"/>
                <w:u w:val="none"/>
                <w:shd w:val="clear" w:color="auto" w:fill="FFFFFF"/>
                <w:vertAlign w:val="baseline"/>
                <w:lang w:val="en-US" w:eastAsia="zh-CN" w:bidi="ar"/>
              </w:rPr>
              <w:t>持续推进</w:t>
            </w:r>
          </w:p>
        </w:tc>
      </w:tr>
      <w:tr w14:paraId="4FA9D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2" w:hRule="atLeast"/>
          <w:jc w:val="center"/>
        </w:trPr>
        <w:tc>
          <w:tcPr>
            <w:tcW w:w="1008" w:type="dxa"/>
            <w:noWrap w:val="0"/>
            <w:vAlign w:val="center"/>
          </w:tcPr>
          <w:p w14:paraId="6236AD41">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auto"/>
              <w:rPr>
                <w:rFonts w:hint="default" w:ascii="Times New Roman" w:hAnsi="Times New Roman" w:eastAsia="方正仿宋_GBK" w:cs="Times New Roman"/>
                <w:b w:val="0"/>
                <w:bCs w:val="0"/>
                <w:i w:val="0"/>
                <w:caps w:val="0"/>
                <w:color w:val="auto"/>
                <w:spacing w:val="0"/>
                <w:kern w:val="0"/>
                <w:sz w:val="24"/>
                <w:szCs w:val="24"/>
                <w:highlight w:val="none"/>
                <w:u w:val="none"/>
                <w:shd w:val="clear" w:color="auto" w:fill="FFFFFF"/>
                <w:vertAlign w:val="baseline"/>
                <w:lang w:val="en-US" w:eastAsia="zh-CN" w:bidi="ar"/>
              </w:rPr>
            </w:pPr>
            <w:r>
              <w:rPr>
                <w:rFonts w:hint="eastAsia" w:ascii="Times New Roman" w:hAnsi="Times New Roman" w:eastAsia="方正仿宋_GBK" w:cs="Times New Roman"/>
                <w:b w:val="0"/>
                <w:bCs w:val="0"/>
                <w:i w:val="0"/>
                <w:caps w:val="0"/>
                <w:color w:val="auto"/>
                <w:spacing w:val="0"/>
                <w:kern w:val="0"/>
                <w:sz w:val="24"/>
                <w:szCs w:val="24"/>
                <w:highlight w:val="none"/>
                <w:u w:val="none"/>
                <w:shd w:val="clear" w:color="auto" w:fill="FFFFFF"/>
                <w:vertAlign w:val="baseline"/>
                <w:lang w:val="en-US" w:eastAsia="zh-CN" w:bidi="ar"/>
              </w:rPr>
              <w:t>23</w:t>
            </w:r>
          </w:p>
        </w:tc>
        <w:tc>
          <w:tcPr>
            <w:tcW w:w="1429" w:type="dxa"/>
            <w:noWrap w:val="0"/>
            <w:vAlign w:val="center"/>
          </w:tcPr>
          <w:p w14:paraId="013E3278">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auto"/>
              <w:rPr>
                <w:rFonts w:hint="default" w:ascii="Times New Roman" w:hAnsi="Times New Roman" w:eastAsia="方正仿宋_GBK" w:cs="Times New Roman"/>
                <w:b w:val="0"/>
                <w:bCs w:val="0"/>
                <w:i w:val="0"/>
                <w:caps w:val="0"/>
                <w:color w:val="auto"/>
                <w:spacing w:val="0"/>
                <w:kern w:val="0"/>
                <w:sz w:val="24"/>
                <w:szCs w:val="24"/>
                <w:highlight w:val="none"/>
                <w:u w:val="none"/>
                <w:shd w:val="clear" w:color="auto" w:fill="FFFFFF"/>
                <w:vertAlign w:val="baseline"/>
                <w:lang w:val="en-US" w:eastAsia="zh-CN" w:bidi="ar"/>
              </w:rPr>
            </w:pPr>
            <w:r>
              <w:rPr>
                <w:rFonts w:hint="default" w:ascii="Times New Roman" w:hAnsi="Times New Roman" w:eastAsia="方正仿宋_GBK" w:cs="Times New Roman"/>
                <w:b w:val="0"/>
                <w:bCs w:val="0"/>
                <w:i w:val="0"/>
                <w:caps w:val="0"/>
                <w:color w:val="auto"/>
                <w:spacing w:val="0"/>
                <w:kern w:val="0"/>
                <w:sz w:val="24"/>
                <w:szCs w:val="24"/>
                <w:highlight w:val="none"/>
                <w:u w:val="none"/>
                <w:shd w:val="clear" w:color="auto" w:fill="FFFFFF"/>
                <w:vertAlign w:val="baseline"/>
                <w:lang w:val="en-US" w:eastAsia="zh-CN" w:bidi="ar"/>
              </w:rPr>
              <w:t>持续加强公立医院党组织和党员队伍建设</w:t>
            </w:r>
          </w:p>
        </w:tc>
        <w:tc>
          <w:tcPr>
            <w:tcW w:w="8010" w:type="dxa"/>
            <w:noWrap w:val="0"/>
            <w:vAlign w:val="center"/>
          </w:tcPr>
          <w:p w14:paraId="02A9E46C">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auto"/>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rPr>
            </w:pP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rPr>
              <w:t>全面推进党支部标准化规范化建设，加强基础工作，完善基本制度，提升基本能力，落实基本保障</w:t>
            </w: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lang w:eastAsia="zh-CN"/>
              </w:rPr>
              <w:t>。</w:t>
            </w: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rPr>
              <w:t>强化基层党组织政治功能，建立党支部参与科室业务发展、人才引进、薪酬分配、职称职级晋升、评先评优、设备配置等重大问题决策的制度机制，把好政治关、医德医风关。建立</w:t>
            </w: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lang w:eastAsia="zh-CN"/>
              </w:rPr>
              <w:t>公立医院</w:t>
            </w: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rPr>
              <w:t>党组织书记任前谈话制度。实施医院临床医技科室党支部书记</w:t>
            </w: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lang w:eastAsia="zh-CN"/>
              </w:rPr>
              <w:t>“</w:t>
            </w: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rPr>
              <w:t>双带头人</w:t>
            </w: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lang w:eastAsia="zh-CN"/>
              </w:rPr>
              <w:t>”</w:t>
            </w: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rPr>
              <w:t>培育工程和高知识群体发展党员计划，建立健全把业务骨干培养成党员、把党员培养成业务骨干的</w:t>
            </w: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lang w:eastAsia="zh-CN"/>
              </w:rPr>
              <w:t>“</w:t>
            </w: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rPr>
              <w:t>双培养</w:t>
            </w: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lang w:eastAsia="zh-CN"/>
              </w:rPr>
              <w:t>”</w:t>
            </w: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rPr>
              <w:t>机制。通过设立党员先锋岗和开展党员志愿服务，引导党员立足岗位发挥先锋模范作用。</w:t>
            </w:r>
          </w:p>
        </w:tc>
        <w:tc>
          <w:tcPr>
            <w:tcW w:w="2280" w:type="dxa"/>
            <w:noWrap w:val="0"/>
            <w:vAlign w:val="center"/>
          </w:tcPr>
          <w:p w14:paraId="3FD09DE6">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auto"/>
              <w:rPr>
                <w:rFonts w:hint="default" w:ascii="Times New Roman" w:hAnsi="Times New Roman" w:eastAsia="方正仿宋_GBK" w:cs="Times New Roman"/>
                <w:b w:val="0"/>
                <w:bCs w:val="0"/>
                <w:i w:val="0"/>
                <w:caps w:val="0"/>
                <w:color w:val="auto"/>
                <w:spacing w:val="0"/>
                <w:kern w:val="0"/>
                <w:sz w:val="24"/>
                <w:szCs w:val="24"/>
                <w:highlight w:val="none"/>
                <w:u w:val="none"/>
                <w:shd w:val="clear" w:color="auto" w:fill="FFFFFF"/>
                <w:vertAlign w:val="baseline"/>
                <w:lang w:val="en-US" w:eastAsia="zh-CN" w:bidi="ar"/>
              </w:rPr>
            </w:pPr>
            <w:r>
              <w:rPr>
                <w:rFonts w:hint="default" w:ascii="Times New Roman" w:hAnsi="Times New Roman" w:eastAsia="方正仿宋_GBK" w:cs="Times New Roman"/>
                <w:b w:val="0"/>
                <w:bCs w:val="0"/>
                <w:i w:val="0"/>
                <w:caps w:val="0"/>
                <w:color w:val="auto"/>
                <w:spacing w:val="0"/>
                <w:kern w:val="0"/>
                <w:sz w:val="24"/>
                <w:szCs w:val="24"/>
                <w:highlight w:val="none"/>
                <w:u w:val="none"/>
                <w:shd w:val="clear" w:color="auto" w:fill="FFFFFF"/>
                <w:vertAlign w:val="baseline"/>
                <w:lang w:val="en-US" w:eastAsia="zh-CN" w:bidi="ar"/>
              </w:rPr>
              <w:t>县委组织部、县卫生健康局、县人力资源社会保障局</w:t>
            </w:r>
          </w:p>
          <w:p w14:paraId="2ADE9499">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auto"/>
              <w:rPr>
                <w:rFonts w:hint="default" w:ascii="Times New Roman" w:hAnsi="Times New Roman" w:eastAsia="方正仿宋_GBK" w:cs="Times New Roman"/>
                <w:b w:val="0"/>
                <w:bCs w:val="0"/>
                <w:i w:val="0"/>
                <w:caps w:val="0"/>
                <w:color w:val="auto"/>
                <w:spacing w:val="0"/>
                <w:kern w:val="0"/>
                <w:sz w:val="24"/>
                <w:szCs w:val="24"/>
                <w:highlight w:val="none"/>
                <w:u w:val="none"/>
                <w:shd w:val="clear" w:color="auto" w:fill="FFFFFF"/>
                <w:vertAlign w:val="baseline"/>
                <w:lang w:val="en-US" w:eastAsia="zh-CN" w:bidi="ar"/>
              </w:rPr>
            </w:pPr>
          </w:p>
        </w:tc>
        <w:tc>
          <w:tcPr>
            <w:tcW w:w="1384" w:type="dxa"/>
            <w:noWrap w:val="0"/>
            <w:vAlign w:val="center"/>
          </w:tcPr>
          <w:p w14:paraId="76D822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auto"/>
              <w:rPr>
                <w:rFonts w:hint="default" w:ascii="Times New Roman" w:hAnsi="Times New Roman" w:eastAsia="方正仿宋_GBK" w:cs="Times New Roman"/>
                <w:b w:val="0"/>
                <w:bCs w:val="0"/>
                <w:i w:val="0"/>
                <w:caps w:val="0"/>
                <w:color w:val="auto"/>
                <w:spacing w:val="0"/>
                <w:kern w:val="0"/>
                <w:sz w:val="24"/>
                <w:szCs w:val="24"/>
                <w:highlight w:val="none"/>
                <w:u w:val="none"/>
                <w:shd w:val="clear" w:color="auto" w:fill="FFFFFF"/>
                <w:vertAlign w:val="baseline"/>
                <w:lang w:val="en-US" w:eastAsia="zh-CN" w:bidi="ar"/>
              </w:rPr>
            </w:pPr>
            <w:r>
              <w:rPr>
                <w:rFonts w:hint="eastAsia" w:ascii="Times New Roman" w:hAnsi="Times New Roman" w:eastAsia="方正仿宋_GBK" w:cs="Times New Roman"/>
                <w:b w:val="0"/>
                <w:bCs w:val="0"/>
                <w:i w:val="0"/>
                <w:caps w:val="0"/>
                <w:color w:val="auto"/>
                <w:spacing w:val="0"/>
                <w:kern w:val="0"/>
                <w:sz w:val="24"/>
                <w:szCs w:val="24"/>
                <w:highlight w:val="none"/>
                <w:u w:val="none"/>
                <w:shd w:val="clear" w:color="auto" w:fill="FFFFFF"/>
                <w:vertAlign w:val="baseline"/>
                <w:lang w:val="en-US" w:eastAsia="zh-CN" w:bidi="ar"/>
              </w:rPr>
              <w:t>持续推进</w:t>
            </w:r>
          </w:p>
        </w:tc>
      </w:tr>
      <w:tr w14:paraId="0443D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7" w:hRule="atLeast"/>
          <w:jc w:val="center"/>
        </w:trPr>
        <w:tc>
          <w:tcPr>
            <w:tcW w:w="1008" w:type="dxa"/>
            <w:noWrap w:val="0"/>
            <w:vAlign w:val="center"/>
          </w:tcPr>
          <w:p w14:paraId="7DB32FBE">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auto"/>
              <w:rPr>
                <w:rFonts w:hint="default" w:ascii="Times New Roman" w:hAnsi="Times New Roman" w:eastAsia="方正仿宋_GBK" w:cs="Times New Roman"/>
                <w:b w:val="0"/>
                <w:bCs w:val="0"/>
                <w:i w:val="0"/>
                <w:caps w:val="0"/>
                <w:color w:val="auto"/>
                <w:spacing w:val="0"/>
                <w:kern w:val="0"/>
                <w:sz w:val="24"/>
                <w:szCs w:val="24"/>
                <w:highlight w:val="none"/>
                <w:u w:val="none"/>
                <w:shd w:val="clear" w:color="auto" w:fill="FFFFFF"/>
                <w:vertAlign w:val="baseline"/>
                <w:lang w:val="en-US" w:eastAsia="zh-CN" w:bidi="ar"/>
              </w:rPr>
            </w:pPr>
            <w:r>
              <w:rPr>
                <w:rFonts w:hint="eastAsia" w:ascii="Times New Roman" w:hAnsi="Times New Roman" w:eastAsia="方正仿宋_GBK" w:cs="Times New Roman"/>
                <w:b w:val="0"/>
                <w:bCs w:val="0"/>
                <w:i w:val="0"/>
                <w:caps w:val="0"/>
                <w:color w:val="auto"/>
                <w:spacing w:val="0"/>
                <w:kern w:val="0"/>
                <w:sz w:val="24"/>
                <w:szCs w:val="24"/>
                <w:highlight w:val="none"/>
                <w:u w:val="none"/>
                <w:shd w:val="clear" w:color="auto" w:fill="FFFFFF"/>
                <w:vertAlign w:val="baseline"/>
                <w:lang w:val="en-US" w:eastAsia="zh-CN" w:bidi="ar"/>
              </w:rPr>
              <w:t>24</w:t>
            </w:r>
          </w:p>
        </w:tc>
        <w:tc>
          <w:tcPr>
            <w:tcW w:w="1429" w:type="dxa"/>
            <w:noWrap w:val="0"/>
            <w:vAlign w:val="center"/>
          </w:tcPr>
          <w:p w14:paraId="1FE3F46C">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auto"/>
              <w:rPr>
                <w:rFonts w:hint="default" w:ascii="Times New Roman" w:hAnsi="Times New Roman" w:eastAsia="方正仿宋_GBK" w:cs="Times New Roman"/>
                <w:b w:val="0"/>
                <w:bCs w:val="0"/>
                <w:i w:val="0"/>
                <w:caps w:val="0"/>
                <w:color w:val="auto"/>
                <w:spacing w:val="0"/>
                <w:kern w:val="0"/>
                <w:sz w:val="24"/>
                <w:szCs w:val="24"/>
                <w:highlight w:val="none"/>
                <w:u w:val="none"/>
                <w:shd w:val="clear" w:color="auto" w:fill="FFFFFF"/>
                <w:vertAlign w:val="baseline"/>
                <w:lang w:val="en-US" w:eastAsia="zh-CN" w:bidi="ar"/>
              </w:rPr>
            </w:pPr>
            <w:r>
              <w:rPr>
                <w:rFonts w:hint="default" w:ascii="Times New Roman" w:hAnsi="Times New Roman" w:eastAsia="方正仿宋_GBK" w:cs="Times New Roman"/>
                <w:b w:val="0"/>
                <w:bCs w:val="0"/>
                <w:i w:val="0"/>
                <w:caps w:val="0"/>
                <w:color w:val="auto"/>
                <w:spacing w:val="0"/>
                <w:kern w:val="0"/>
                <w:sz w:val="24"/>
                <w:szCs w:val="24"/>
                <w:highlight w:val="none"/>
                <w:u w:val="none"/>
                <w:shd w:val="clear" w:color="auto" w:fill="FFFFFF"/>
                <w:vertAlign w:val="baseline"/>
                <w:lang w:val="en-US" w:eastAsia="zh-CN" w:bidi="ar"/>
              </w:rPr>
              <w:t>全面落实公立医院党建工作责任</w:t>
            </w:r>
          </w:p>
        </w:tc>
        <w:tc>
          <w:tcPr>
            <w:tcW w:w="8010" w:type="dxa"/>
            <w:noWrap w:val="0"/>
            <w:vAlign w:val="center"/>
          </w:tcPr>
          <w:p w14:paraId="05F61973">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auto"/>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rPr>
            </w:pP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lang w:eastAsia="zh-CN"/>
              </w:rPr>
              <w:t>坚持</w:t>
            </w: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rPr>
              <w:t>党委统一领导，组织部门牵头抓总，卫生健康部门具体负责，</w:t>
            </w: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lang w:eastAsia="zh-CN"/>
              </w:rPr>
              <w:t>完善县、镇两级医院党建工作指导委员会运行机制，构建</w:t>
            </w: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rPr>
              <w:t>一级抓一级、层层抓落实的责任体系和工作格局。认真落实医院党委书记抓党建工作第一责任人责任和其他班子成员</w:t>
            </w: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lang w:eastAsia="zh-CN"/>
              </w:rPr>
              <w:t>“</w:t>
            </w: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rPr>
              <w:t>一岗双责</w:t>
            </w: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lang w:eastAsia="zh-CN"/>
              </w:rPr>
              <w:t>”。</w:t>
            </w: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rPr>
              <w:t>依托</w:t>
            </w: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lang w:eastAsia="zh-CN"/>
              </w:rPr>
              <w:t>小平故里</w:t>
            </w: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rPr>
              <w:t>等红色资源，</w:t>
            </w: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lang w:eastAsia="zh-CN"/>
              </w:rPr>
              <w:t>加强卫生健康系统党性教育。</w:t>
            </w: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rPr>
              <w:t>强化党建工作保障，健全党务工作机构，配强党务工作力量，落实保障激励措施，推动党务工作队伍专业化职业化建设。探索建立公立医院党建工作评价考核机制。全面开展公立医院党组织书记抓基层党建述职评议考核，把党建工作成效纳入医院等级</w:t>
            </w: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lang w:eastAsia="zh-CN"/>
              </w:rPr>
              <w:t>评审</w:t>
            </w:r>
            <w:r>
              <w:rPr>
                <w:rFonts w:hint="default" w:ascii="Times New Roman" w:hAnsi="Times New Roman" w:eastAsia="方正仿宋_GBK" w:cs="Times New Roman"/>
                <w:b w:val="0"/>
                <w:bCs w:val="0"/>
                <w:i w:val="0"/>
                <w:caps w:val="0"/>
                <w:color w:val="auto"/>
                <w:spacing w:val="0"/>
                <w:sz w:val="24"/>
                <w:szCs w:val="24"/>
                <w:highlight w:val="none"/>
                <w:u w:val="none"/>
                <w:shd w:val="clear" w:color="auto" w:fill="FFFFFF"/>
              </w:rPr>
              <w:t>和巡察工作内容，作为年度考核和干部选拔任用的重要依据。</w:t>
            </w:r>
          </w:p>
        </w:tc>
        <w:tc>
          <w:tcPr>
            <w:tcW w:w="2280" w:type="dxa"/>
            <w:noWrap w:val="0"/>
            <w:vAlign w:val="center"/>
          </w:tcPr>
          <w:p w14:paraId="31DBA9FF">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auto"/>
              <w:rPr>
                <w:rFonts w:hint="default" w:ascii="Times New Roman" w:hAnsi="Times New Roman" w:eastAsia="方正仿宋_GBK" w:cs="Times New Roman"/>
                <w:b w:val="0"/>
                <w:bCs w:val="0"/>
                <w:i w:val="0"/>
                <w:caps w:val="0"/>
                <w:color w:val="auto"/>
                <w:spacing w:val="0"/>
                <w:kern w:val="0"/>
                <w:sz w:val="24"/>
                <w:szCs w:val="24"/>
                <w:highlight w:val="none"/>
                <w:u w:val="none"/>
                <w:shd w:val="clear" w:color="auto" w:fill="FFFFFF"/>
                <w:vertAlign w:val="baseline"/>
                <w:lang w:val="en-US" w:eastAsia="zh-CN" w:bidi="ar"/>
              </w:rPr>
            </w:pPr>
            <w:r>
              <w:rPr>
                <w:rFonts w:hint="default" w:ascii="Times New Roman" w:hAnsi="Times New Roman" w:eastAsia="方正仿宋_GBK" w:cs="Times New Roman"/>
                <w:b w:val="0"/>
                <w:bCs w:val="0"/>
                <w:i w:val="0"/>
                <w:caps w:val="0"/>
                <w:color w:val="auto"/>
                <w:spacing w:val="0"/>
                <w:kern w:val="0"/>
                <w:sz w:val="24"/>
                <w:szCs w:val="24"/>
                <w:highlight w:val="none"/>
                <w:u w:val="none"/>
                <w:shd w:val="clear" w:color="auto" w:fill="FFFFFF"/>
                <w:vertAlign w:val="baseline"/>
                <w:lang w:val="en-US" w:eastAsia="zh-CN" w:bidi="ar"/>
              </w:rPr>
              <w:t>县委组织部、县卫生健康局</w:t>
            </w:r>
          </w:p>
        </w:tc>
        <w:tc>
          <w:tcPr>
            <w:tcW w:w="1384" w:type="dxa"/>
            <w:noWrap w:val="0"/>
            <w:vAlign w:val="center"/>
          </w:tcPr>
          <w:p w14:paraId="435F9F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auto"/>
              <w:rPr>
                <w:rFonts w:hint="default" w:ascii="Times New Roman" w:hAnsi="Times New Roman" w:eastAsia="方正仿宋_GBK" w:cs="Times New Roman"/>
                <w:b w:val="0"/>
                <w:bCs w:val="0"/>
                <w:i w:val="0"/>
                <w:caps w:val="0"/>
                <w:color w:val="auto"/>
                <w:spacing w:val="0"/>
                <w:kern w:val="0"/>
                <w:sz w:val="24"/>
                <w:szCs w:val="24"/>
                <w:highlight w:val="none"/>
                <w:u w:val="none"/>
                <w:shd w:val="clear" w:color="auto" w:fill="FFFFFF"/>
                <w:vertAlign w:val="baseline"/>
                <w:lang w:val="en-US" w:eastAsia="zh-CN" w:bidi="ar"/>
              </w:rPr>
            </w:pPr>
            <w:r>
              <w:rPr>
                <w:rFonts w:hint="eastAsia" w:ascii="Times New Roman" w:hAnsi="Times New Roman" w:eastAsia="方正仿宋_GBK" w:cs="Times New Roman"/>
                <w:b w:val="0"/>
                <w:bCs w:val="0"/>
                <w:i w:val="0"/>
                <w:caps w:val="0"/>
                <w:color w:val="auto"/>
                <w:spacing w:val="0"/>
                <w:kern w:val="0"/>
                <w:sz w:val="24"/>
                <w:szCs w:val="24"/>
                <w:highlight w:val="none"/>
                <w:u w:val="none"/>
                <w:shd w:val="clear" w:color="auto" w:fill="FFFFFF"/>
                <w:vertAlign w:val="baseline"/>
                <w:lang w:val="en-US" w:eastAsia="zh-CN" w:bidi="ar"/>
              </w:rPr>
              <w:t>持续推进</w:t>
            </w:r>
          </w:p>
        </w:tc>
      </w:tr>
    </w:tbl>
    <w:p w14:paraId="238213A6">
      <w:pPr>
        <w:pStyle w:val="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0" w:lineRule="exact"/>
        <w:jc w:val="center"/>
        <w:textAlignment w:val="auto"/>
        <w:rPr>
          <w:rFonts w:hint="eastAsia" w:ascii="Times New Roman" w:hAnsi="Times New Roman" w:eastAsia="方正小标宋_GBK" w:cs="方正小标宋_GBK"/>
          <w:i w:val="0"/>
          <w:caps w:val="0"/>
          <w:color w:val="auto"/>
          <w:spacing w:val="0"/>
          <w:sz w:val="44"/>
          <w:szCs w:val="44"/>
          <w:highlight w:val="none"/>
          <w:u w:val="none"/>
          <w:shd w:val="clear" w:color="auto" w:fill="FFFFFF"/>
          <w:lang w:val="en-US" w:eastAsia="zh-CN"/>
        </w:rPr>
        <w:sectPr>
          <w:footerReference r:id="rId4" w:type="first"/>
          <w:footerReference r:id="rId3" w:type="default"/>
          <w:pgSz w:w="16838" w:h="11906" w:orient="landscape"/>
          <w:pgMar w:top="2041" w:right="1531" w:bottom="1701" w:left="1531" w:header="851" w:footer="1474" w:gutter="0"/>
          <w:pgBorders w:offsetFrom="page">
            <w:top w:val="none" w:sz="0" w:space="0"/>
            <w:left w:val="none" w:sz="0" w:space="0"/>
            <w:bottom w:val="none" w:sz="0" w:space="0"/>
            <w:right w:val="none" w:sz="0" w:space="0"/>
          </w:pgBorders>
          <w:pgNumType w:fmt="decimal"/>
          <w:cols w:space="720" w:num="1"/>
          <w:titlePg/>
          <w:rtlGutter w:val="0"/>
          <w:docGrid w:type="linesAndChars" w:linePitch="595" w:charSpace="2079"/>
        </w:sectPr>
      </w:pPr>
    </w:p>
    <w:p w14:paraId="511A719F"/>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7C6F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2014CC">
                          <w:pPr>
                            <w:pStyle w:val="3"/>
                            <w:wordWrap w:val="0"/>
                            <w:ind w:firstLine="280" w:firstLineChars="100"/>
                            <w:jc w:val="right"/>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Style w:val="8"/>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8"/>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602014CC">
                    <w:pPr>
                      <w:pStyle w:val="3"/>
                      <w:wordWrap w:val="0"/>
                      <w:ind w:firstLine="280" w:firstLineChars="100"/>
                      <w:jc w:val="right"/>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Style w:val="8"/>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8"/>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3CB3A">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078865" cy="3238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78865" cy="323850"/>
                      </a:xfrm>
                      <a:prstGeom prst="rect">
                        <a:avLst/>
                      </a:prstGeom>
                      <a:noFill/>
                      <a:ln>
                        <a:noFill/>
                      </a:ln>
                    </wps:spPr>
                    <wps:txbx>
                      <w:txbxContent>
                        <w:p w14:paraId="44240AE2">
                          <w:pPr>
                            <w:pStyle w:val="3"/>
                            <w:ind w:firstLine="280" w:firstLineChars="100"/>
                            <w:rPr>
                              <w:rFonts w:hint="eastAsia" w:eastAsia="宋体"/>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r>
                            <w:rPr>
                              <w:rFonts w:hint="eastAsia" w:ascii="宋体" w:hAnsi="宋体" w:cs="宋体"/>
                              <w:sz w:val="28"/>
                              <w:szCs w:val="28"/>
                              <w:lang w:eastAsia="zh-CN"/>
                            </w:rPr>
                            <w:t>—</w:t>
                          </w:r>
                        </w:p>
                      </w:txbxContent>
                    </wps:txbx>
                    <wps:bodyPr lIns="0" tIns="0" rIns="0" bIns="0" upright="0"/>
                  </wps:wsp>
                </a:graphicData>
              </a:graphic>
            </wp:anchor>
          </w:drawing>
        </mc:Choice>
        <mc:Fallback>
          <w:pict>
            <v:shape id="_x0000_s1026" o:spid="_x0000_s1026" o:spt="202" type="#_x0000_t202" style="position:absolute;left:0pt;margin-top:0pt;height:25.5pt;width:84.95pt;mso-position-horizontal:outside;mso-position-horizontal-relative:margin;z-index:251660288;mso-width-relative:page;mso-height-relative:page;" filled="f" stroked="f" coordsize="21600,21600" o:gfxdata="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OG8R4/TAAAABAEAAA8AAAAAAAAAAQAgAAAAIgAAAGRycy9kb3ducmV2LnhtbFBLAQIUABQA&#10;AAAIAIdO4kDjD1llvAEAAHIDAAAOAAAAAAAAAAEAIAAAACIBAABkcnMvZTJvRG9jLnhtbFBLBQYA&#10;AAAABgAGAFkBAABQBQAAAAA=&#10;">
              <v:fill on="f" focussize="0,0"/>
              <v:stroke on="f"/>
              <v:imagedata o:title=""/>
              <o:lock v:ext="edit" aspectratio="f"/>
              <v:textbox inset="0mm,0mm,0mm,0mm">
                <w:txbxContent>
                  <w:p w14:paraId="44240AE2">
                    <w:pPr>
                      <w:pStyle w:val="3"/>
                      <w:ind w:firstLine="280" w:firstLineChars="100"/>
                      <w:rPr>
                        <w:rFonts w:hint="eastAsia" w:eastAsia="宋体"/>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r>
                      <w:rPr>
                        <w:rFonts w:hint="eastAsia" w:ascii="宋体" w:hAnsi="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wYTAzOTE3ZjI3ZTA2MGZmOGQzYzM0NGQwZTg3MjMifQ=="/>
  </w:docVars>
  <w:rsids>
    <w:rsidRoot w:val="3B8C3240"/>
    <w:rsid w:val="0EFA62F3"/>
    <w:rsid w:val="3B8C32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33"/>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2"/>
    <w:basedOn w:val="1"/>
    <w:qFormat/>
    <w:uiPriority w:val="0"/>
    <w:pPr>
      <w:spacing w:after="120" w:line="480" w:lineRule="auto"/>
      <w:ind w:firstLine="560" w:firstLineChars="200"/>
    </w:pPr>
    <w:rPr>
      <w:sz w:val="24"/>
    </w:rPr>
  </w:style>
  <w:style w:type="paragraph" w:styleId="3">
    <w:name w:val="footer"/>
    <w:basedOn w:val="1"/>
    <w:next w:val="1"/>
    <w:qFormat/>
    <w:uiPriority w:val="0"/>
    <w:pPr>
      <w:tabs>
        <w:tab w:val="center" w:pos="4153"/>
        <w:tab w:val="right" w:pos="8306"/>
      </w:tabs>
      <w:snapToGrid w:val="0"/>
      <w:jc w:val="left"/>
    </w:pPr>
    <w:rPr>
      <w:sz w:val="18"/>
    </w:rPr>
  </w:style>
  <w:style w:type="paragraph" w:styleId="4">
    <w:name w:val="Normal (Web)"/>
    <w:basedOn w:val="1"/>
    <w:uiPriority w:val="0"/>
    <w:pPr>
      <w:spacing w:before="100" w:beforeAutospacing="1" w:after="100" w:afterAutospacing="1"/>
      <w:ind w:left="0" w:right="0"/>
      <w:jc w:val="left"/>
    </w:pPr>
    <w:rPr>
      <w:kern w:val="0"/>
      <w:sz w:val="24"/>
      <w:lang w:val="en-US" w:eastAsia="zh-CN" w:bidi="ar"/>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6585</Words>
  <Characters>6678</Characters>
  <Lines>0</Lines>
  <Paragraphs>0</Paragraphs>
  <TotalTime>0</TotalTime>
  <ScaleCrop>false</ScaleCrop>
  <LinksUpToDate>false</LinksUpToDate>
  <CharactersWithSpaces>6678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2023-12-22T01:59:00Z</dcterms:created>
  <dc:creator>Administrator</dc:creator>
  <cp:lastModifiedBy>半城繁華半城傷づ</cp:lastModifiedBy>
  <dcterms:modified xsi:type="dcterms:W3CDTF">2026-01-19T01:07:38Z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94BE492B301844F6ADC76E975B0A531C_11</vt:lpwstr>
  </property>
  <property fmtid="{D5CDD505-2E9C-101B-9397-08002B2CF9AE}" pid="4" name="KSOTemplateDocerSaveRecord">
    <vt:lpwstr>eyJoZGlkIjoiZjQ0ZjJhYzMyN2U5NjMzMmY5Y2RjODQ4OGU5ZWMxZGQiLCJ1c2VySWQiOiIxMDQ1Mzk0NTAzIn0=</vt:lpwstr>
  </property>
</Properties>
</file>