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  <w:t>附件</w:t>
      </w:r>
    </w:p>
    <w:p>
      <w:pPr>
        <w:spacing w:line="640" w:lineRule="exact"/>
        <w:jc w:val="center"/>
        <w:rPr>
          <w:rFonts w:hint="eastAsia" w:ascii="仿宋_GB2312" w:hAnsi="仿宋_GB2312" w:eastAsia="仿宋_GB2312" w:cs="仿宋_GB2312"/>
          <w:b/>
          <w:bCs/>
          <w:spacing w:val="-20"/>
          <w:sz w:val="44"/>
          <w:szCs w:val="44"/>
        </w:rPr>
      </w:pPr>
    </w:p>
    <w:p>
      <w:pPr>
        <w:spacing w:line="640" w:lineRule="exact"/>
        <w:jc w:val="center"/>
        <w:rPr>
          <w:rFonts w:hint="eastAsia" w:ascii="仿宋_GB2312" w:hAnsi="仿宋_GB2312" w:eastAsia="仿宋_GB2312" w:cs="仿宋_GB2312"/>
          <w:b/>
          <w:bCs/>
          <w:spacing w:val="-20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pacing w:val="-20"/>
          <w:sz w:val="44"/>
          <w:szCs w:val="44"/>
        </w:rPr>
        <w:t>邻水县</w:t>
      </w:r>
      <w:r>
        <w:rPr>
          <w:rFonts w:hint="eastAsia" w:ascii="仿宋_GB2312" w:hAnsi="仿宋_GB2312" w:eastAsia="仿宋_GB2312" w:cs="仿宋_GB2312"/>
          <w:b/>
          <w:bCs/>
          <w:spacing w:val="-20"/>
          <w:sz w:val="44"/>
          <w:szCs w:val="44"/>
          <w:lang w:val="en-US" w:eastAsia="zh-CN"/>
        </w:rPr>
        <w:t>2020年步行街改造提升项目</w:t>
      </w:r>
      <w:r>
        <w:rPr>
          <w:rFonts w:hint="eastAsia" w:ascii="仿宋_GB2312" w:hAnsi="仿宋_GB2312" w:eastAsia="仿宋_GB2312" w:cs="仿宋_GB2312"/>
          <w:b/>
          <w:bCs/>
          <w:spacing w:val="-20"/>
          <w:sz w:val="44"/>
          <w:szCs w:val="44"/>
        </w:rPr>
        <w:t>实施方案</w:t>
      </w:r>
    </w:p>
    <w:p>
      <w:pPr>
        <w:spacing w:line="54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  <w:t>一、发展现状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  <w:t>步行街是展示城市形象的重要窗口，是城市商业的重要功能载体，是城市商业资源的集聚区，是大众消费的重要场所。近年来，我县建成了恒源美食街、富全美食天街、宏帆金街、仿古商业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  <w:t>街、万汇风情街等步行街，推动了流通创新，繁荣了城市经济，促进了城市发展。随着城市经济高质量发展，我县步行街普遍存在整体规模小、环境不佳、档次不高、功能不完善、特色不突出等问题，在消费升级、电商分流、大型购物中心建设冲击下，部分步行街客流减少、效益下降。当前，中省明确提出实施步行街改造提升三年行动计划及试点评定，从2020年起，通过3年时间，全省试点评定50条“省级示范步行街”，并给予政策、资金支持。我县建成的步行街，离实现“环境优美、特色鲜明、文化浓厚、商业繁华、管理规范”的“省级示范步行街”试点目标还有相当大的差距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  <w:t>工作思路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  <w:t>以习近平新时代中国特色社会主义思想为指导，坚持新发展理念，落实高质量发展要求，以供给侧结构性改革为主线，按照中省步行街改造提升工作总体要求，通过政策引导、市场参与的方式，重点选择基础较好、潜力较大的步行街进行改造提升，进一步改善消费环境、增加消费供给，培育消费新增长点，塑造代表城市形象的靓丽名片，搭建满足消费升级需要的重要平台，培育扩大城市消费的有效载体，满足人民群众日益增长的美好生活需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  <w:t>三、建设目标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3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2020年9月起，力争通过3个月时间，全县改造提升一条在全市乃至全省具有区域领先、环境优美、特色鲜明、文化浓厚、商业繁华、管理规范的步行街，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打造促进县域消费升级有效载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体。重点支持县城区基础较好、潜力较大的步行街进行改造提升。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步行街改造提升完成后，客流量和营业额累计增长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20%以上，成为城市消费的名片、经济高质量发展的平台和对外开放的窗口。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  <w:t>四、工作路径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3"/>
          <w:szCs w:val="33"/>
          <w:lang w:val="en-US" w:eastAsia="zh-CN"/>
        </w:rPr>
        <w:t>（一）政府引导，市场运作。</w:t>
      </w:r>
      <w:r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  <w:t>发挥政府在规划引导、政策扶持、环境建设、服务监督等方面的作用，发挥市场在资源配置方面的作用，吸引社会资本参与步行街的业态调整和经营创新，共同推动步行街持续健康发展。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3"/>
          <w:szCs w:val="33"/>
          <w:lang w:val="en-US" w:eastAsia="zh-CN"/>
        </w:rPr>
        <w:t>（二）立足存量，改造提升。</w:t>
      </w:r>
      <w:r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  <w:t>结合全县步行街发展现状，支持在现有步行街中选择基础较好、潜力较大的进行改造提升，不鼓励上马新项目，不搞大拆大建，不搞政绩工程。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49" w:firstLineChars="196"/>
        <w:textAlignment w:val="auto"/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3"/>
          <w:szCs w:val="33"/>
          <w:lang w:val="en-US" w:eastAsia="zh-CN"/>
        </w:rPr>
        <w:t>（三）试点先行，分批启动。</w:t>
      </w:r>
      <w:r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  <w:t>在全县选择基础好的步行街先行试点，分批陆续启动，持续推进，力争“一年有变化、两年见成效、三年大改观”。对改造提升后达到标准的步行街，由商务厅验收确认。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49" w:firstLineChars="196"/>
        <w:textAlignment w:val="auto"/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3"/>
          <w:szCs w:val="33"/>
          <w:lang w:val="en-US" w:eastAsia="zh-CN"/>
        </w:rPr>
        <w:t>（四）明确责任，形成合力。</w:t>
      </w:r>
      <w:r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  <w:t>在步行街改造提升工作中，要建立横向协作、纵向联动的跨部门协调机制，成立专门的步行街管理机构，负责改造提升具体任务和落地落实。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  <w:t>五、重点任务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30" w:firstLineChars="196"/>
        <w:textAlignment w:val="auto"/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合理布局。</w:t>
      </w:r>
      <w:r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  <w:t>街区与交通干道隔离，营造舒适开阔的步行空间。突出步行主街核心地位，确定街区发展主轴（带）、重要节点。立足主街，拓展辅街，明确功能分区，实现功能互补，形成区域联动格局。改造提升周边道路慢行交通系统，与城市公共交通有效连接，优化停车等配套设施，方便客流集聚和疏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优化环境。</w:t>
      </w:r>
      <w:r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  <w:t>延续街区建筑风格和文脉特征，规范店招牌匾、户外广告，合理设置雕塑小品、休闲设施、灯光亮化等景观，形成独具特色、整体协调的街区风貌。整治街容街貌，加强道路保洁，增加环卫设施，改变街区特别是背街小巷脏乱差状况。设置明显的导引标识系统，增加各种人性化、无障碍公共服务设施，增加绿地、休闲空间，体现人文关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提升品质。</w:t>
      </w:r>
      <w:r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  <w:t>适应消费升级需要，调整街区业态结构，提升传统业态，布局体验业态，发展新兴业态，积极引进国内、国际一线品牌、当地特色品牌、老字号品牌。要注重布局体验业态，突出特色品牌集聚。举办形式多样的营销活动，丰富服务手段。聚焦夜间消费特点，发展夜色经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彰显特色。</w:t>
      </w:r>
      <w:r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  <w:t>围绕地域风俗和城市底蕴，依托地方特色产业、特色产品、特色品牌，发展体验业态、推动品牌集聚，突显城市风格，打造地域符号。推进商旅文联动，以商承文、以文带旅、以旅兴商，塑造有历史记忆、文化脉络、民族特点的步行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（五）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规范管理。</w:t>
      </w:r>
      <w:r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  <w:t>设立专门的街区管理运营机构，成立街区商铺业主、入驻商户参与的行业自律组织，制定街区管理及交通、市容、卫生、应急、安全等配套规定。探索促进街区健康发展的体制机制。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330" w:firstLineChars="100"/>
        <w:textAlignment w:val="auto"/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  <w:t>六、建设内容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0"/>
        <w:textAlignment w:val="auto"/>
        <w:rPr>
          <w:rFonts w:hint="eastAsia" w:ascii="仿宋_GB2312" w:hAnsi="仿宋_GB2312" w:eastAsia="仿宋_GB2312" w:cs="仿宋_GB2312"/>
          <w:b/>
          <w:bCs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3"/>
          <w:szCs w:val="33"/>
          <w:lang w:val="en-US" w:eastAsia="zh-CN"/>
        </w:rPr>
        <w:t>项目名称：邻水县富全美食天街改造提升项目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0" w:firstLineChars="200"/>
        <w:jc w:val="both"/>
        <w:textAlignment w:val="auto"/>
        <w:rPr>
          <w:rFonts w:hint="eastAsia" w:ascii="仿宋_GB2312" w:hAnsi="仿宋_GB2312" w:eastAsia="仿宋_GB2312" w:cs="仿宋_GB2312"/>
          <w:sz w:val="33"/>
          <w:szCs w:val="33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  <w:t>（一）建设地址：</w:t>
      </w:r>
      <w:r>
        <w:rPr>
          <w:rFonts w:hint="eastAsia" w:ascii="仿宋_GB2312" w:hAnsi="仿宋_GB2312" w:eastAsia="仿宋_GB2312" w:cs="仿宋_GB2312"/>
          <w:sz w:val="33"/>
          <w:szCs w:val="33"/>
          <w:lang w:val="en-US" w:eastAsia="zh-CN" w:bidi="ar"/>
        </w:rPr>
        <w:t>邻水县鼎屏镇邻州大道304号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0" w:firstLineChars="200"/>
        <w:jc w:val="both"/>
        <w:textAlignment w:val="auto"/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  <w:t>（二）建设单位：邻水县富全置业有限责任公司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0" w:firstLineChars="200"/>
        <w:jc w:val="both"/>
        <w:textAlignment w:val="auto"/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  <w:t>（三）项目负责人：王淋刚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0" w:firstLineChars="200"/>
        <w:jc w:val="both"/>
        <w:textAlignment w:val="auto"/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  <w:t>（四）项目单位基本情况:</w:t>
      </w:r>
      <w:r>
        <w:rPr>
          <w:rFonts w:hint="eastAsia" w:ascii="仿宋_GB2312" w:hAnsi="仿宋_GB2312" w:eastAsia="仿宋_GB2312" w:cs="仿宋_GB2312"/>
          <w:sz w:val="33"/>
          <w:szCs w:val="33"/>
        </w:rPr>
        <w:t>邻水县</w:t>
      </w:r>
      <w:r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  <w:t>富全置业有限责任公司</w:t>
      </w:r>
      <w:r>
        <w:rPr>
          <w:rFonts w:hint="eastAsia" w:ascii="仿宋_GB2312" w:hAnsi="仿宋_GB2312" w:eastAsia="仿宋_GB2312" w:cs="仿宋_GB2312"/>
          <w:sz w:val="33"/>
          <w:szCs w:val="33"/>
        </w:rPr>
        <w:t>成立于20</w:t>
      </w:r>
      <w:r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3"/>
          <w:szCs w:val="33"/>
        </w:rPr>
        <w:t>年</w:t>
      </w:r>
      <w:r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3"/>
          <w:szCs w:val="33"/>
        </w:rPr>
        <w:t>月</w:t>
      </w:r>
      <w:r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3"/>
          <w:szCs w:val="33"/>
        </w:rPr>
        <w:t>日，注册资金</w:t>
      </w:r>
      <w:r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  <w:t>1000</w:t>
      </w:r>
      <w:r>
        <w:rPr>
          <w:rFonts w:hint="eastAsia" w:ascii="仿宋_GB2312" w:hAnsi="仿宋_GB2312" w:eastAsia="仿宋_GB2312" w:cs="仿宋_GB2312"/>
          <w:sz w:val="33"/>
          <w:szCs w:val="33"/>
        </w:rPr>
        <w:t>万元人民币，法人代表</w:t>
      </w:r>
      <w:r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  <w:t>王鹏杰，</w:t>
      </w:r>
      <w:r>
        <w:rPr>
          <w:rFonts w:hint="eastAsia" w:ascii="仿宋_GB2312" w:hAnsi="仿宋_GB2312" w:eastAsia="仿宋_GB2312" w:cs="仿宋_GB2312"/>
          <w:sz w:val="33"/>
          <w:szCs w:val="33"/>
        </w:rPr>
        <w:t>经营范围为</w:t>
      </w:r>
      <w:r>
        <w:rPr>
          <w:rFonts w:hint="eastAsia" w:ascii="仿宋_GB2312" w:hAnsi="仿宋_GB2312" w:eastAsia="仿宋_GB2312" w:cs="仿宋_GB2312"/>
          <w:sz w:val="33"/>
          <w:szCs w:val="33"/>
          <w:lang w:eastAsia="zh-CN"/>
        </w:rPr>
        <w:t>房地产开发、房屋建筑工程、市政公用工程等</w:t>
      </w:r>
      <w:r>
        <w:rPr>
          <w:rFonts w:hint="eastAsia" w:ascii="仿宋_GB2312" w:hAnsi="仿宋_GB2312" w:eastAsia="仿宋_GB2312" w:cs="仿宋_GB2312"/>
          <w:sz w:val="33"/>
          <w:szCs w:val="33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0" w:firstLineChars="200"/>
        <w:jc w:val="both"/>
        <w:textAlignment w:val="auto"/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  <w:t>（五）建设时间：2020年9月至2020年12月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0" w:firstLineChars="200"/>
        <w:jc w:val="both"/>
        <w:textAlignment w:val="auto"/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  <w:t>（六）建设规模：占地面积7723.57平方米，建筑面积13579.4平方米。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0" w:firstLineChars="200"/>
        <w:jc w:val="both"/>
        <w:textAlignment w:val="auto"/>
        <w:rPr>
          <w:rFonts w:hint="eastAsia" w:ascii="仿宋_GB2312" w:hAnsi="仿宋_GB2312" w:eastAsia="仿宋_GB2312" w:cs="仿宋_GB2312"/>
          <w:sz w:val="33"/>
          <w:szCs w:val="33"/>
        </w:rPr>
      </w:pPr>
      <w:r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  <w:t>（七）投资规模及资金来源:</w:t>
      </w:r>
      <w:r>
        <w:rPr>
          <w:rFonts w:hint="eastAsia" w:ascii="仿宋_GB2312" w:hAnsi="仿宋_GB2312" w:eastAsia="仿宋_GB2312" w:cs="仿宋_GB2312"/>
          <w:sz w:val="33"/>
          <w:szCs w:val="33"/>
        </w:rPr>
        <w:t>该项目计划总投资</w:t>
      </w:r>
      <w:r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  <w:t>143.6</w:t>
      </w:r>
      <w:r>
        <w:rPr>
          <w:rFonts w:hint="eastAsia" w:ascii="仿宋_GB2312" w:hAnsi="仿宋_GB2312" w:eastAsia="仿宋_GB2312" w:cs="仿宋_GB2312"/>
          <w:sz w:val="33"/>
          <w:szCs w:val="33"/>
        </w:rPr>
        <w:t>万元，公司自筹</w:t>
      </w:r>
      <w:r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  <w:t>73.6</w:t>
      </w:r>
      <w:r>
        <w:rPr>
          <w:rFonts w:hint="eastAsia" w:ascii="仿宋_GB2312" w:hAnsi="仿宋_GB2312" w:eastAsia="仿宋_GB2312" w:cs="仿宋_GB2312"/>
          <w:sz w:val="33"/>
          <w:szCs w:val="33"/>
        </w:rPr>
        <w:t>万元，申请财政补助资金</w:t>
      </w:r>
      <w:r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  <w:t>70</w:t>
      </w:r>
      <w:r>
        <w:rPr>
          <w:rFonts w:hint="eastAsia" w:ascii="仿宋_GB2312" w:hAnsi="仿宋_GB2312" w:eastAsia="仿宋_GB2312" w:cs="仿宋_GB2312"/>
          <w:sz w:val="33"/>
          <w:szCs w:val="33"/>
        </w:rPr>
        <w:t>万元。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0" w:firstLineChars="200"/>
        <w:jc w:val="both"/>
        <w:textAlignment w:val="auto"/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  <w:t>（八）建设内容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3"/>
          <w:szCs w:val="33"/>
          <w:lang w:val="en-US" w:eastAsia="zh-CN"/>
        </w:rPr>
        <w:t>1.编制项目规划设计、实施方案（建设时间：2020年9月-2020年10月），预计投资3.6万元。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0" w:firstLineChars="200"/>
        <w:textAlignment w:val="auto"/>
        <w:rPr>
          <w:rFonts w:hint="eastAsia" w:ascii="仿宋_GB2312" w:hAnsi="仿宋_GB2312" w:eastAsia="仿宋_GB2312" w:cs="仿宋_GB2312"/>
          <w:kern w:val="0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3"/>
          <w:szCs w:val="33"/>
          <w:lang w:val="en-US" w:eastAsia="zh-CN"/>
        </w:rPr>
        <w:t>依据街区文态、形态、业态、生态整体定位，聘请省内外专业团队高质量编制规划设计方案、建设实施方案。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3"/>
          <w:szCs w:val="33"/>
          <w:lang w:val="en-US" w:eastAsia="zh-CN"/>
        </w:rPr>
        <w:t>2.优化街境，提升品质（建设时间：2020年9月-2020年12月），预计投资130万元。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3" w:firstLineChars="200"/>
        <w:textAlignment w:val="auto"/>
        <w:rPr>
          <w:rFonts w:hint="eastAsia" w:ascii="仿宋_GB2312" w:hAnsi="仿宋_GB2312" w:eastAsia="仿宋_GB2312" w:cs="仿宋_GB2312"/>
          <w:kern w:val="0"/>
          <w:sz w:val="33"/>
          <w:szCs w:val="33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3"/>
          <w:szCs w:val="33"/>
          <w:lang w:val="en-US" w:eastAsia="zh-CN" w:bidi="ar-SA"/>
        </w:rPr>
        <w:t>（1）翻新街区立面、地面。</w:t>
      </w:r>
      <w:r>
        <w:rPr>
          <w:rFonts w:hint="eastAsia" w:ascii="仿宋_GB2312" w:hAnsi="仿宋_GB2312" w:eastAsia="仿宋_GB2312" w:cs="仿宋_GB2312"/>
          <w:kern w:val="0"/>
          <w:sz w:val="33"/>
          <w:szCs w:val="33"/>
          <w:lang w:val="en-US" w:eastAsia="zh-CN" w:bidi="ar-SA"/>
        </w:rPr>
        <w:t>对街区建筑立面、地面进行修复、翻新，如：地面铺砖、井盖、排水等，</w:t>
      </w:r>
      <w:r>
        <w:rPr>
          <w:rFonts w:hint="eastAsia" w:ascii="仿宋_GB2312" w:hAnsi="仿宋_GB2312" w:eastAsia="仿宋_GB2312" w:cs="仿宋_GB2312"/>
          <w:b w:val="0"/>
          <w:kern w:val="0"/>
          <w:sz w:val="33"/>
          <w:szCs w:val="33"/>
          <w:lang w:val="en-US" w:eastAsia="zh-CN" w:bidi="ar-SA"/>
        </w:rPr>
        <w:t>在街区转角处搭设中央舞台，舞台地面铺贴石材，配备强弱电系统。用于街区文化表演及促销活动，成为天街的精神堡垒以及夜色下的“夜明珠”。</w:t>
      </w:r>
      <w:r>
        <w:rPr>
          <w:rFonts w:hint="eastAsia" w:ascii="仿宋_GB2312" w:hAnsi="仿宋_GB2312" w:eastAsia="仿宋_GB2312" w:cs="仿宋_GB2312"/>
          <w:kern w:val="0"/>
          <w:sz w:val="33"/>
          <w:szCs w:val="33"/>
          <w:lang w:val="en-US" w:eastAsia="zh-CN" w:bidi="ar-SA"/>
        </w:rPr>
        <w:t>预计投资</w:t>
      </w:r>
      <w:r>
        <w:rPr>
          <w:rFonts w:hint="eastAsia" w:ascii="仿宋_GB2312" w:hAnsi="仿宋_GB2312" w:eastAsia="仿宋_GB2312" w:cs="仿宋_GB2312"/>
          <w:color w:val="auto"/>
          <w:kern w:val="0"/>
          <w:sz w:val="33"/>
          <w:szCs w:val="33"/>
          <w:highlight w:val="none"/>
          <w:lang w:val="en-US" w:eastAsia="zh-CN" w:bidi="ar-SA"/>
        </w:rPr>
        <w:t>95</w:t>
      </w:r>
      <w:r>
        <w:rPr>
          <w:rFonts w:hint="eastAsia" w:ascii="仿宋_GB2312" w:hAnsi="仿宋_GB2312" w:eastAsia="仿宋_GB2312" w:cs="仿宋_GB2312"/>
          <w:kern w:val="0"/>
          <w:sz w:val="33"/>
          <w:szCs w:val="33"/>
          <w:lang w:val="en-US" w:eastAsia="zh-CN" w:bidi="ar-SA"/>
        </w:rPr>
        <w:t>万元。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kern w:val="0"/>
          <w:sz w:val="33"/>
          <w:szCs w:val="33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3"/>
          <w:szCs w:val="33"/>
          <w:lang w:val="en-US" w:eastAsia="zh-CN" w:bidi="ar-SA"/>
        </w:rPr>
        <w:t>（2）增添公共设施、打造商业外摆区。</w:t>
      </w:r>
      <w:r>
        <w:rPr>
          <w:rFonts w:hint="eastAsia" w:ascii="仿宋_GB2312" w:hAnsi="仿宋_GB2312" w:eastAsia="仿宋_GB2312" w:cs="仿宋_GB2312"/>
          <w:b w:val="0"/>
          <w:kern w:val="0"/>
          <w:sz w:val="33"/>
          <w:szCs w:val="33"/>
          <w:lang w:val="en-US" w:eastAsia="zh-CN" w:bidi="ar-SA"/>
        </w:rPr>
        <w:t>街区增添垃圾桶、户外座椅、无障碍设施设备等，在街区临街商铺统一规划商业外摆区，增添夜间经济元素；在街区盲道内侧设置高低变化的</w:t>
      </w:r>
      <w:r>
        <w:rPr>
          <w:rFonts w:hint="eastAsia" w:ascii="仿宋_GB2312" w:hAnsi="仿宋_GB2312" w:eastAsia="仿宋_GB2312" w:cs="仿宋_GB2312"/>
          <w:b w:val="0"/>
          <w:color w:val="auto"/>
          <w:kern w:val="0"/>
          <w:sz w:val="33"/>
          <w:szCs w:val="33"/>
          <w:lang w:val="en-US" w:eastAsia="zh-CN" w:bidi="ar-SA"/>
        </w:rPr>
        <w:t>花箱及护栏</w:t>
      </w:r>
      <w:r>
        <w:rPr>
          <w:rFonts w:hint="eastAsia" w:ascii="仿宋_GB2312" w:hAnsi="仿宋_GB2312" w:eastAsia="仿宋_GB2312" w:cs="仿宋_GB2312"/>
          <w:b w:val="0"/>
          <w:kern w:val="0"/>
          <w:sz w:val="33"/>
          <w:szCs w:val="33"/>
          <w:lang w:val="en-US" w:eastAsia="zh-CN" w:bidi="ar-SA"/>
        </w:rPr>
        <w:t>做为车挡，将街区规划成纯步行街。预计投资18万元。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kern w:val="0"/>
          <w:sz w:val="33"/>
          <w:szCs w:val="33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3"/>
          <w:szCs w:val="33"/>
          <w:lang w:val="en-US" w:eastAsia="zh-CN" w:bidi="ar-SA"/>
        </w:rPr>
        <w:t>（3）设置美食街公交车灯箱站台及精神堡垒。</w:t>
      </w:r>
      <w:r>
        <w:rPr>
          <w:rFonts w:hint="eastAsia" w:ascii="仿宋_GB2312" w:hAnsi="仿宋_GB2312" w:eastAsia="仿宋_GB2312" w:cs="仿宋_GB2312"/>
          <w:b w:val="0"/>
          <w:kern w:val="0"/>
          <w:sz w:val="33"/>
          <w:szCs w:val="33"/>
          <w:lang w:val="en-US" w:eastAsia="zh-CN" w:bidi="ar-SA"/>
        </w:rPr>
        <w:t>在街区与黄桷树公园入口处设置公交车站台及街区标识的精神堡垒，解决美食街消费者及周边居民交通不便的问题。预计投资17万元。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3"/>
          <w:szCs w:val="33"/>
          <w:lang w:val="en-US" w:eastAsia="zh-CN"/>
        </w:rPr>
        <w:t>3.强化运营管理（建设时间：2020年9月-2020年11月），预计投资10万元。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3" w:firstLineChars="200"/>
        <w:textAlignment w:val="auto"/>
        <w:rPr>
          <w:rFonts w:hint="eastAsia" w:ascii="仿宋_GB2312" w:hAnsi="仿宋_GB2312" w:eastAsia="仿宋_GB2312" w:cs="仿宋_GB2312"/>
          <w:b w:val="0"/>
          <w:color w:val="auto"/>
          <w:kern w:val="0"/>
          <w:sz w:val="33"/>
          <w:szCs w:val="33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3"/>
          <w:szCs w:val="33"/>
          <w:lang w:val="en-US" w:eastAsia="zh-CN" w:bidi="ar-SA"/>
        </w:rPr>
        <w:t>（1）建立街区管理运营机构。</w:t>
      </w:r>
      <w:r>
        <w:rPr>
          <w:rFonts w:hint="eastAsia" w:ascii="仿宋_GB2312" w:hAnsi="仿宋_GB2312" w:eastAsia="仿宋_GB2312" w:cs="仿宋_GB2312"/>
          <w:b w:val="0"/>
          <w:kern w:val="0"/>
          <w:sz w:val="33"/>
          <w:szCs w:val="33"/>
          <w:lang w:val="en-US" w:eastAsia="zh-CN" w:bidi="ar-SA"/>
        </w:rPr>
        <w:t>聘请四川步行街专业管理团队指导成立街区管委会、商协会，建立消费者投诉中心，完善街区管理制度，形成政府引导+街区自治相结合的特色街区管理制度，推动街区可持续发展。</w:t>
      </w:r>
      <w:r>
        <w:rPr>
          <w:rFonts w:hint="eastAsia" w:ascii="仿宋_GB2312" w:hAnsi="仿宋_GB2312" w:eastAsia="仿宋_GB2312" w:cs="仿宋_GB2312"/>
          <w:b w:val="0"/>
          <w:color w:val="auto"/>
          <w:kern w:val="0"/>
          <w:sz w:val="33"/>
          <w:szCs w:val="33"/>
          <w:lang w:val="en-US" w:eastAsia="zh-CN" w:bidi="ar-SA"/>
        </w:rPr>
        <w:t>专家咨询、指导费预计投入5万元。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3" w:firstLineChars="200"/>
        <w:textAlignment w:val="auto"/>
        <w:rPr>
          <w:rFonts w:hint="eastAsia" w:ascii="仿宋_GB2312" w:hAnsi="仿宋_GB2312" w:eastAsia="仿宋_GB2312" w:cs="仿宋_GB2312"/>
          <w:color w:val="auto"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3"/>
          <w:szCs w:val="33"/>
          <w:lang w:val="en-US" w:eastAsia="zh-CN" w:bidi="ar-SA"/>
        </w:rPr>
        <w:t>（2）街区管委会办公场地装修、设施设备购置。</w:t>
      </w:r>
      <w:r>
        <w:rPr>
          <w:rFonts w:hint="eastAsia" w:ascii="仿宋_GB2312" w:hAnsi="仿宋_GB2312" w:eastAsia="仿宋_GB2312" w:cs="仿宋_GB2312"/>
          <w:b w:val="0"/>
          <w:kern w:val="0"/>
          <w:sz w:val="33"/>
          <w:szCs w:val="33"/>
          <w:lang w:val="en-US" w:eastAsia="zh-CN" w:bidi="ar-SA"/>
        </w:rPr>
        <w:t>街区管委会办公场地装修及办公设施设备采购，预计投入5万元。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3"/>
          <w:szCs w:val="33"/>
          <w:lang w:val="en-US" w:eastAsia="zh-CN"/>
        </w:rPr>
        <w:t>七、政策资金来源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0" w:firstLineChars="200"/>
        <w:textAlignment w:val="auto"/>
        <w:rPr>
          <w:rFonts w:hint="eastAsia" w:ascii="仿宋_GB2312" w:hAnsi="仿宋_GB2312" w:eastAsia="仿宋_GB2312" w:cs="仿宋_GB2312"/>
          <w:b w:val="0"/>
          <w:kern w:val="0"/>
          <w:sz w:val="33"/>
          <w:szCs w:val="33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kern w:val="0"/>
          <w:sz w:val="33"/>
          <w:szCs w:val="33"/>
          <w:lang w:val="en-US" w:eastAsia="zh-CN" w:bidi="ar-SA"/>
        </w:rPr>
        <w:t>本次步行街改造提升项目财政补助资金由2019年度市级财政商贸服务业发展专项资金（国家级供应链创新与管理示范建设项目专项资金）予以保障。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2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3"/>
          <w:szCs w:val="33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3"/>
          <w:szCs w:val="33"/>
          <w:lang w:val="en-US" w:eastAsia="zh-CN"/>
        </w:rPr>
        <w:t>八、保障措施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3" w:firstLineChars="200"/>
        <w:textAlignment w:val="auto"/>
        <w:rPr>
          <w:rFonts w:hint="eastAsia" w:ascii="仿宋_GB2312" w:hAnsi="仿宋_GB2312" w:eastAsia="仿宋_GB2312" w:cs="仿宋_GB2312"/>
          <w:sz w:val="33"/>
          <w:szCs w:val="33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3"/>
          <w:szCs w:val="33"/>
          <w:lang w:val="en-US" w:eastAsia="zh-CN"/>
        </w:rPr>
        <w:t>（一）建立工作协调机制。</w:t>
      </w:r>
      <w:r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  <w:t>成立邻水县步行街改造提升工作领导小组，建立县政府领导牵头、各相关部门负责人参与的工作协调机制。加强组织领导，明确职责分工及工作举措，确保工作有效推进。建立联席会议机制，形成工作合力，营造良好的工作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3" w:firstLineChars="200"/>
        <w:textAlignment w:val="auto"/>
        <w:rPr>
          <w:rFonts w:hint="eastAsia" w:ascii="仿宋_GB2312" w:hAnsi="仿宋_GB2312" w:eastAsia="仿宋_GB2312" w:cs="仿宋_GB2312"/>
          <w:sz w:val="33"/>
          <w:szCs w:val="33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sz w:val="33"/>
          <w:szCs w:val="33"/>
          <w:lang w:val="en-US" w:eastAsia="zh-CN"/>
        </w:rPr>
        <w:t>（二）严格项目资金管理。</w:t>
      </w:r>
      <w:r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  <w:t>按照</w:t>
      </w:r>
      <w:r>
        <w:rPr>
          <w:rFonts w:hint="eastAsia" w:ascii="仿宋_GB2312" w:hAnsi="仿宋_GB2312" w:eastAsia="仿宋_GB2312" w:cs="仿宋_GB2312"/>
          <w:sz w:val="33"/>
          <w:szCs w:val="33"/>
          <w:lang w:eastAsia="zh-CN" w:bidi="ar"/>
        </w:rPr>
        <w:t>《</w:t>
      </w:r>
      <w:r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  <w:t>广安市财政局、广安市商务局</w:t>
      </w:r>
      <w:r>
        <w:rPr>
          <w:rFonts w:hint="eastAsia" w:ascii="仿宋_GB2312" w:hAnsi="仿宋_GB2312" w:eastAsia="仿宋_GB2312" w:cs="仿宋_GB2312"/>
          <w:sz w:val="33"/>
          <w:szCs w:val="33"/>
          <w:lang w:val="en-US" w:eastAsia="zh-CN" w:bidi="ar"/>
        </w:rPr>
        <w:t>关于印发&lt;广安市市级商贸服务业发展专项资金管理办法&gt;的通知》（广市财</w:t>
      </w:r>
      <w:r>
        <w:rPr>
          <w:rFonts w:hint="eastAsia" w:ascii="仿宋_GB2312" w:hAnsi="仿宋_GB2312" w:eastAsia="仿宋_GB2312" w:cs="仿宋_GB2312"/>
          <w:sz w:val="33"/>
          <w:szCs w:val="33"/>
          <w:lang w:bidi="ar"/>
        </w:rPr>
        <w:t>〔20</w:t>
      </w:r>
      <w:r>
        <w:rPr>
          <w:rFonts w:hint="eastAsia" w:ascii="仿宋_GB2312" w:hAnsi="仿宋_GB2312" w:eastAsia="仿宋_GB2312" w:cs="仿宋_GB2312"/>
          <w:sz w:val="33"/>
          <w:szCs w:val="33"/>
          <w:lang w:val="en-US" w:eastAsia="zh-CN" w:bidi="ar"/>
        </w:rPr>
        <w:t>20</w:t>
      </w:r>
      <w:r>
        <w:rPr>
          <w:rFonts w:hint="eastAsia" w:ascii="仿宋_GB2312" w:hAnsi="仿宋_GB2312" w:eastAsia="仿宋_GB2312" w:cs="仿宋_GB2312"/>
          <w:sz w:val="33"/>
          <w:szCs w:val="33"/>
          <w:lang w:bidi="ar"/>
        </w:rPr>
        <w:t>〕</w:t>
      </w:r>
      <w:r>
        <w:rPr>
          <w:rFonts w:hint="eastAsia" w:ascii="仿宋_GB2312" w:hAnsi="仿宋_GB2312" w:eastAsia="仿宋_GB2312" w:cs="仿宋_GB2312"/>
          <w:sz w:val="33"/>
          <w:szCs w:val="33"/>
          <w:lang w:val="en-US" w:eastAsia="zh-CN" w:bidi="ar"/>
        </w:rPr>
        <w:t>21</w:t>
      </w:r>
      <w:r>
        <w:rPr>
          <w:rFonts w:hint="eastAsia" w:ascii="仿宋_GB2312" w:hAnsi="仿宋_GB2312" w:eastAsia="仿宋_GB2312" w:cs="仿宋_GB2312"/>
          <w:sz w:val="33"/>
          <w:szCs w:val="33"/>
          <w:lang w:bidi="ar"/>
        </w:rPr>
        <w:t>号</w:t>
      </w:r>
      <w:r>
        <w:rPr>
          <w:rFonts w:hint="eastAsia" w:ascii="仿宋_GB2312" w:hAnsi="仿宋_GB2312" w:eastAsia="仿宋_GB2312" w:cs="仿宋_GB2312"/>
          <w:sz w:val="33"/>
          <w:szCs w:val="33"/>
          <w:lang w:eastAsia="zh-CN" w:bidi="ar"/>
        </w:rPr>
        <w:t>）文件精神，</w:t>
      </w:r>
      <w:r>
        <w:rPr>
          <w:rFonts w:hint="eastAsia" w:ascii="仿宋_GB2312" w:hAnsi="仿宋_GB2312" w:eastAsia="仿宋_GB2312" w:cs="仿宋_GB2312"/>
          <w:sz w:val="33"/>
          <w:szCs w:val="33"/>
          <w:lang w:val="en-US" w:eastAsia="zh-CN" w:bidi="ar"/>
        </w:rPr>
        <w:t>加强对步行街改造提升项目的监督管理，对项目实施和资金使用进行事前、事中、事后全程监管，确保专款专用。完善第三方绩效考核制度，公开项目申报、评审、验收、评估等环节的工作，接受社会监督，切实履行主体责任，做好项目建设、运营情况等调查统计工作，确保如期实现项目建设目标任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63" w:firstLineChars="200"/>
        <w:textAlignment w:val="auto"/>
        <w:rPr>
          <w:rFonts w:hint="eastAsia" w:ascii="仿宋_GB2312" w:hAnsi="仿宋_GB2312" w:eastAsia="仿宋_GB2312" w:cs="仿宋_GB2312"/>
          <w:sz w:val="33"/>
          <w:szCs w:val="33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sz w:val="33"/>
          <w:szCs w:val="33"/>
          <w:lang w:val="en-US" w:eastAsia="zh-CN"/>
        </w:rPr>
        <w:t>（三）强化督察考核机制。</w:t>
      </w:r>
      <w:r>
        <w:rPr>
          <w:rFonts w:hint="eastAsia" w:ascii="仿宋_GB2312" w:hAnsi="仿宋_GB2312" w:eastAsia="仿宋_GB2312" w:cs="仿宋_GB2312"/>
          <w:sz w:val="33"/>
          <w:szCs w:val="33"/>
          <w:lang w:val="en-US" w:eastAsia="zh-CN" w:bidi="ar"/>
        </w:rPr>
        <w:t>县商务局、县财政局定期、不定期开展步行街改造提升工作落实情况检查，强化督查督办、严格考核奖惩，确保建设项目年度绩效目标任务完成。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 w:val="0"/>
          <w:kern w:val="2"/>
          <w:sz w:val="33"/>
          <w:szCs w:val="33"/>
          <w:lang w:val="en-US" w:eastAsia="zh-CN" w:bidi="ar-SA"/>
        </w:rPr>
      </w:pPr>
    </w:p>
    <w:p>
      <w:pPr>
        <w:rPr>
          <w:rFonts w:hint="eastAsia" w:ascii="仿宋_GB2312" w:hAnsi="仿宋_GB2312" w:eastAsia="仿宋_GB2312" w:cs="仿宋_GB2312"/>
        </w:rPr>
      </w:pPr>
    </w:p>
    <w:p/>
    <w:sectPr>
      <w:footerReference r:id="rId3" w:type="default"/>
      <w:pgSz w:w="11906" w:h="16838"/>
      <w:pgMar w:top="1440" w:right="1800" w:bottom="1440" w:left="1800" w:header="851" w:footer="133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B3935"/>
    <w:multiLevelType w:val="singleLevel"/>
    <w:tmpl w:val="0FDB393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6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AD7724"/>
    <w:rsid w:val="55AD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b/>
      <w:sz w:val="4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标题 5（有编号）（绿盟科技）"/>
    <w:basedOn w:val="1"/>
    <w:next w:val="7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/>
      <w:b/>
      <w:sz w:val="24"/>
      <w:szCs w:val="28"/>
    </w:rPr>
  </w:style>
  <w:style w:type="paragraph" w:customStyle="1" w:styleId="7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2020-12-23T07:04:00Z</dcterms:created>
  <dc:creator>Administrator</dc:creator>
  <cp:lastModifiedBy>Administrator</cp:lastModifiedBy>
  <dcterms:modified xsi:type="dcterms:W3CDTF">2020-12-23T07:04:46Z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