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C842CD">
      <w:pPr>
        <w:rPr>
          <w:rFonts w:ascii="Times New Roman" w:hAnsi="Times New Roman" w:eastAsia="宋体" w:cs="仿宋_GB2312"/>
          <w:sz w:val="36"/>
          <w:szCs w:val="36"/>
        </w:rPr>
      </w:pPr>
      <w:bookmarkStart w:id="12" w:name="_GoBack"/>
      <w:bookmarkEnd w:id="12"/>
    </w:p>
    <w:p w14:paraId="6C7F5ED4">
      <w:pPr>
        <w:rPr>
          <w:rFonts w:ascii="Times New Roman" w:hAnsi="Times New Roman" w:eastAsia="宋体" w:cs="仿宋_GB2312"/>
          <w:sz w:val="36"/>
          <w:szCs w:val="36"/>
        </w:rPr>
      </w:pPr>
    </w:p>
    <w:p w14:paraId="01BE9FD9">
      <w:pPr>
        <w:adjustRightInd w:val="0"/>
        <w:snapToGrid w:val="0"/>
        <w:jc w:val="center"/>
        <w:rPr>
          <w:rFonts w:hint="eastAsia" w:ascii="Times New Roman" w:hAnsi="Times New Roman" w:eastAsia="宋体"/>
          <w:bCs/>
          <w:sz w:val="72"/>
          <w:szCs w:val="72"/>
        </w:rPr>
      </w:pPr>
      <w:r>
        <w:rPr>
          <w:rFonts w:hint="eastAsia" w:ascii="Times New Roman" w:hAnsi="Times New Roman" w:eastAsia="宋体"/>
          <w:bCs/>
          <w:sz w:val="72"/>
          <w:szCs w:val="72"/>
        </w:rPr>
        <w:t>建设项目环境影响报告表</w:t>
      </w:r>
    </w:p>
    <w:p w14:paraId="01C9838B">
      <w:pPr>
        <w:adjustRightInd w:val="0"/>
        <w:snapToGrid w:val="0"/>
        <w:spacing w:before="192" w:beforeLines="80"/>
        <w:jc w:val="center"/>
        <w:rPr>
          <w:rFonts w:hint="eastAsia" w:ascii="Times New Roman" w:hAnsi="Times New Roman" w:eastAsia="宋体"/>
          <w:b w:val="0"/>
          <w:bCs/>
          <w:sz w:val="48"/>
          <w:szCs w:val="48"/>
        </w:rPr>
      </w:pPr>
      <w:r>
        <w:rPr>
          <w:rFonts w:hint="eastAsia" w:ascii="Times New Roman" w:hAnsi="Times New Roman" w:eastAsia="宋体"/>
          <w:b w:val="0"/>
          <w:bCs/>
          <w:sz w:val="48"/>
          <w:szCs w:val="48"/>
        </w:rPr>
        <w:t>（污染影响类）</w:t>
      </w:r>
    </w:p>
    <w:p w14:paraId="11A88A9E">
      <w:pPr>
        <w:jc w:val="center"/>
        <w:rPr>
          <w:rFonts w:ascii="Times New Roman" w:hAnsi="Times New Roman" w:eastAsia="宋体"/>
          <w:sz w:val="48"/>
          <w:szCs w:val="48"/>
        </w:rPr>
      </w:pPr>
      <w:r>
        <w:rPr>
          <w:rFonts w:hint="eastAsia" w:ascii="Times New Roman" w:hAnsi="Times New Roman" w:eastAsia="宋体"/>
          <w:sz w:val="48"/>
          <w:szCs w:val="48"/>
        </w:rPr>
        <w:t>（</w:t>
      </w:r>
      <w:r>
        <w:rPr>
          <w:rFonts w:hint="eastAsia"/>
          <w:sz w:val="48"/>
          <w:szCs w:val="48"/>
          <w:lang w:val="en-US" w:eastAsia="zh-CN"/>
        </w:rPr>
        <w:t>公示</w:t>
      </w:r>
      <w:r>
        <w:rPr>
          <w:rFonts w:ascii="Times New Roman" w:hAnsi="Times New Roman" w:eastAsia="宋体"/>
          <w:sz w:val="48"/>
          <w:szCs w:val="48"/>
        </w:rPr>
        <w:t>本</w:t>
      </w:r>
      <w:r>
        <w:rPr>
          <w:rFonts w:hint="eastAsia" w:ascii="Times New Roman" w:hAnsi="Times New Roman" w:eastAsia="宋体"/>
          <w:sz w:val="48"/>
          <w:szCs w:val="48"/>
        </w:rPr>
        <w:t>）</w:t>
      </w:r>
    </w:p>
    <w:p w14:paraId="3FB791BA">
      <w:pPr>
        <w:rPr>
          <w:rFonts w:ascii="Times New Roman" w:hAnsi="Times New Roman" w:eastAsia="宋体"/>
          <w:sz w:val="44"/>
          <w:szCs w:val="44"/>
        </w:rPr>
      </w:pPr>
    </w:p>
    <w:p w14:paraId="50E83B71">
      <w:pPr>
        <w:rPr>
          <w:rFonts w:ascii="Times New Roman" w:hAnsi="Times New Roman" w:eastAsia="宋体"/>
          <w:sz w:val="44"/>
          <w:szCs w:val="44"/>
        </w:rPr>
      </w:pPr>
    </w:p>
    <w:p w14:paraId="63A9D81A">
      <w:pPr>
        <w:rPr>
          <w:rFonts w:ascii="Times New Roman" w:hAnsi="Times New Roman" w:eastAsia="宋体"/>
          <w:sz w:val="44"/>
          <w:szCs w:val="44"/>
        </w:rPr>
      </w:pPr>
    </w:p>
    <w:p w14:paraId="63745BC2">
      <w:pPr>
        <w:pStyle w:val="2"/>
        <w:rPr>
          <w:rFonts w:ascii="Times New Roman" w:hAnsi="Times New Roman" w:eastAsia="宋体"/>
          <w:sz w:val="44"/>
          <w:szCs w:val="44"/>
        </w:rPr>
      </w:pPr>
    </w:p>
    <w:p w14:paraId="4A63DBFD"/>
    <w:p w14:paraId="79D63AF5">
      <w:pPr>
        <w:rPr>
          <w:rFonts w:ascii="Times New Roman" w:hAnsi="Times New Roman" w:eastAsia="宋体"/>
          <w:sz w:val="44"/>
          <w:szCs w:val="44"/>
        </w:rPr>
      </w:pPr>
    </w:p>
    <w:p w14:paraId="6F0A3072">
      <w:pPr>
        <w:pStyle w:val="2"/>
        <w:rPr>
          <w:rFonts w:ascii="Times New Roman" w:hAnsi="Times New Roman" w:eastAsia="宋体"/>
          <w:sz w:val="44"/>
          <w:szCs w:val="44"/>
        </w:rPr>
      </w:pPr>
    </w:p>
    <w:p w14:paraId="7B5E5BD1"/>
    <w:p w14:paraId="34275CFC">
      <w:pPr>
        <w:pStyle w:val="2"/>
      </w:pPr>
    </w:p>
    <w:p w14:paraId="0F7E8226">
      <w:pPr>
        <w:keepNext w:val="0"/>
        <w:keepLines w:val="0"/>
        <w:pageBreakBefore w:val="0"/>
        <w:widowControl w:val="0"/>
        <w:kinsoku/>
        <w:wordWrap/>
        <w:overflowPunct/>
        <w:topLinePunct w:val="0"/>
        <w:autoSpaceDE/>
        <w:autoSpaceDN/>
        <w:bidi w:val="0"/>
        <w:adjustRightInd w:val="0"/>
        <w:snapToGrid w:val="0"/>
        <w:spacing w:line="288" w:lineRule="auto"/>
        <w:ind w:firstLine="1080" w:firstLineChars="300"/>
        <w:jc w:val="both"/>
        <w:textAlignment w:val="auto"/>
        <w:rPr>
          <w:rFonts w:ascii="Times New Roman" w:hAnsi="Times New Roman" w:eastAsia="宋体"/>
          <w:sz w:val="36"/>
          <w:szCs w:val="36"/>
          <w:u w:val="single"/>
        </w:rPr>
      </w:pPr>
      <w:r>
        <w:rPr>
          <w:rFonts w:hint="eastAsia" w:ascii="Times New Roman" w:hAnsi="Times New Roman" w:eastAsia="宋体"/>
          <w:sz w:val="36"/>
          <w:szCs w:val="36"/>
        </w:rPr>
        <w:t>项目名称：</w:t>
      </w:r>
      <w:r>
        <w:rPr>
          <w:rFonts w:hint="eastAsia"/>
          <w:sz w:val="36"/>
          <w:szCs w:val="36"/>
          <w:u w:val="single"/>
          <w:lang w:eastAsia="zh-CN"/>
        </w:rPr>
        <w:t>砂石加工生产线搬迁项目</w:t>
      </w:r>
      <w:r>
        <w:rPr>
          <w:rFonts w:hint="eastAsia" w:ascii="Times New Roman" w:hAnsi="Times New Roman" w:eastAsia="宋体"/>
          <w:sz w:val="36"/>
          <w:szCs w:val="36"/>
          <w:u w:val="single"/>
        </w:rPr>
        <w:t xml:space="preserve">        </w:t>
      </w:r>
    </w:p>
    <w:p w14:paraId="538D72D6">
      <w:pPr>
        <w:keepNext w:val="0"/>
        <w:keepLines w:val="0"/>
        <w:pageBreakBefore w:val="0"/>
        <w:widowControl w:val="0"/>
        <w:kinsoku/>
        <w:wordWrap/>
        <w:overflowPunct/>
        <w:topLinePunct w:val="0"/>
        <w:autoSpaceDE/>
        <w:autoSpaceDN/>
        <w:bidi w:val="0"/>
        <w:adjustRightInd w:val="0"/>
        <w:snapToGrid w:val="0"/>
        <w:spacing w:line="288" w:lineRule="auto"/>
        <w:ind w:firstLine="1080" w:firstLineChars="300"/>
        <w:jc w:val="both"/>
        <w:textAlignment w:val="auto"/>
        <w:rPr>
          <w:rFonts w:hint="default" w:ascii="Times New Roman" w:hAnsi="Times New Roman" w:eastAsia="宋体"/>
          <w:spacing w:val="-11"/>
          <w:sz w:val="36"/>
          <w:szCs w:val="36"/>
          <w:u w:val="single"/>
          <w:lang w:val="en-US" w:eastAsia="zh-CN"/>
        </w:rPr>
      </w:pPr>
      <w:r>
        <w:rPr>
          <w:rFonts w:hint="eastAsia" w:ascii="Times New Roman" w:hAnsi="Times New Roman" w:eastAsia="宋体"/>
          <w:sz w:val="36"/>
          <w:szCs w:val="36"/>
        </w:rPr>
        <w:t>建设单位（盖章）</w:t>
      </w:r>
      <w:r>
        <w:rPr>
          <w:rFonts w:hint="eastAsia" w:ascii="Times New Roman" w:hAnsi="Times New Roman" w:eastAsia="宋体"/>
          <w:sz w:val="36"/>
          <w:szCs w:val="36"/>
          <w:u w:val="single"/>
        </w:rPr>
        <w:t>邻水县筑成建材有限公司</w:t>
      </w:r>
      <w:r>
        <w:rPr>
          <w:rFonts w:hint="eastAsia"/>
          <w:sz w:val="36"/>
          <w:szCs w:val="36"/>
          <w:u w:val="single"/>
          <w:lang w:val="en-US" w:eastAsia="zh-CN"/>
        </w:rPr>
        <w:t xml:space="preserve">  </w:t>
      </w:r>
    </w:p>
    <w:p w14:paraId="4DC378E7">
      <w:pPr>
        <w:adjustRightInd w:val="0"/>
        <w:snapToGrid w:val="0"/>
        <w:spacing w:line="288" w:lineRule="auto"/>
        <w:ind w:firstLine="1080" w:firstLineChars="300"/>
        <w:rPr>
          <w:rFonts w:ascii="Times New Roman" w:hAnsi="Times New Roman" w:eastAsia="宋体"/>
          <w:sz w:val="36"/>
          <w:szCs w:val="36"/>
          <w:u w:val="single"/>
        </w:rPr>
      </w:pPr>
      <w:r>
        <w:rPr>
          <w:rFonts w:hint="eastAsia" w:ascii="Times New Roman" w:hAnsi="Times New Roman" w:eastAsia="宋体"/>
          <w:sz w:val="36"/>
          <w:szCs w:val="36"/>
        </w:rPr>
        <w:t>编制日期：</w:t>
      </w:r>
      <w:r>
        <w:rPr>
          <w:rFonts w:hint="eastAsia" w:ascii="Times New Roman" w:hAnsi="Times New Roman" w:eastAsia="宋体"/>
          <w:sz w:val="36"/>
          <w:szCs w:val="36"/>
          <w:u w:val="single"/>
        </w:rPr>
        <w:t xml:space="preserve">         </w:t>
      </w:r>
      <w:r>
        <w:rPr>
          <w:rFonts w:ascii="Times New Roman" w:hAnsi="Times New Roman" w:eastAsia="宋体"/>
          <w:sz w:val="36"/>
          <w:szCs w:val="36"/>
          <w:u w:val="single"/>
        </w:rPr>
        <w:t>202</w:t>
      </w:r>
      <w:r>
        <w:rPr>
          <w:rFonts w:hint="eastAsia" w:ascii="Times New Roman" w:hAnsi="Times New Roman" w:eastAsia="宋体"/>
          <w:sz w:val="36"/>
          <w:szCs w:val="36"/>
          <w:u w:val="single"/>
          <w:lang w:val="en-US" w:eastAsia="zh-CN"/>
        </w:rPr>
        <w:t>5</w:t>
      </w:r>
      <w:r>
        <w:rPr>
          <w:rFonts w:ascii="Times New Roman" w:hAnsi="Times New Roman" w:eastAsia="宋体"/>
          <w:sz w:val="36"/>
          <w:szCs w:val="36"/>
          <w:u w:val="single"/>
        </w:rPr>
        <w:t>年</w:t>
      </w:r>
      <w:r>
        <w:rPr>
          <w:rFonts w:hint="eastAsia"/>
          <w:sz w:val="36"/>
          <w:szCs w:val="36"/>
          <w:u w:val="single"/>
          <w:lang w:val="en-US" w:eastAsia="zh-CN"/>
        </w:rPr>
        <w:t>7</w:t>
      </w:r>
      <w:r>
        <w:rPr>
          <w:rFonts w:ascii="Times New Roman" w:hAnsi="Times New Roman" w:eastAsia="宋体"/>
          <w:sz w:val="36"/>
          <w:szCs w:val="36"/>
          <w:u w:val="single"/>
        </w:rPr>
        <w:t>月</w:t>
      </w:r>
      <w:r>
        <w:rPr>
          <w:rFonts w:hint="eastAsia" w:ascii="Times New Roman" w:hAnsi="Times New Roman" w:eastAsia="宋体"/>
          <w:sz w:val="36"/>
          <w:szCs w:val="36"/>
          <w:u w:val="single"/>
        </w:rPr>
        <w:t xml:space="preserve">         </w:t>
      </w:r>
      <w:r>
        <w:rPr>
          <w:rFonts w:hint="eastAsia"/>
          <w:sz w:val="36"/>
          <w:szCs w:val="36"/>
          <w:u w:val="single"/>
          <w:lang w:val="en-US" w:eastAsia="zh-CN"/>
        </w:rPr>
        <w:t xml:space="preserve">  </w:t>
      </w:r>
    </w:p>
    <w:p w14:paraId="7037DEE5">
      <w:pPr>
        <w:adjustRightInd w:val="0"/>
        <w:snapToGrid w:val="0"/>
        <w:spacing w:line="288" w:lineRule="auto"/>
        <w:rPr>
          <w:rFonts w:ascii="Times New Roman" w:hAnsi="Times New Roman" w:eastAsia="宋体"/>
          <w:sz w:val="36"/>
          <w:szCs w:val="36"/>
          <w:u w:val="single"/>
        </w:rPr>
      </w:pPr>
      <w:bookmarkStart w:id="0" w:name="_Hlk57884087"/>
    </w:p>
    <w:p w14:paraId="1D5337EC">
      <w:pPr>
        <w:adjustRightInd w:val="0"/>
        <w:snapToGrid w:val="0"/>
        <w:spacing w:line="288" w:lineRule="auto"/>
        <w:ind w:firstLine="1040"/>
        <w:rPr>
          <w:rFonts w:ascii="Times New Roman" w:hAnsi="Times New Roman" w:eastAsia="宋体"/>
          <w:sz w:val="36"/>
          <w:szCs w:val="36"/>
        </w:rPr>
      </w:pPr>
    </w:p>
    <w:p w14:paraId="7D7FD5FA">
      <w:pPr>
        <w:adjustRightInd w:val="0"/>
        <w:snapToGrid w:val="0"/>
        <w:spacing w:line="288" w:lineRule="auto"/>
        <w:ind w:firstLine="1040"/>
        <w:rPr>
          <w:rFonts w:ascii="Times New Roman" w:hAnsi="Times New Roman" w:eastAsia="宋体"/>
          <w:sz w:val="36"/>
          <w:szCs w:val="36"/>
        </w:rPr>
      </w:pPr>
    </w:p>
    <w:p w14:paraId="5AEACB74">
      <w:pPr>
        <w:adjustRightInd w:val="0"/>
        <w:snapToGrid w:val="0"/>
        <w:spacing w:line="288" w:lineRule="auto"/>
        <w:ind w:firstLine="1040"/>
        <w:rPr>
          <w:rFonts w:hint="eastAsia" w:ascii="Times New Roman" w:hAnsi="Times New Roman" w:eastAsia="宋体"/>
          <w:sz w:val="36"/>
          <w:szCs w:val="36"/>
        </w:rPr>
      </w:pPr>
    </w:p>
    <w:p w14:paraId="20F3E41F">
      <w:pPr>
        <w:adjustRightInd w:val="0"/>
        <w:snapToGrid w:val="0"/>
        <w:spacing w:line="288" w:lineRule="auto"/>
        <w:ind w:firstLine="1040"/>
        <w:rPr>
          <w:rFonts w:hint="eastAsia" w:ascii="Times New Roman" w:hAnsi="Times New Roman" w:eastAsia="宋体"/>
          <w:sz w:val="36"/>
          <w:szCs w:val="36"/>
        </w:rPr>
      </w:pPr>
    </w:p>
    <w:bookmarkEnd w:id="0"/>
    <w:p w14:paraId="3185BB43">
      <w:pPr>
        <w:adjustRightInd w:val="0"/>
        <w:snapToGrid w:val="0"/>
        <w:spacing w:line="288" w:lineRule="auto"/>
        <w:jc w:val="center"/>
        <w:rPr>
          <w:rFonts w:hint="eastAsia" w:ascii="Times New Roman" w:hAnsi="Times New Roman" w:eastAsia="宋体"/>
          <w:sz w:val="36"/>
          <w:szCs w:val="36"/>
        </w:rPr>
      </w:pPr>
      <w:r>
        <w:rPr>
          <w:rFonts w:hint="eastAsia" w:ascii="Times New Roman" w:hAnsi="Times New Roman" w:eastAsia="宋体"/>
          <w:sz w:val="36"/>
          <w:szCs w:val="36"/>
        </w:rPr>
        <w:t>中华人民共和国生态环境部制</w:t>
      </w:r>
    </w:p>
    <w:p w14:paraId="07C946DA">
      <w:pPr>
        <w:adjustRightInd w:val="0"/>
        <w:snapToGrid w:val="0"/>
        <w:spacing w:line="288" w:lineRule="auto"/>
        <w:ind w:firstLine="1040"/>
        <w:rPr>
          <w:rFonts w:ascii="Times New Roman" w:hAnsi="Times New Roman" w:eastAsia="宋体"/>
          <w:sz w:val="36"/>
          <w:szCs w:val="36"/>
        </w:rPr>
      </w:pPr>
    </w:p>
    <w:p w14:paraId="1D776B64">
      <w:pPr>
        <w:pStyle w:val="16"/>
        <w:rPr>
          <w:rFonts w:ascii="Times New Roman" w:hAnsi="Times New Roman" w:eastAsia="宋体"/>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0A80E231">
      <w:pPr>
        <w:pStyle w:val="6"/>
        <w:rPr>
          <w:rFonts w:hint="eastAsia" w:ascii="Times New Roman" w:hAnsi="Times New Roman" w:eastAsia="宋体"/>
          <w:color w:val="auto"/>
        </w:rPr>
      </w:pPr>
      <w:bookmarkStart w:id="1" w:name="_Toc23955"/>
      <w:bookmarkStart w:id="2" w:name="_Toc16346"/>
      <w:r>
        <w:rPr>
          <w:rFonts w:hint="eastAsia" w:ascii="Times New Roman" w:hAnsi="Times New Roman" w:eastAsia="宋体"/>
          <w:color w:val="auto"/>
        </w:rPr>
        <w:t>一、建设项目基本情况</w:t>
      </w:r>
      <w:bookmarkEnd w:id="1"/>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699"/>
        <w:gridCol w:w="1871"/>
        <w:gridCol w:w="1220"/>
        <w:gridCol w:w="5080"/>
      </w:tblGrid>
      <w:tr w14:paraId="6E51E1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698" w:type="dxa"/>
            <w:noWrap w:val="0"/>
            <w:tcMar>
              <w:top w:w="16" w:type="dxa"/>
              <w:left w:w="16" w:type="dxa"/>
              <w:right w:w="16" w:type="dxa"/>
            </w:tcMar>
            <w:vAlign w:val="center"/>
          </w:tcPr>
          <w:p w14:paraId="6CCCFAB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sz w:val="24"/>
              </w:rPr>
            </w:pPr>
            <w:r>
              <w:rPr>
                <w:rFonts w:hint="eastAsia" w:ascii="Times New Roman" w:hAnsi="Times New Roman" w:eastAsia="宋体" w:cs="宋体"/>
                <w:sz w:val="24"/>
              </w:rPr>
              <w:t>建设项目名称</w:t>
            </w:r>
          </w:p>
        </w:tc>
        <w:tc>
          <w:tcPr>
            <w:tcW w:w="8172" w:type="dxa"/>
            <w:gridSpan w:val="3"/>
            <w:noWrap w:val="0"/>
            <w:vAlign w:val="center"/>
          </w:tcPr>
          <w:p w14:paraId="49FD634A">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sz w:val="24"/>
                <w:highlight w:val="none"/>
                <w:lang w:eastAsia="zh-CN"/>
              </w:rPr>
            </w:pPr>
            <w:r>
              <w:rPr>
                <w:rFonts w:hint="eastAsia" w:cs="宋体"/>
                <w:sz w:val="24"/>
                <w:highlight w:val="none"/>
                <w:lang w:eastAsia="zh-CN"/>
              </w:rPr>
              <w:t>砂石加工生产线搬迁项目</w:t>
            </w:r>
          </w:p>
        </w:tc>
      </w:tr>
      <w:tr w14:paraId="4A4DBD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698" w:type="dxa"/>
            <w:noWrap w:val="0"/>
            <w:tcMar>
              <w:top w:w="16" w:type="dxa"/>
              <w:left w:w="16" w:type="dxa"/>
              <w:right w:w="16" w:type="dxa"/>
            </w:tcMar>
            <w:vAlign w:val="center"/>
          </w:tcPr>
          <w:p w14:paraId="122E724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sz w:val="24"/>
              </w:rPr>
            </w:pPr>
            <w:r>
              <w:rPr>
                <w:rFonts w:hint="eastAsia" w:ascii="Times New Roman" w:hAnsi="Times New Roman" w:eastAsia="宋体" w:cs="宋体"/>
                <w:sz w:val="24"/>
              </w:rPr>
              <w:t>项目代码</w:t>
            </w:r>
          </w:p>
        </w:tc>
        <w:tc>
          <w:tcPr>
            <w:tcW w:w="8172" w:type="dxa"/>
            <w:gridSpan w:val="3"/>
            <w:noWrap w:val="0"/>
            <w:vAlign w:val="center"/>
          </w:tcPr>
          <w:p w14:paraId="2B80EE5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highlight w:val="none"/>
              </w:rPr>
            </w:pPr>
            <w:r>
              <w:rPr>
                <w:rFonts w:hint="eastAsia" w:ascii="Times New Roman" w:hAnsi="Times New Roman" w:eastAsia="宋体" w:cs="Times New Roman"/>
                <w:sz w:val="24"/>
                <w:highlight w:val="none"/>
              </w:rPr>
              <w:t>2506-511623-04-01-112602</w:t>
            </w:r>
          </w:p>
        </w:tc>
      </w:tr>
      <w:tr w14:paraId="0EFE07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698" w:type="dxa"/>
            <w:noWrap w:val="0"/>
            <w:tcMar>
              <w:top w:w="16" w:type="dxa"/>
              <w:left w:w="16" w:type="dxa"/>
              <w:right w:w="16" w:type="dxa"/>
            </w:tcMar>
            <w:vAlign w:val="center"/>
          </w:tcPr>
          <w:p w14:paraId="7B8A1371">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sz w:val="24"/>
              </w:rPr>
            </w:pPr>
            <w:r>
              <w:rPr>
                <w:rFonts w:hint="eastAsia" w:ascii="Times New Roman" w:hAnsi="Times New Roman" w:eastAsia="宋体" w:cs="宋体"/>
                <w:sz w:val="24"/>
              </w:rPr>
              <w:t>建设单位联系人</w:t>
            </w:r>
          </w:p>
        </w:tc>
        <w:tc>
          <w:tcPr>
            <w:tcW w:w="1901" w:type="dxa"/>
            <w:noWrap w:val="0"/>
            <w:vAlign w:val="center"/>
          </w:tcPr>
          <w:p w14:paraId="0A704B1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lang w:val="en-US" w:eastAsia="zh-CN"/>
              </w:rPr>
            </w:pPr>
            <w:r>
              <w:rPr>
                <w:rFonts w:hint="eastAsia" w:cs="Times New Roman"/>
                <w:sz w:val="24"/>
                <w:lang w:val="en-US" w:eastAsia="zh-CN"/>
              </w:rPr>
              <w:t>胡**</w:t>
            </w:r>
          </w:p>
        </w:tc>
        <w:tc>
          <w:tcPr>
            <w:tcW w:w="1235" w:type="dxa"/>
            <w:noWrap w:val="0"/>
            <w:vAlign w:val="center"/>
          </w:tcPr>
          <w:p w14:paraId="6BE35C6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rPr>
            </w:pPr>
            <w:r>
              <w:rPr>
                <w:rFonts w:hint="default" w:ascii="Times New Roman" w:hAnsi="Times New Roman" w:eastAsia="宋体" w:cs="Times New Roman"/>
                <w:sz w:val="24"/>
              </w:rPr>
              <w:t>联系方式</w:t>
            </w:r>
          </w:p>
        </w:tc>
        <w:tc>
          <w:tcPr>
            <w:tcW w:w="5036" w:type="dxa"/>
            <w:noWrap w:val="0"/>
            <w:vAlign w:val="center"/>
          </w:tcPr>
          <w:p w14:paraId="35A0B0E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lang w:val="en-US" w:eastAsia="zh-CN"/>
              </w:rPr>
            </w:pPr>
            <w:r>
              <w:rPr>
                <w:rFonts w:hint="eastAsia" w:cs="Times New Roman"/>
                <w:sz w:val="24"/>
                <w:lang w:val="en-US" w:eastAsia="zh-CN"/>
              </w:rPr>
              <w:t>131****8998</w:t>
            </w:r>
          </w:p>
        </w:tc>
      </w:tr>
      <w:tr w14:paraId="5FC660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698" w:type="dxa"/>
            <w:noWrap w:val="0"/>
            <w:tcMar>
              <w:top w:w="16" w:type="dxa"/>
              <w:left w:w="16" w:type="dxa"/>
              <w:right w:w="16" w:type="dxa"/>
            </w:tcMar>
            <w:vAlign w:val="center"/>
          </w:tcPr>
          <w:p w14:paraId="7D61A48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sz w:val="24"/>
              </w:rPr>
            </w:pPr>
            <w:r>
              <w:rPr>
                <w:rFonts w:hint="eastAsia" w:ascii="Times New Roman" w:hAnsi="Times New Roman" w:eastAsia="宋体" w:cs="宋体"/>
                <w:sz w:val="24"/>
              </w:rPr>
              <w:t>建设地点</w:t>
            </w:r>
          </w:p>
        </w:tc>
        <w:tc>
          <w:tcPr>
            <w:tcW w:w="8172" w:type="dxa"/>
            <w:gridSpan w:val="3"/>
            <w:noWrap w:val="0"/>
            <w:vAlign w:val="center"/>
          </w:tcPr>
          <w:p w14:paraId="27F3497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rPr>
            </w:pPr>
            <w:r>
              <w:rPr>
                <w:rFonts w:hint="default" w:ascii="Times New Roman" w:hAnsi="Times New Roman" w:eastAsia="宋体" w:cs="Times New Roman"/>
                <w:sz w:val="24"/>
                <w:u w:val="single"/>
              </w:rPr>
              <w:t xml:space="preserve"> 四川 </w:t>
            </w:r>
            <w:r>
              <w:rPr>
                <w:rFonts w:hint="default" w:ascii="Times New Roman" w:hAnsi="Times New Roman" w:eastAsia="宋体" w:cs="Times New Roman"/>
                <w:sz w:val="24"/>
              </w:rPr>
              <w:t>省（自治区）</w:t>
            </w:r>
            <w:r>
              <w:rPr>
                <w:rFonts w:hint="default" w:ascii="Times New Roman" w:hAnsi="Times New Roman" w:eastAsia="宋体" w:cs="Times New Roman"/>
                <w:sz w:val="24"/>
                <w:u w:val="single"/>
              </w:rPr>
              <w:t xml:space="preserve"> </w:t>
            </w:r>
            <w:r>
              <w:rPr>
                <w:rFonts w:hint="eastAsia" w:ascii="Times New Roman" w:hAnsi="Times New Roman" w:eastAsia="宋体" w:cs="Times New Roman"/>
                <w:sz w:val="24"/>
                <w:u w:val="single"/>
              </w:rPr>
              <w:t>广安</w:t>
            </w:r>
            <w:r>
              <w:rPr>
                <w:rFonts w:hint="default" w:ascii="Times New Roman" w:hAnsi="Times New Roman" w:eastAsia="宋体" w:cs="Times New Roman"/>
                <w:sz w:val="24"/>
                <w:u w:val="single"/>
              </w:rPr>
              <w:t xml:space="preserve"> </w:t>
            </w:r>
            <w:r>
              <w:rPr>
                <w:rFonts w:hint="default" w:ascii="Times New Roman" w:hAnsi="Times New Roman" w:eastAsia="宋体" w:cs="Times New Roman"/>
                <w:sz w:val="24"/>
              </w:rPr>
              <w:t>市</w:t>
            </w:r>
            <w:r>
              <w:rPr>
                <w:rFonts w:hint="default" w:ascii="Times New Roman" w:hAnsi="Times New Roman" w:eastAsia="宋体" w:cs="Times New Roman"/>
                <w:sz w:val="24"/>
                <w:u w:val="single"/>
              </w:rPr>
              <w:t xml:space="preserve"> </w:t>
            </w:r>
            <w:r>
              <w:rPr>
                <w:rFonts w:hint="eastAsia" w:ascii="Times New Roman" w:hAnsi="Times New Roman" w:eastAsia="宋体" w:cs="Times New Roman"/>
                <w:sz w:val="24"/>
                <w:u w:val="single"/>
              </w:rPr>
              <w:t>邻水</w:t>
            </w:r>
            <w:r>
              <w:rPr>
                <w:rFonts w:hint="default" w:ascii="Times New Roman" w:hAnsi="Times New Roman" w:eastAsia="宋体" w:cs="Times New Roman"/>
                <w:sz w:val="24"/>
                <w:u w:val="single"/>
              </w:rPr>
              <w:t xml:space="preserve"> </w:t>
            </w:r>
            <w:r>
              <w:rPr>
                <w:rFonts w:hint="default" w:ascii="Times New Roman" w:hAnsi="Times New Roman" w:eastAsia="宋体" w:cs="Times New Roman"/>
                <w:sz w:val="24"/>
              </w:rPr>
              <w:t>县（区）</w:t>
            </w:r>
            <w:r>
              <w:rPr>
                <w:rFonts w:hint="eastAsia" w:ascii="Times New Roman" w:hAnsi="Times New Roman" w:eastAsia="宋体" w:cs="Times New Roman"/>
                <w:sz w:val="24"/>
                <w:u w:val="single"/>
              </w:rPr>
              <w:t>石滓镇晒金村8组</w:t>
            </w:r>
          </w:p>
        </w:tc>
      </w:tr>
      <w:tr w14:paraId="0AE056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698" w:type="dxa"/>
            <w:noWrap w:val="0"/>
            <w:tcMar>
              <w:top w:w="16" w:type="dxa"/>
              <w:left w:w="16" w:type="dxa"/>
              <w:right w:w="16" w:type="dxa"/>
            </w:tcMar>
            <w:vAlign w:val="center"/>
          </w:tcPr>
          <w:p w14:paraId="23A62A2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sz w:val="24"/>
              </w:rPr>
            </w:pPr>
            <w:r>
              <w:rPr>
                <w:rFonts w:hint="eastAsia" w:ascii="Times New Roman" w:hAnsi="Times New Roman" w:eastAsia="宋体" w:cs="宋体"/>
                <w:sz w:val="24"/>
              </w:rPr>
              <w:t>地理坐标</w:t>
            </w:r>
          </w:p>
        </w:tc>
        <w:tc>
          <w:tcPr>
            <w:tcW w:w="8172" w:type="dxa"/>
            <w:gridSpan w:val="3"/>
            <w:noWrap w:val="0"/>
            <w:vAlign w:val="center"/>
          </w:tcPr>
          <w:p w14:paraId="06A32FCB">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rPr>
            </w:pPr>
            <w:r>
              <w:rPr>
                <w:rFonts w:hint="default" w:ascii="Times New Roman" w:hAnsi="Times New Roman" w:eastAsia="宋体" w:cs="Times New Roman"/>
                <w:sz w:val="24"/>
              </w:rPr>
              <w:t>（</w:t>
            </w:r>
            <w:r>
              <w:rPr>
                <w:rFonts w:hint="default" w:ascii="Times New Roman" w:hAnsi="Times New Roman" w:eastAsia="宋体" w:cs="Times New Roman"/>
                <w:sz w:val="24"/>
                <w:u w:val="single"/>
              </w:rPr>
              <w:t xml:space="preserve"> </w:t>
            </w:r>
            <w:r>
              <w:rPr>
                <w:rFonts w:hint="eastAsia" w:ascii="Times New Roman" w:hAnsi="Times New Roman" w:eastAsia="宋体" w:cs="Times New Roman"/>
                <w:sz w:val="24"/>
                <w:u w:val="single"/>
              </w:rPr>
              <w:t>10</w:t>
            </w:r>
            <w:r>
              <w:rPr>
                <w:rFonts w:hint="eastAsia" w:cs="Times New Roman"/>
                <w:sz w:val="24"/>
                <w:u w:val="single"/>
                <w:lang w:val="en-US" w:eastAsia="zh-CN"/>
              </w:rPr>
              <w:t>7</w:t>
            </w:r>
            <w:r>
              <w:rPr>
                <w:rFonts w:hint="default" w:ascii="Times New Roman" w:hAnsi="Times New Roman" w:eastAsia="宋体" w:cs="Times New Roman"/>
                <w:sz w:val="24"/>
                <w:u w:val="single"/>
              </w:rPr>
              <w:t xml:space="preserve"> </w:t>
            </w:r>
            <w:r>
              <w:rPr>
                <w:rFonts w:hint="default" w:ascii="Times New Roman" w:hAnsi="Times New Roman" w:eastAsia="宋体" w:cs="Times New Roman"/>
                <w:sz w:val="24"/>
              </w:rPr>
              <w:t>度</w:t>
            </w:r>
            <w:r>
              <w:rPr>
                <w:rFonts w:hint="default" w:ascii="Times New Roman" w:hAnsi="Times New Roman" w:eastAsia="宋体" w:cs="Times New Roman"/>
                <w:sz w:val="24"/>
                <w:u w:val="single"/>
              </w:rPr>
              <w:t xml:space="preserve"> </w:t>
            </w:r>
            <w:r>
              <w:rPr>
                <w:rFonts w:hint="eastAsia" w:cs="Times New Roman"/>
                <w:sz w:val="24"/>
                <w:u w:val="single"/>
                <w:lang w:val="en-US" w:eastAsia="zh-CN"/>
              </w:rPr>
              <w:t>10</w:t>
            </w:r>
            <w:r>
              <w:rPr>
                <w:rFonts w:hint="default" w:ascii="Times New Roman" w:hAnsi="Times New Roman" w:eastAsia="宋体" w:cs="Times New Roman"/>
                <w:sz w:val="24"/>
              </w:rPr>
              <w:t>分</w:t>
            </w:r>
            <w:r>
              <w:rPr>
                <w:rFonts w:hint="default" w:ascii="Times New Roman" w:hAnsi="Times New Roman" w:eastAsia="宋体" w:cs="Times New Roman"/>
                <w:sz w:val="24"/>
                <w:u w:val="single"/>
              </w:rPr>
              <w:t xml:space="preserve"> </w:t>
            </w:r>
            <w:r>
              <w:rPr>
                <w:rFonts w:hint="eastAsia" w:cs="Times New Roman"/>
                <w:sz w:val="24"/>
                <w:u w:val="single"/>
                <w:lang w:val="en-US" w:eastAsia="zh-CN"/>
              </w:rPr>
              <w:t>51.539</w:t>
            </w:r>
            <w:r>
              <w:rPr>
                <w:rFonts w:hint="default" w:ascii="Times New Roman" w:hAnsi="Times New Roman" w:eastAsia="宋体" w:cs="Times New Roman"/>
                <w:sz w:val="24"/>
                <w:u w:val="single"/>
              </w:rPr>
              <w:t xml:space="preserve"> </w:t>
            </w:r>
            <w:r>
              <w:rPr>
                <w:rFonts w:hint="default" w:ascii="Times New Roman" w:hAnsi="Times New Roman" w:eastAsia="宋体" w:cs="Times New Roman"/>
                <w:sz w:val="24"/>
              </w:rPr>
              <w:t>秒，</w:t>
            </w:r>
            <w:r>
              <w:rPr>
                <w:rFonts w:hint="default" w:ascii="Times New Roman" w:hAnsi="Times New Roman" w:eastAsia="宋体" w:cs="Times New Roman"/>
                <w:sz w:val="24"/>
                <w:u w:val="single"/>
              </w:rPr>
              <w:t xml:space="preserve"> 30 </w:t>
            </w:r>
            <w:r>
              <w:rPr>
                <w:rFonts w:hint="default" w:ascii="Times New Roman" w:hAnsi="Times New Roman" w:eastAsia="宋体" w:cs="Times New Roman"/>
                <w:sz w:val="24"/>
              </w:rPr>
              <w:t>度</w:t>
            </w:r>
            <w:r>
              <w:rPr>
                <w:rFonts w:hint="default" w:ascii="Times New Roman" w:hAnsi="Times New Roman" w:eastAsia="宋体" w:cs="Times New Roman"/>
                <w:sz w:val="24"/>
                <w:u w:val="single"/>
              </w:rPr>
              <w:t xml:space="preserve"> </w:t>
            </w:r>
            <w:r>
              <w:rPr>
                <w:rFonts w:hint="eastAsia" w:cs="Times New Roman"/>
                <w:sz w:val="24"/>
                <w:u w:val="single"/>
                <w:lang w:val="en-US" w:eastAsia="zh-CN"/>
              </w:rPr>
              <w:t>17</w:t>
            </w:r>
            <w:r>
              <w:rPr>
                <w:rFonts w:hint="default" w:ascii="Times New Roman" w:hAnsi="Times New Roman" w:eastAsia="宋体" w:cs="Times New Roman"/>
                <w:sz w:val="24"/>
                <w:u w:val="single"/>
              </w:rPr>
              <w:t xml:space="preserve"> </w:t>
            </w:r>
            <w:r>
              <w:rPr>
                <w:rFonts w:hint="default" w:ascii="Times New Roman" w:hAnsi="Times New Roman" w:eastAsia="宋体" w:cs="Times New Roman"/>
                <w:sz w:val="24"/>
              </w:rPr>
              <w:t>分</w:t>
            </w:r>
            <w:r>
              <w:rPr>
                <w:rFonts w:hint="default" w:ascii="Times New Roman" w:hAnsi="Times New Roman" w:eastAsia="宋体" w:cs="Times New Roman"/>
                <w:sz w:val="24"/>
                <w:u w:val="single"/>
              </w:rPr>
              <w:t xml:space="preserve"> </w:t>
            </w:r>
            <w:r>
              <w:rPr>
                <w:rFonts w:hint="eastAsia" w:cs="Times New Roman"/>
                <w:sz w:val="24"/>
                <w:u w:val="single"/>
                <w:lang w:val="en-US" w:eastAsia="zh-CN"/>
              </w:rPr>
              <w:t>18.396</w:t>
            </w:r>
            <w:r>
              <w:rPr>
                <w:rFonts w:hint="default" w:ascii="Times New Roman" w:hAnsi="Times New Roman" w:eastAsia="宋体" w:cs="Times New Roman"/>
                <w:sz w:val="24"/>
                <w:u w:val="single"/>
              </w:rPr>
              <w:t xml:space="preserve"> </w:t>
            </w:r>
            <w:r>
              <w:rPr>
                <w:rFonts w:hint="default" w:ascii="Times New Roman" w:hAnsi="Times New Roman" w:eastAsia="宋体" w:cs="Times New Roman"/>
                <w:sz w:val="24"/>
              </w:rPr>
              <w:t>秒）</w:t>
            </w:r>
          </w:p>
        </w:tc>
      </w:tr>
      <w:tr w14:paraId="2CCDB0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5" w:hRule="atLeast"/>
          <w:jc w:val="center"/>
        </w:trPr>
        <w:tc>
          <w:tcPr>
            <w:tcW w:w="698" w:type="dxa"/>
            <w:vMerge w:val="restart"/>
            <w:noWrap w:val="0"/>
            <w:tcMar>
              <w:top w:w="16" w:type="dxa"/>
              <w:left w:w="16" w:type="dxa"/>
              <w:right w:w="16" w:type="dxa"/>
            </w:tcMar>
            <w:vAlign w:val="center"/>
          </w:tcPr>
          <w:p w14:paraId="619F241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sz w:val="24"/>
              </w:rPr>
            </w:pPr>
            <w:r>
              <w:rPr>
                <w:rFonts w:hint="eastAsia" w:ascii="Times New Roman" w:hAnsi="Times New Roman" w:eastAsia="宋体" w:cs="宋体"/>
                <w:sz w:val="24"/>
              </w:rPr>
              <w:t>国民经济行业类别</w:t>
            </w:r>
          </w:p>
        </w:tc>
        <w:tc>
          <w:tcPr>
            <w:tcW w:w="1901" w:type="dxa"/>
            <w:noWrap w:val="0"/>
            <w:vAlign w:val="center"/>
          </w:tcPr>
          <w:p w14:paraId="3F57479C">
            <w:pPr>
              <w:pStyle w:val="16"/>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z w:val="24"/>
              </w:rPr>
            </w:pPr>
            <w:r>
              <w:rPr>
                <w:rFonts w:hint="eastAsia" w:ascii="Times New Roman" w:hAnsi="Times New Roman" w:eastAsia="宋体" w:cs="Times New Roman"/>
                <w:sz w:val="24"/>
                <w:lang w:val="en-US" w:eastAsia="zh-CN"/>
              </w:rPr>
              <w:t>其他</w:t>
            </w:r>
            <w:r>
              <w:rPr>
                <w:rFonts w:hint="eastAsia" w:cs="Times New Roman"/>
                <w:sz w:val="24"/>
                <w:lang w:val="en-US" w:eastAsia="zh-CN"/>
              </w:rPr>
              <w:t>非金属矿物制品制造</w:t>
            </w:r>
            <w:r>
              <w:rPr>
                <w:rFonts w:hint="eastAsia" w:ascii="Times New Roman" w:hAnsi="Times New Roman" w:eastAsia="宋体" w:cs="Times New Roman"/>
                <w:sz w:val="24"/>
                <w:lang w:val="en-US" w:eastAsia="zh-CN"/>
              </w:rPr>
              <w:t>（C3</w:t>
            </w:r>
            <w:r>
              <w:rPr>
                <w:rFonts w:hint="eastAsia" w:cs="Times New Roman"/>
                <w:sz w:val="24"/>
                <w:lang w:val="en-US" w:eastAsia="zh-CN"/>
              </w:rPr>
              <w:t>0</w:t>
            </w:r>
            <w:r>
              <w:rPr>
                <w:rFonts w:hint="eastAsia" w:ascii="Times New Roman" w:hAnsi="Times New Roman" w:eastAsia="宋体" w:cs="Times New Roman"/>
                <w:sz w:val="24"/>
                <w:lang w:val="en-US" w:eastAsia="zh-CN"/>
              </w:rPr>
              <w:t>99）</w:t>
            </w:r>
          </w:p>
        </w:tc>
        <w:tc>
          <w:tcPr>
            <w:tcW w:w="1235" w:type="dxa"/>
            <w:vMerge w:val="restart"/>
            <w:noWrap w:val="0"/>
            <w:vAlign w:val="center"/>
          </w:tcPr>
          <w:p w14:paraId="3D1FBB9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rPr>
            </w:pPr>
            <w:bookmarkStart w:id="3" w:name="_Hlk49843745"/>
            <w:r>
              <w:rPr>
                <w:rFonts w:hint="default" w:ascii="Times New Roman" w:hAnsi="Times New Roman" w:eastAsia="宋体" w:cs="Times New Roman"/>
                <w:sz w:val="24"/>
              </w:rPr>
              <w:t>建设项目</w:t>
            </w:r>
          </w:p>
          <w:p w14:paraId="599673F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rPr>
            </w:pPr>
            <w:r>
              <w:rPr>
                <w:rFonts w:hint="default" w:ascii="Times New Roman" w:hAnsi="Times New Roman" w:eastAsia="宋体" w:cs="Times New Roman"/>
                <w:sz w:val="24"/>
              </w:rPr>
              <w:t>行业类别</w:t>
            </w:r>
            <w:bookmarkEnd w:id="3"/>
          </w:p>
        </w:tc>
        <w:tc>
          <w:tcPr>
            <w:tcW w:w="5036" w:type="dxa"/>
            <w:noWrap w:val="0"/>
            <w:vAlign w:val="center"/>
          </w:tcPr>
          <w:p w14:paraId="4C31E2FE">
            <w:pPr>
              <w:pStyle w:val="46"/>
              <w:keepNext w:val="0"/>
              <w:keepLines w:val="0"/>
              <w:suppressLineNumbers w:val="0"/>
              <w:spacing w:before="0" w:beforeAutospacing="0" w:after="0" w:afterAutospacing="0"/>
              <w:ind w:left="0" w:right="0"/>
              <w:rPr>
                <w:rFonts w:hint="default" w:ascii="Times New Roman" w:hAnsi="Times New Roman" w:eastAsia="宋体" w:cs="Times New Roman"/>
                <w:lang w:val="en-US" w:eastAsia="zh-CN"/>
              </w:rPr>
            </w:pPr>
            <w:r>
              <w:rPr>
                <w:rFonts w:hint="eastAsia" w:cs="Times New Roman"/>
                <w:sz w:val="24"/>
                <w:lang w:val="en-US" w:eastAsia="zh-CN"/>
              </w:rPr>
              <w:t>二十七</w:t>
            </w:r>
            <w:r>
              <w:rPr>
                <w:rFonts w:hint="eastAsia" w:ascii="Times New Roman" w:hAnsi="Times New Roman" w:eastAsia="宋体" w:cs="Times New Roman"/>
                <w:sz w:val="24"/>
                <w:lang w:val="en-US" w:eastAsia="zh-CN"/>
              </w:rPr>
              <w:t>、</w:t>
            </w:r>
            <w:r>
              <w:rPr>
                <w:rFonts w:hint="eastAsia" w:cs="Times New Roman"/>
                <w:sz w:val="24"/>
                <w:lang w:val="en-US" w:eastAsia="zh-CN"/>
              </w:rPr>
              <w:t>非金属矿物制品</w:t>
            </w:r>
            <w:r>
              <w:rPr>
                <w:rFonts w:hint="eastAsia" w:ascii="Times New Roman" w:hAnsi="Times New Roman" w:eastAsia="宋体" w:cs="Times New Roman"/>
                <w:sz w:val="24"/>
                <w:lang w:val="en-US" w:eastAsia="zh-CN"/>
              </w:rPr>
              <w:t>业3</w:t>
            </w:r>
            <w:r>
              <w:rPr>
                <w:rFonts w:hint="eastAsia" w:cs="Times New Roman"/>
                <w:sz w:val="24"/>
                <w:lang w:val="en-US" w:eastAsia="zh-CN"/>
              </w:rPr>
              <w:t>0</w:t>
            </w:r>
            <w:r>
              <w:rPr>
                <w:rFonts w:hint="eastAsia" w:ascii="Times New Roman" w:hAnsi="Times New Roman" w:eastAsia="宋体" w:cs="Times New Roman"/>
                <w:sz w:val="24"/>
                <w:lang w:val="en-US" w:eastAsia="zh-CN"/>
              </w:rPr>
              <w:t>/</w:t>
            </w:r>
            <w:r>
              <w:rPr>
                <w:rFonts w:hint="eastAsia" w:cs="Times New Roman"/>
                <w:sz w:val="24"/>
                <w:lang w:val="en-US" w:eastAsia="zh-CN"/>
              </w:rPr>
              <w:t>石墨及其他非金属矿物制品制造</w:t>
            </w:r>
            <w:r>
              <w:rPr>
                <w:rFonts w:hint="eastAsia" w:cs="Times New Roman"/>
                <w:sz w:val="24"/>
                <w:szCs w:val="24"/>
                <w:lang w:val="en-US" w:eastAsia="zh-CN"/>
              </w:rPr>
              <w:t>309中其他</w:t>
            </w:r>
          </w:p>
        </w:tc>
      </w:tr>
      <w:tr w14:paraId="25EE0A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5" w:hRule="atLeast"/>
          <w:jc w:val="center"/>
        </w:trPr>
        <w:tc>
          <w:tcPr>
            <w:tcW w:w="698" w:type="dxa"/>
            <w:vMerge w:val="continue"/>
            <w:noWrap w:val="0"/>
            <w:tcMar>
              <w:top w:w="16" w:type="dxa"/>
              <w:left w:w="16" w:type="dxa"/>
              <w:right w:w="16" w:type="dxa"/>
            </w:tcMar>
            <w:vAlign w:val="center"/>
          </w:tcPr>
          <w:p w14:paraId="09228969">
            <w:pPr>
              <w:pStyle w:val="16"/>
              <w:keepNext w:val="0"/>
              <w:keepLines w:val="0"/>
              <w:suppressLineNumbers w:val="0"/>
              <w:spacing w:before="0" w:beforeAutospacing="0" w:after="0" w:afterAutospacing="0" w:line="240" w:lineRule="auto"/>
              <w:ind w:left="0" w:leftChars="0" w:right="0" w:rightChars="0" w:firstLine="0" w:firstLineChars="0"/>
              <w:jc w:val="center"/>
              <w:rPr>
                <w:rFonts w:hint="default"/>
              </w:rPr>
            </w:pPr>
          </w:p>
        </w:tc>
        <w:tc>
          <w:tcPr>
            <w:tcW w:w="1901" w:type="dxa"/>
            <w:noWrap w:val="0"/>
            <w:vAlign w:val="center"/>
          </w:tcPr>
          <w:p w14:paraId="2B0DD9EB">
            <w:pPr>
              <w:pStyle w:val="16"/>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z w:val="24"/>
                <w:lang w:val="en-US" w:eastAsia="zh-CN"/>
              </w:rPr>
            </w:pPr>
            <w:r>
              <w:rPr>
                <w:rFonts w:hint="eastAsia" w:cs="Times New Roman"/>
                <w:sz w:val="24"/>
                <w:lang w:val="en-US" w:eastAsia="zh-CN"/>
              </w:rPr>
              <w:t>固体废物治理（C7723）</w:t>
            </w:r>
          </w:p>
        </w:tc>
        <w:tc>
          <w:tcPr>
            <w:tcW w:w="1235" w:type="dxa"/>
            <w:vMerge w:val="continue"/>
            <w:noWrap w:val="0"/>
            <w:vAlign w:val="center"/>
          </w:tcPr>
          <w:p w14:paraId="286AE14C">
            <w:pPr>
              <w:pStyle w:val="16"/>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sz w:val="24"/>
                <w:lang w:val="en-US" w:eastAsia="zh-CN"/>
              </w:rPr>
            </w:pPr>
          </w:p>
        </w:tc>
        <w:tc>
          <w:tcPr>
            <w:tcW w:w="5036" w:type="dxa"/>
            <w:noWrap w:val="0"/>
            <w:vAlign w:val="center"/>
          </w:tcPr>
          <w:p w14:paraId="159E9AA9">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ind w:left="0" w:right="0"/>
              <w:rPr>
                <w:rFonts w:hint="eastAsia"/>
                <w:color w:val="auto"/>
                <w:sz w:val="24"/>
              </w:rPr>
            </w:pPr>
            <w:r>
              <w:rPr>
                <w:rFonts w:hint="eastAsia"/>
                <w:color w:val="auto"/>
                <w:sz w:val="24"/>
              </w:rPr>
              <w:t>四十七、生态保护和环境治理</w:t>
            </w:r>
            <w:r>
              <w:rPr>
                <w:rFonts w:hint="eastAsia"/>
                <w:color w:val="auto"/>
                <w:sz w:val="24"/>
                <w:lang w:val="en-US" w:eastAsia="zh-CN"/>
              </w:rPr>
              <w:t>业103/</w:t>
            </w:r>
            <w:r>
              <w:rPr>
                <w:rFonts w:hint="eastAsia"/>
                <w:color w:val="auto"/>
                <w:sz w:val="24"/>
              </w:rPr>
              <w:t>一般工业</w:t>
            </w:r>
          </w:p>
          <w:p w14:paraId="6FF9A890">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ind w:left="0" w:right="0"/>
              <w:rPr>
                <w:rFonts w:hint="eastAsia"/>
                <w:color w:val="auto"/>
                <w:sz w:val="24"/>
              </w:rPr>
            </w:pPr>
            <w:r>
              <w:rPr>
                <w:rFonts w:hint="eastAsia"/>
                <w:color w:val="auto"/>
                <w:sz w:val="24"/>
              </w:rPr>
              <w:t>固废（含污水处理污泥）、建筑施工废弃物</w:t>
            </w:r>
          </w:p>
          <w:p w14:paraId="6E85F007">
            <w:pPr>
              <w:pStyle w:val="16"/>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z w:val="24"/>
                <w:lang w:val="en-US" w:eastAsia="zh-CN"/>
              </w:rPr>
            </w:pPr>
            <w:r>
              <w:rPr>
                <w:rFonts w:hint="eastAsia"/>
                <w:color w:val="auto"/>
                <w:sz w:val="24"/>
              </w:rPr>
              <w:t>处置及综合利用</w:t>
            </w:r>
            <w:r>
              <w:rPr>
                <w:rFonts w:hint="eastAsia"/>
                <w:color w:val="auto"/>
                <w:sz w:val="24"/>
                <w:lang w:val="en-US" w:eastAsia="zh-CN"/>
              </w:rPr>
              <w:t>中其他</w:t>
            </w:r>
          </w:p>
        </w:tc>
      </w:tr>
      <w:tr w14:paraId="0CFFD7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698" w:type="dxa"/>
            <w:noWrap w:val="0"/>
            <w:tcMar>
              <w:top w:w="16" w:type="dxa"/>
              <w:left w:w="16" w:type="dxa"/>
              <w:right w:w="16" w:type="dxa"/>
            </w:tcMar>
            <w:vAlign w:val="center"/>
          </w:tcPr>
          <w:p w14:paraId="1058C6B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sz w:val="24"/>
              </w:rPr>
            </w:pPr>
            <w:r>
              <w:rPr>
                <w:rFonts w:hint="eastAsia" w:ascii="Times New Roman" w:hAnsi="Times New Roman" w:eastAsia="宋体" w:cs="宋体"/>
                <w:sz w:val="24"/>
              </w:rPr>
              <w:t>建设性质</w:t>
            </w:r>
          </w:p>
        </w:tc>
        <w:tc>
          <w:tcPr>
            <w:tcW w:w="1901" w:type="dxa"/>
            <w:noWrap w:val="0"/>
            <w:vAlign w:val="center"/>
          </w:tcPr>
          <w:p w14:paraId="516B7CF5">
            <w:pPr>
              <w:keepNext w:val="0"/>
              <w:keepLines w:val="0"/>
              <w:suppressLineNumbers w:val="0"/>
              <w:spacing w:before="0" w:beforeAutospacing="0" w:after="0" w:afterAutospacing="0"/>
              <w:ind w:left="0" w:right="0"/>
              <w:jc w:val="left"/>
              <w:rPr>
                <w:rFonts w:hint="default" w:ascii="Times New Roman" w:hAnsi="Times New Roman" w:eastAsia="宋体" w:cs="Times New Roman"/>
                <w:sz w:val="24"/>
              </w:rPr>
            </w:pPr>
            <w:r>
              <w:rPr>
                <w:rFonts w:hint="default" w:ascii="Times New Roman" w:hAnsi="Times New Roman" w:eastAsia="宋体" w:cs="Times New Roman"/>
                <w:sz w:val="24"/>
              </w:rPr>
              <w:sym w:font="Wingdings 2" w:char="0052"/>
            </w:r>
            <w:r>
              <w:rPr>
                <w:rFonts w:hint="default" w:ascii="Times New Roman" w:hAnsi="Times New Roman" w:eastAsia="宋体" w:cs="Times New Roman"/>
                <w:sz w:val="24"/>
              </w:rPr>
              <w:t>新建（迁建）</w:t>
            </w:r>
          </w:p>
          <w:p w14:paraId="1A5D97F5">
            <w:pPr>
              <w:keepNext w:val="0"/>
              <w:keepLines w:val="0"/>
              <w:suppressLineNumbers w:val="0"/>
              <w:spacing w:before="0" w:beforeAutospacing="0" w:after="0" w:afterAutospacing="0"/>
              <w:ind w:left="0" w:right="0"/>
              <w:jc w:val="left"/>
              <w:rPr>
                <w:rFonts w:hint="default" w:ascii="Times New Roman" w:hAnsi="Times New Roman" w:eastAsia="宋体" w:cs="Times New Roman"/>
                <w:sz w:val="24"/>
              </w:rPr>
            </w:pPr>
            <w:r>
              <w:rPr>
                <w:rFonts w:hint="default" w:ascii="Times New Roman" w:hAnsi="Times New Roman" w:eastAsia="宋体" w:cs="Times New Roman"/>
                <w:sz w:val="24"/>
              </w:rPr>
              <w:t>□改建</w:t>
            </w:r>
          </w:p>
          <w:p w14:paraId="6CE9BB26">
            <w:pPr>
              <w:keepNext w:val="0"/>
              <w:keepLines w:val="0"/>
              <w:suppressLineNumbers w:val="0"/>
              <w:spacing w:before="0" w:beforeAutospacing="0" w:after="0" w:afterAutospacing="0"/>
              <w:ind w:left="0" w:right="0"/>
              <w:jc w:val="left"/>
              <w:rPr>
                <w:rFonts w:hint="default" w:ascii="Times New Roman" w:hAnsi="Times New Roman" w:eastAsia="宋体" w:cs="Times New Roman"/>
                <w:sz w:val="24"/>
              </w:rPr>
            </w:pPr>
            <w:r>
              <w:rPr>
                <w:rFonts w:hint="default" w:ascii="Times New Roman" w:hAnsi="Times New Roman" w:eastAsia="宋体" w:cs="Times New Roman"/>
                <w:sz w:val="24"/>
              </w:rPr>
              <w:t>□扩建</w:t>
            </w:r>
          </w:p>
          <w:p w14:paraId="008AF72B">
            <w:pPr>
              <w:keepNext w:val="0"/>
              <w:keepLines w:val="0"/>
              <w:suppressLineNumbers w:val="0"/>
              <w:spacing w:before="0" w:beforeAutospacing="0" w:after="0" w:afterAutospacing="0"/>
              <w:ind w:left="0" w:right="0"/>
              <w:jc w:val="left"/>
              <w:rPr>
                <w:rFonts w:hint="default" w:ascii="Times New Roman" w:hAnsi="Times New Roman" w:eastAsia="宋体" w:cs="Times New Roman"/>
                <w:sz w:val="24"/>
              </w:rPr>
            </w:pPr>
            <w:r>
              <w:rPr>
                <w:rFonts w:hint="default" w:ascii="Times New Roman" w:hAnsi="Times New Roman" w:eastAsia="宋体" w:cs="Times New Roman"/>
                <w:sz w:val="24"/>
              </w:rPr>
              <w:t>□技术改造</w:t>
            </w:r>
          </w:p>
        </w:tc>
        <w:tc>
          <w:tcPr>
            <w:tcW w:w="1235" w:type="dxa"/>
            <w:noWrap w:val="0"/>
            <w:vAlign w:val="center"/>
          </w:tcPr>
          <w:p w14:paraId="3A3848A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rPr>
            </w:pPr>
            <w:r>
              <w:rPr>
                <w:rFonts w:hint="default" w:ascii="Times New Roman" w:hAnsi="Times New Roman" w:eastAsia="宋体" w:cs="Times New Roman"/>
                <w:sz w:val="24"/>
              </w:rPr>
              <w:t>建设项目</w:t>
            </w:r>
          </w:p>
          <w:p w14:paraId="5ABFDE6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rPr>
            </w:pPr>
            <w:r>
              <w:rPr>
                <w:rFonts w:hint="default" w:ascii="Times New Roman" w:hAnsi="Times New Roman" w:eastAsia="宋体" w:cs="Times New Roman"/>
                <w:sz w:val="24"/>
              </w:rPr>
              <w:t>申报情形</w:t>
            </w:r>
          </w:p>
        </w:tc>
        <w:tc>
          <w:tcPr>
            <w:tcW w:w="5036" w:type="dxa"/>
            <w:noWrap w:val="0"/>
            <w:vAlign w:val="center"/>
          </w:tcPr>
          <w:p w14:paraId="06B379C0">
            <w:pPr>
              <w:keepNext w:val="0"/>
              <w:keepLines w:val="0"/>
              <w:suppressLineNumbers w:val="0"/>
              <w:spacing w:before="0" w:beforeAutospacing="0" w:after="0" w:afterAutospacing="0"/>
              <w:ind w:left="0" w:right="0"/>
              <w:jc w:val="left"/>
              <w:rPr>
                <w:rFonts w:hint="default" w:ascii="Times New Roman" w:hAnsi="Times New Roman" w:eastAsia="宋体" w:cs="Times New Roman"/>
                <w:sz w:val="24"/>
              </w:rPr>
            </w:pPr>
            <w:r>
              <w:rPr>
                <w:rFonts w:hint="default" w:ascii="Times New Roman" w:hAnsi="Times New Roman" w:eastAsia="宋体" w:cs="Times New Roman"/>
                <w:sz w:val="24"/>
              </w:rPr>
              <w:sym w:font="Wingdings 2" w:char="0052"/>
            </w:r>
            <w:r>
              <w:rPr>
                <w:rFonts w:hint="default" w:ascii="Times New Roman" w:hAnsi="Times New Roman" w:eastAsia="宋体" w:cs="Times New Roman"/>
                <w:sz w:val="24"/>
              </w:rPr>
              <w:t xml:space="preserve">首次申报项目             </w:t>
            </w:r>
          </w:p>
          <w:p w14:paraId="00992591">
            <w:pPr>
              <w:keepNext w:val="0"/>
              <w:keepLines w:val="0"/>
              <w:suppressLineNumbers w:val="0"/>
              <w:spacing w:before="0" w:beforeAutospacing="0" w:after="0" w:afterAutospacing="0"/>
              <w:ind w:left="0" w:right="0"/>
              <w:jc w:val="left"/>
              <w:rPr>
                <w:rFonts w:hint="default" w:ascii="Times New Roman" w:hAnsi="Times New Roman" w:eastAsia="宋体" w:cs="Times New Roman"/>
                <w:sz w:val="24"/>
              </w:rPr>
            </w:pPr>
            <w:r>
              <w:rPr>
                <w:rFonts w:hint="default" w:ascii="Times New Roman" w:hAnsi="Times New Roman" w:eastAsia="宋体" w:cs="Times New Roman"/>
                <w:sz w:val="24"/>
              </w:rPr>
              <w:t>□不予批准后再次申报项目</w:t>
            </w:r>
          </w:p>
          <w:p w14:paraId="36F419D0">
            <w:pPr>
              <w:keepNext w:val="0"/>
              <w:keepLines w:val="0"/>
              <w:suppressLineNumbers w:val="0"/>
              <w:spacing w:before="0" w:beforeAutospacing="0" w:after="0" w:afterAutospacing="0"/>
              <w:ind w:left="0" w:right="0"/>
              <w:jc w:val="left"/>
              <w:rPr>
                <w:rFonts w:hint="default" w:ascii="Times New Roman" w:hAnsi="Times New Roman" w:eastAsia="宋体" w:cs="Times New Roman"/>
                <w:sz w:val="24"/>
              </w:rPr>
            </w:pPr>
            <w:r>
              <w:rPr>
                <w:rFonts w:hint="default" w:ascii="Times New Roman" w:hAnsi="Times New Roman" w:eastAsia="宋体" w:cs="Times New Roman"/>
                <w:sz w:val="24"/>
              </w:rPr>
              <w:t xml:space="preserve">□超五年重新审核项目     </w:t>
            </w:r>
          </w:p>
          <w:p w14:paraId="65AA2975">
            <w:pPr>
              <w:keepNext w:val="0"/>
              <w:keepLines w:val="0"/>
              <w:suppressLineNumbers w:val="0"/>
              <w:spacing w:before="0" w:beforeAutospacing="0" w:after="0" w:afterAutospacing="0"/>
              <w:ind w:left="0" w:right="0"/>
              <w:jc w:val="left"/>
              <w:rPr>
                <w:rFonts w:hint="default" w:ascii="Times New Roman" w:hAnsi="Times New Roman" w:eastAsia="宋体" w:cs="Times New Roman"/>
                <w:sz w:val="24"/>
              </w:rPr>
            </w:pPr>
            <w:r>
              <w:rPr>
                <w:rFonts w:hint="default" w:ascii="Times New Roman" w:hAnsi="Times New Roman" w:eastAsia="宋体" w:cs="Times New Roman"/>
                <w:sz w:val="24"/>
              </w:rPr>
              <w:t>□重大变动重新报批项目</w:t>
            </w:r>
          </w:p>
        </w:tc>
      </w:tr>
      <w:tr w14:paraId="7EC3DB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698" w:type="dxa"/>
            <w:noWrap w:val="0"/>
            <w:tcMar>
              <w:top w:w="16" w:type="dxa"/>
              <w:left w:w="16" w:type="dxa"/>
              <w:right w:w="16" w:type="dxa"/>
            </w:tcMar>
            <w:vAlign w:val="center"/>
          </w:tcPr>
          <w:p w14:paraId="7E788EA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sz w:val="24"/>
              </w:rPr>
            </w:pPr>
            <w:r>
              <w:rPr>
                <w:rFonts w:hint="eastAsia" w:ascii="Times New Roman" w:hAnsi="Times New Roman" w:eastAsia="宋体" w:cs="宋体"/>
                <w:sz w:val="24"/>
              </w:rPr>
              <w:t>项目审批（核准</w:t>
            </w:r>
            <w:r>
              <w:rPr>
                <w:rFonts w:hint="default" w:ascii="Times New Roman" w:hAnsi="Times New Roman" w:eastAsia="宋体" w:cs="宋体"/>
                <w:sz w:val="24"/>
              </w:rPr>
              <w:t>/</w:t>
            </w:r>
            <w:r>
              <w:rPr>
                <w:rFonts w:hint="eastAsia" w:ascii="Times New Roman" w:hAnsi="Times New Roman" w:eastAsia="宋体" w:cs="宋体"/>
                <w:sz w:val="24"/>
              </w:rPr>
              <w:t>备案）部门（选填）</w:t>
            </w:r>
          </w:p>
        </w:tc>
        <w:tc>
          <w:tcPr>
            <w:tcW w:w="1901" w:type="dxa"/>
            <w:noWrap w:val="0"/>
            <w:vAlign w:val="center"/>
          </w:tcPr>
          <w:p w14:paraId="0F28C2FA">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z w:val="24"/>
                <w:lang w:eastAsia="zh-CN"/>
              </w:rPr>
            </w:pPr>
            <w:r>
              <w:rPr>
                <w:rFonts w:hint="eastAsia" w:cs="Times New Roman"/>
                <w:sz w:val="24"/>
                <w:lang w:eastAsia="zh-CN"/>
              </w:rPr>
              <w:t>邻水县发展和改革局</w:t>
            </w:r>
          </w:p>
        </w:tc>
        <w:tc>
          <w:tcPr>
            <w:tcW w:w="1235" w:type="dxa"/>
            <w:noWrap w:val="0"/>
            <w:vAlign w:val="center"/>
          </w:tcPr>
          <w:p w14:paraId="4D5C6F9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rPr>
            </w:pPr>
            <w:r>
              <w:rPr>
                <w:rFonts w:hint="default" w:ascii="Times New Roman" w:hAnsi="Times New Roman" w:eastAsia="宋体" w:cs="Times New Roman"/>
                <w:sz w:val="24"/>
              </w:rPr>
              <w:t>项目审批（核准/备案）文号（选填）</w:t>
            </w:r>
          </w:p>
        </w:tc>
        <w:tc>
          <w:tcPr>
            <w:tcW w:w="5036" w:type="dxa"/>
            <w:noWrap w:val="0"/>
            <w:vAlign w:val="center"/>
          </w:tcPr>
          <w:p w14:paraId="68D75B20">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z w:val="24"/>
                <w:lang w:eastAsia="zh-CN"/>
              </w:rPr>
            </w:pPr>
            <w:r>
              <w:rPr>
                <w:rFonts w:hint="eastAsia" w:cs="Times New Roman"/>
                <w:sz w:val="24"/>
                <w:highlight w:val="none"/>
                <w:lang w:eastAsia="zh-CN"/>
              </w:rPr>
              <w:t>川投资备【2506-511623-04-01-112602】FGQB-1169 号</w:t>
            </w:r>
          </w:p>
        </w:tc>
      </w:tr>
      <w:tr w14:paraId="186352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698" w:type="dxa"/>
            <w:noWrap w:val="0"/>
            <w:tcMar>
              <w:top w:w="16" w:type="dxa"/>
              <w:left w:w="16" w:type="dxa"/>
              <w:right w:w="16" w:type="dxa"/>
            </w:tcMar>
            <w:vAlign w:val="center"/>
          </w:tcPr>
          <w:p w14:paraId="481C306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sz w:val="24"/>
              </w:rPr>
            </w:pPr>
            <w:r>
              <w:rPr>
                <w:rFonts w:hint="eastAsia" w:ascii="Times New Roman" w:hAnsi="Times New Roman" w:eastAsia="宋体" w:cs="宋体"/>
                <w:sz w:val="24"/>
              </w:rPr>
              <w:t>总投资（万元）</w:t>
            </w:r>
          </w:p>
        </w:tc>
        <w:tc>
          <w:tcPr>
            <w:tcW w:w="1901" w:type="dxa"/>
            <w:noWrap w:val="0"/>
            <w:vAlign w:val="center"/>
          </w:tcPr>
          <w:p w14:paraId="1C77F66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lang w:val="en-US" w:eastAsia="zh-CN"/>
              </w:rPr>
            </w:pPr>
            <w:r>
              <w:rPr>
                <w:rFonts w:hint="eastAsia" w:cs="Times New Roman"/>
                <w:sz w:val="24"/>
                <w:lang w:val="en-US" w:eastAsia="zh-CN"/>
              </w:rPr>
              <w:t>100</w:t>
            </w:r>
          </w:p>
        </w:tc>
        <w:tc>
          <w:tcPr>
            <w:tcW w:w="1235" w:type="dxa"/>
            <w:noWrap w:val="0"/>
            <w:tcMar>
              <w:top w:w="16" w:type="dxa"/>
              <w:left w:w="16" w:type="dxa"/>
              <w:right w:w="16" w:type="dxa"/>
            </w:tcMar>
            <w:vAlign w:val="center"/>
          </w:tcPr>
          <w:p w14:paraId="4421A0D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rPr>
            </w:pPr>
            <w:r>
              <w:rPr>
                <w:rFonts w:hint="default" w:ascii="Times New Roman" w:hAnsi="Times New Roman" w:eastAsia="宋体" w:cs="Times New Roman"/>
                <w:sz w:val="24"/>
              </w:rPr>
              <w:t>环保投资（万元）</w:t>
            </w:r>
          </w:p>
        </w:tc>
        <w:tc>
          <w:tcPr>
            <w:tcW w:w="5036" w:type="dxa"/>
            <w:noWrap w:val="0"/>
            <w:vAlign w:val="center"/>
          </w:tcPr>
          <w:p w14:paraId="230A5D1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lang w:val="en-US" w:eastAsia="zh-CN"/>
              </w:rPr>
            </w:pPr>
            <w:r>
              <w:rPr>
                <w:rFonts w:hint="eastAsia" w:cs="Times New Roman"/>
                <w:sz w:val="24"/>
                <w:lang w:val="en-US" w:eastAsia="zh-CN"/>
              </w:rPr>
              <w:t>33.5</w:t>
            </w:r>
          </w:p>
        </w:tc>
      </w:tr>
      <w:tr w14:paraId="36E5F5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698" w:type="dxa"/>
            <w:noWrap w:val="0"/>
            <w:tcMar>
              <w:top w:w="16" w:type="dxa"/>
              <w:left w:w="16" w:type="dxa"/>
              <w:right w:w="16" w:type="dxa"/>
            </w:tcMar>
            <w:vAlign w:val="center"/>
          </w:tcPr>
          <w:p w14:paraId="2C4E2E0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sz w:val="24"/>
              </w:rPr>
            </w:pPr>
            <w:r>
              <w:rPr>
                <w:rFonts w:hint="eastAsia" w:ascii="Times New Roman" w:hAnsi="Times New Roman" w:eastAsia="宋体" w:cs="宋体"/>
                <w:sz w:val="24"/>
              </w:rPr>
              <w:t>环保投资占比（</w:t>
            </w:r>
            <w:r>
              <w:rPr>
                <w:rFonts w:hint="default" w:ascii="Times New Roman" w:hAnsi="Times New Roman" w:eastAsia="宋体" w:cs="宋体"/>
                <w:sz w:val="24"/>
              </w:rPr>
              <w:t>%</w:t>
            </w:r>
            <w:r>
              <w:rPr>
                <w:rFonts w:hint="eastAsia" w:ascii="Times New Roman" w:hAnsi="Times New Roman" w:eastAsia="宋体" w:cs="宋体"/>
                <w:sz w:val="24"/>
              </w:rPr>
              <w:t>）</w:t>
            </w:r>
          </w:p>
        </w:tc>
        <w:tc>
          <w:tcPr>
            <w:tcW w:w="1901" w:type="dxa"/>
            <w:noWrap w:val="0"/>
            <w:vAlign w:val="center"/>
          </w:tcPr>
          <w:p w14:paraId="3C4B924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lang w:val="en-US" w:eastAsia="zh-CN"/>
              </w:rPr>
            </w:pPr>
            <w:r>
              <w:rPr>
                <w:rFonts w:hint="eastAsia" w:cs="Times New Roman"/>
                <w:sz w:val="24"/>
                <w:lang w:val="en-US" w:eastAsia="zh-CN"/>
              </w:rPr>
              <w:t>33.5</w:t>
            </w:r>
          </w:p>
        </w:tc>
        <w:tc>
          <w:tcPr>
            <w:tcW w:w="1235" w:type="dxa"/>
            <w:noWrap w:val="0"/>
            <w:tcMar>
              <w:top w:w="16" w:type="dxa"/>
              <w:left w:w="16" w:type="dxa"/>
              <w:right w:w="16" w:type="dxa"/>
            </w:tcMar>
            <w:vAlign w:val="center"/>
          </w:tcPr>
          <w:p w14:paraId="15EDBAA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rPr>
            </w:pPr>
            <w:r>
              <w:rPr>
                <w:rFonts w:hint="default" w:ascii="Times New Roman" w:hAnsi="Times New Roman" w:eastAsia="宋体" w:cs="Times New Roman"/>
                <w:sz w:val="24"/>
              </w:rPr>
              <w:t>施工工期</w:t>
            </w:r>
          </w:p>
        </w:tc>
        <w:tc>
          <w:tcPr>
            <w:tcW w:w="5036" w:type="dxa"/>
            <w:noWrap w:val="0"/>
            <w:vAlign w:val="center"/>
          </w:tcPr>
          <w:p w14:paraId="50CC025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rPr>
            </w:pPr>
            <w:r>
              <w:rPr>
                <w:rFonts w:hint="eastAsia" w:cs="Times New Roman"/>
                <w:sz w:val="24"/>
                <w:lang w:val="en-US" w:eastAsia="zh-CN"/>
              </w:rPr>
              <w:t>2</w:t>
            </w:r>
            <w:r>
              <w:rPr>
                <w:rFonts w:hint="default" w:ascii="Times New Roman" w:hAnsi="Times New Roman" w:eastAsia="宋体" w:cs="Times New Roman"/>
                <w:sz w:val="24"/>
              </w:rPr>
              <w:t>个月</w:t>
            </w:r>
          </w:p>
        </w:tc>
      </w:tr>
      <w:tr w14:paraId="67B0F6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698" w:type="dxa"/>
            <w:noWrap w:val="0"/>
            <w:tcMar>
              <w:top w:w="16" w:type="dxa"/>
              <w:left w:w="16" w:type="dxa"/>
              <w:right w:w="16" w:type="dxa"/>
            </w:tcMar>
            <w:vAlign w:val="center"/>
          </w:tcPr>
          <w:p w14:paraId="7C753E3E">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sz w:val="24"/>
              </w:rPr>
            </w:pPr>
            <w:r>
              <w:rPr>
                <w:rFonts w:hint="eastAsia" w:ascii="Times New Roman" w:hAnsi="Times New Roman" w:eastAsia="宋体" w:cs="宋体"/>
                <w:sz w:val="24"/>
              </w:rPr>
              <w:t>是否开工建设</w:t>
            </w:r>
          </w:p>
        </w:tc>
        <w:tc>
          <w:tcPr>
            <w:tcW w:w="1901" w:type="dxa"/>
            <w:noWrap w:val="0"/>
            <w:vAlign w:val="center"/>
          </w:tcPr>
          <w:p w14:paraId="3798B182">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4"/>
              </w:rPr>
            </w:pPr>
            <w:r>
              <w:rPr>
                <w:rFonts w:hint="default" w:ascii="Times New Roman" w:hAnsi="Times New Roman" w:eastAsia="宋体" w:cs="Times New Roman"/>
                <w:sz w:val="24"/>
              </w:rPr>
              <w:sym w:font="Wingdings 2" w:char="0052"/>
            </w:r>
            <w:r>
              <w:rPr>
                <w:rFonts w:hint="default" w:ascii="Times New Roman" w:hAnsi="Times New Roman" w:eastAsia="宋体" w:cs="Times New Roman"/>
                <w:sz w:val="24"/>
              </w:rPr>
              <w:t>否</w:t>
            </w:r>
          </w:p>
          <w:p w14:paraId="52202591">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4"/>
              </w:rPr>
            </w:pPr>
            <w:r>
              <w:rPr>
                <w:rFonts w:hint="default" w:ascii="Times New Roman" w:hAnsi="Times New Roman" w:eastAsia="宋体" w:cs="Times New Roman"/>
                <w:sz w:val="24"/>
              </w:rPr>
              <w:sym w:font="Wingdings 2" w:char="00A3"/>
            </w:r>
            <w:r>
              <w:rPr>
                <w:rFonts w:hint="default" w:ascii="Times New Roman" w:hAnsi="Times New Roman" w:eastAsia="宋体" w:cs="Times New Roman"/>
                <w:sz w:val="24"/>
              </w:rPr>
              <w:t>是：</w:t>
            </w:r>
            <w:r>
              <w:rPr>
                <w:rFonts w:hint="default" w:ascii="Times New Roman" w:hAnsi="Times New Roman" w:eastAsia="宋体" w:cs="Times New Roman"/>
                <w:sz w:val="24"/>
                <w:u w:val="single"/>
              </w:rPr>
              <w:t xml:space="preserve">             </w:t>
            </w:r>
          </w:p>
        </w:tc>
        <w:tc>
          <w:tcPr>
            <w:tcW w:w="1235" w:type="dxa"/>
            <w:noWrap w:val="0"/>
            <w:tcMar>
              <w:top w:w="16" w:type="dxa"/>
              <w:left w:w="16" w:type="dxa"/>
              <w:right w:w="16" w:type="dxa"/>
            </w:tcMar>
            <w:vAlign w:val="center"/>
          </w:tcPr>
          <w:p w14:paraId="37CFA94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pacing w:val="-6"/>
                <w:sz w:val="24"/>
              </w:rPr>
            </w:pPr>
            <w:r>
              <w:rPr>
                <w:rFonts w:hint="default" w:ascii="Times New Roman" w:hAnsi="Times New Roman" w:eastAsia="宋体" w:cs="Times New Roman"/>
                <w:spacing w:val="-6"/>
                <w:sz w:val="24"/>
              </w:rPr>
              <w:t>用地（用海）</w:t>
            </w:r>
          </w:p>
          <w:p w14:paraId="5002516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rPr>
            </w:pPr>
            <w:r>
              <w:rPr>
                <w:rFonts w:hint="default" w:ascii="Times New Roman" w:hAnsi="Times New Roman" w:eastAsia="宋体" w:cs="Times New Roman"/>
                <w:spacing w:val="-6"/>
                <w:sz w:val="24"/>
              </w:rPr>
              <w:t>面积（m</w:t>
            </w:r>
            <w:r>
              <w:rPr>
                <w:rFonts w:hint="default" w:ascii="Times New Roman" w:hAnsi="Times New Roman" w:eastAsia="宋体" w:cs="Times New Roman"/>
                <w:spacing w:val="-6"/>
                <w:sz w:val="24"/>
                <w:vertAlign w:val="superscript"/>
              </w:rPr>
              <w:t>2</w:t>
            </w:r>
            <w:r>
              <w:rPr>
                <w:rFonts w:hint="default" w:ascii="Times New Roman" w:hAnsi="Times New Roman" w:eastAsia="宋体" w:cs="Times New Roman"/>
                <w:spacing w:val="-6"/>
                <w:sz w:val="24"/>
              </w:rPr>
              <w:t>）</w:t>
            </w:r>
          </w:p>
        </w:tc>
        <w:tc>
          <w:tcPr>
            <w:tcW w:w="5036" w:type="dxa"/>
            <w:noWrap w:val="0"/>
            <w:vAlign w:val="center"/>
          </w:tcPr>
          <w:p w14:paraId="066C12C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lang w:val="en-US" w:eastAsia="zh-CN"/>
              </w:rPr>
            </w:pPr>
            <w:r>
              <w:rPr>
                <w:rFonts w:hint="eastAsia" w:cs="Times New Roman"/>
                <w:sz w:val="24"/>
                <w:highlight w:val="none"/>
                <w:lang w:val="en-US" w:eastAsia="zh-CN"/>
              </w:rPr>
              <w:t>5000</w:t>
            </w:r>
          </w:p>
        </w:tc>
      </w:tr>
      <w:tr w14:paraId="0D0158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698" w:type="dxa"/>
            <w:noWrap w:val="0"/>
            <w:vAlign w:val="center"/>
          </w:tcPr>
          <w:p w14:paraId="022EB8C8">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宋体"/>
                <w:kern w:val="0"/>
                <w:sz w:val="24"/>
              </w:rPr>
            </w:pPr>
            <w:r>
              <w:rPr>
                <w:rFonts w:hint="eastAsia" w:ascii="Times New Roman" w:hAnsi="Times New Roman" w:eastAsia="宋体" w:cs="宋体"/>
                <w:kern w:val="0"/>
                <w:sz w:val="24"/>
              </w:rPr>
              <w:t>专项评价设置情况</w:t>
            </w:r>
          </w:p>
        </w:tc>
        <w:tc>
          <w:tcPr>
            <w:tcW w:w="8172" w:type="dxa"/>
            <w:gridSpan w:val="3"/>
            <w:noWrap w:val="0"/>
            <w:vAlign w:val="center"/>
          </w:tcPr>
          <w:p w14:paraId="73E8431C">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kern w:val="0"/>
                <w:sz w:val="24"/>
              </w:rPr>
            </w:pPr>
            <w:r>
              <w:rPr>
                <w:rFonts w:hint="eastAsia" w:ascii="Times New Roman" w:hAnsi="Times New Roman" w:eastAsia="宋体" w:cs="Times New Roman"/>
                <w:kern w:val="0"/>
                <w:sz w:val="24"/>
              </w:rPr>
              <w:t>根据《建设项目环境影响报告表编制技术指南（污染影响类）</w:t>
            </w:r>
            <w:r>
              <w:rPr>
                <w:rFonts w:hint="eastAsia" w:cs="Times New Roman"/>
                <w:kern w:val="0"/>
                <w:sz w:val="24"/>
                <w:lang w:eastAsia="zh-CN"/>
              </w:rPr>
              <w:t>（试行）》</w:t>
            </w:r>
            <w:r>
              <w:rPr>
                <w:rFonts w:hint="eastAsia" w:ascii="Times New Roman" w:hAnsi="Times New Roman" w:eastAsia="宋体" w:cs="Times New Roman"/>
                <w:kern w:val="0"/>
                <w:sz w:val="24"/>
              </w:rPr>
              <w:t>，本项目专项评价设置情况见下表。</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741"/>
              <w:gridCol w:w="2746"/>
              <w:gridCol w:w="2644"/>
              <w:gridCol w:w="1821"/>
            </w:tblGrid>
            <w:tr w14:paraId="540314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66" w:type="pct"/>
                  <w:noWrap w:val="0"/>
                  <w:vAlign w:val="center"/>
                </w:tcPr>
                <w:p w14:paraId="521959CF">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专项评价的类别</w:t>
                  </w:r>
                </w:p>
              </w:tc>
              <w:tc>
                <w:tcPr>
                  <w:tcW w:w="1726" w:type="pct"/>
                  <w:noWrap w:val="0"/>
                  <w:vAlign w:val="center"/>
                </w:tcPr>
                <w:p w14:paraId="110EC764">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设置原则</w:t>
                  </w:r>
                </w:p>
              </w:tc>
              <w:tc>
                <w:tcPr>
                  <w:tcW w:w="1662" w:type="pct"/>
                  <w:noWrap w:val="0"/>
                  <w:vAlign w:val="center"/>
                </w:tcPr>
                <w:p w14:paraId="11083ADB">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本项目情况</w:t>
                  </w:r>
                </w:p>
              </w:tc>
              <w:tc>
                <w:tcPr>
                  <w:tcW w:w="1144" w:type="pct"/>
                  <w:noWrap w:val="0"/>
                  <w:vAlign w:val="center"/>
                </w:tcPr>
                <w:p w14:paraId="4FE6C344">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kern w:val="0"/>
                      <w:szCs w:val="21"/>
                    </w:rPr>
                  </w:pPr>
                  <w:r>
                    <w:rPr>
                      <w:rFonts w:hint="eastAsia" w:ascii="Times New Roman" w:hAnsi="Times New Roman" w:eastAsia="宋体" w:cs="Times New Roman"/>
                      <w:b/>
                      <w:bCs/>
                      <w:kern w:val="0"/>
                      <w:szCs w:val="21"/>
                    </w:rPr>
                    <w:t>是否设置专项评价</w:t>
                  </w:r>
                </w:p>
              </w:tc>
            </w:tr>
            <w:tr w14:paraId="6758C9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66" w:type="pct"/>
                  <w:noWrap w:val="0"/>
                  <w:vAlign w:val="center"/>
                </w:tcPr>
                <w:p w14:paraId="7850CE5E">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大气</w:t>
                  </w:r>
                </w:p>
              </w:tc>
              <w:tc>
                <w:tcPr>
                  <w:tcW w:w="1726" w:type="pct"/>
                  <w:noWrap w:val="0"/>
                  <w:vAlign w:val="center"/>
                </w:tcPr>
                <w:p w14:paraId="656845EA">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排放废气含有毒有害</w:t>
                  </w:r>
                  <w:r>
                    <w:rPr>
                      <w:rFonts w:hint="default" w:ascii="Times New Roman" w:hAnsi="Times New Roman" w:eastAsia="宋体" w:cs="Times New Roman"/>
                      <w:kern w:val="0"/>
                      <w:szCs w:val="21"/>
                      <w:vertAlign w:val="superscript"/>
                    </w:rPr>
                    <w:t>1</w:t>
                  </w:r>
                  <w:r>
                    <w:rPr>
                      <w:rFonts w:hint="default" w:ascii="Times New Roman" w:hAnsi="Times New Roman" w:eastAsia="宋体" w:cs="Times New Roman"/>
                      <w:kern w:val="0"/>
                      <w:szCs w:val="21"/>
                    </w:rPr>
                    <w:t>、二噁英、苯并[a]芘、氰化物、氯气且厂界外500米范围内有环境空气保护目标</w:t>
                  </w:r>
                  <w:r>
                    <w:rPr>
                      <w:rFonts w:hint="default" w:ascii="Times New Roman" w:hAnsi="Times New Roman" w:eastAsia="宋体" w:cs="Times New Roman"/>
                      <w:kern w:val="0"/>
                      <w:szCs w:val="21"/>
                      <w:vertAlign w:val="superscript"/>
                    </w:rPr>
                    <w:t>2</w:t>
                  </w:r>
                  <w:r>
                    <w:rPr>
                      <w:rFonts w:hint="default" w:ascii="Times New Roman" w:hAnsi="Times New Roman" w:eastAsia="宋体" w:cs="Times New Roman"/>
                      <w:kern w:val="0"/>
                      <w:szCs w:val="21"/>
                    </w:rPr>
                    <w:t>的建设项目</w:t>
                  </w:r>
                </w:p>
              </w:tc>
              <w:tc>
                <w:tcPr>
                  <w:tcW w:w="1662" w:type="pct"/>
                  <w:noWrap w:val="0"/>
                  <w:vAlign w:val="center"/>
                </w:tcPr>
                <w:p w14:paraId="7C06F54D">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rPr>
                  </w:pPr>
                  <w:r>
                    <w:rPr>
                      <w:rFonts w:hint="eastAsia" w:ascii="Times New Roman" w:hAnsi="Times New Roman" w:eastAsia="宋体" w:cs="Times New Roman"/>
                    </w:rPr>
                    <w:t>本项目外排废气不涉及有毒有害物质</w:t>
                  </w:r>
                </w:p>
              </w:tc>
              <w:tc>
                <w:tcPr>
                  <w:tcW w:w="1144" w:type="pct"/>
                  <w:noWrap w:val="0"/>
                  <w:vAlign w:val="center"/>
                </w:tcPr>
                <w:p w14:paraId="0CA03CA1">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rPr>
                  </w:pPr>
                  <w:r>
                    <w:rPr>
                      <w:rFonts w:hint="eastAsia" w:ascii="Times New Roman" w:hAnsi="Times New Roman" w:eastAsia="宋体" w:cs="Times New Roman"/>
                    </w:rPr>
                    <w:t>否</w:t>
                  </w:r>
                </w:p>
              </w:tc>
            </w:tr>
            <w:tr w14:paraId="7B1F83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66" w:type="pct"/>
                  <w:noWrap w:val="0"/>
                  <w:vAlign w:val="center"/>
                </w:tcPr>
                <w:p w14:paraId="3D6AAF0A">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地表水</w:t>
                  </w:r>
                </w:p>
              </w:tc>
              <w:tc>
                <w:tcPr>
                  <w:tcW w:w="1726" w:type="pct"/>
                  <w:noWrap w:val="0"/>
                  <w:vAlign w:val="center"/>
                </w:tcPr>
                <w:p w14:paraId="1406F335">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新增工业废水直排建设项目（槽罐车外送污水处理厂的除外）；新增废水直排的污水集中处理厂</w:t>
                  </w:r>
                </w:p>
              </w:tc>
              <w:tc>
                <w:tcPr>
                  <w:tcW w:w="1662" w:type="pct"/>
                  <w:noWrap w:val="0"/>
                  <w:vAlign w:val="center"/>
                </w:tcPr>
                <w:p w14:paraId="330BFD0B">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eastAsia" w:ascii="Times New Roman" w:hAnsi="Times New Roman" w:eastAsia="宋体" w:cs="宋体"/>
                      <w:b w:val="0"/>
                      <w:bCs w:val="0"/>
                      <w:color w:val="auto"/>
                      <w:kern w:val="0"/>
                      <w:sz w:val="21"/>
                      <w:szCs w:val="21"/>
                      <w:lang w:val="en-US" w:eastAsia="zh-CN" w:bidi="ar-SA"/>
                    </w:rPr>
                    <w:t>本项目生活污水经预处理池处理后</w:t>
                  </w:r>
                  <w:r>
                    <w:rPr>
                      <w:rFonts w:hint="eastAsia" w:cs="宋体"/>
                      <w:b w:val="0"/>
                      <w:bCs w:val="0"/>
                      <w:color w:val="auto"/>
                      <w:kern w:val="0"/>
                      <w:sz w:val="21"/>
                      <w:szCs w:val="21"/>
                      <w:lang w:val="en-US" w:eastAsia="zh-CN" w:bidi="ar-SA"/>
                    </w:rPr>
                    <w:t>定期由槽罐车转运至邻水县大步口污水处理站进行进一步处理后排入大洪河；洗砂</w:t>
                  </w:r>
                  <w:r>
                    <w:rPr>
                      <w:rFonts w:hint="eastAsia" w:ascii="Times New Roman" w:hAnsi="Times New Roman" w:eastAsia="宋体" w:cs="宋体"/>
                      <w:b w:val="0"/>
                      <w:bCs w:val="0"/>
                      <w:color w:val="auto"/>
                      <w:kern w:val="0"/>
                      <w:sz w:val="21"/>
                      <w:szCs w:val="21"/>
                      <w:lang w:val="en-US" w:eastAsia="zh-CN" w:bidi="ar-SA"/>
                    </w:rPr>
                    <w:t>废水</w:t>
                  </w:r>
                  <w:r>
                    <w:rPr>
                      <w:rFonts w:hint="eastAsia" w:cs="宋体"/>
                      <w:b w:val="0"/>
                      <w:bCs w:val="0"/>
                      <w:color w:val="auto"/>
                      <w:kern w:val="0"/>
                      <w:sz w:val="21"/>
                      <w:szCs w:val="21"/>
                      <w:lang w:val="en-US" w:eastAsia="zh-CN" w:bidi="ar-SA"/>
                    </w:rPr>
                    <w:t>、降尘废水、车辆冲洗废水和初期雨水</w:t>
                  </w:r>
                  <w:r>
                    <w:rPr>
                      <w:rFonts w:hint="eastAsia" w:ascii="Times New Roman" w:hAnsi="Times New Roman" w:eastAsia="宋体" w:cs="宋体"/>
                      <w:b w:val="0"/>
                      <w:bCs w:val="0"/>
                      <w:color w:val="auto"/>
                      <w:kern w:val="0"/>
                      <w:sz w:val="21"/>
                      <w:szCs w:val="21"/>
                      <w:lang w:val="en-US" w:eastAsia="zh-CN" w:bidi="ar-SA"/>
                    </w:rPr>
                    <w:t>经絮凝沉淀+压滤处理后回用于生产</w:t>
                  </w:r>
                </w:p>
              </w:tc>
              <w:tc>
                <w:tcPr>
                  <w:tcW w:w="1144" w:type="pct"/>
                  <w:noWrap w:val="0"/>
                  <w:vAlign w:val="center"/>
                </w:tcPr>
                <w:p w14:paraId="04C6224C">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eastAsia" w:ascii="Times New Roman" w:hAnsi="Times New Roman" w:eastAsia="宋体" w:cs="Times New Roman"/>
                    </w:rPr>
                    <w:t>否</w:t>
                  </w:r>
                </w:p>
              </w:tc>
            </w:tr>
            <w:tr w14:paraId="45DCFB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4" w:hRule="atLeast"/>
                <w:jc w:val="center"/>
              </w:trPr>
              <w:tc>
                <w:tcPr>
                  <w:tcW w:w="466" w:type="pct"/>
                  <w:noWrap w:val="0"/>
                  <w:vAlign w:val="center"/>
                </w:tcPr>
                <w:p w14:paraId="665AE243">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环境风险</w:t>
                  </w:r>
                </w:p>
              </w:tc>
              <w:tc>
                <w:tcPr>
                  <w:tcW w:w="1726" w:type="pct"/>
                  <w:noWrap w:val="0"/>
                  <w:vAlign w:val="center"/>
                </w:tcPr>
                <w:p w14:paraId="1F8970A0">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有毒有害和易燃易爆危险物质存储量超过临界量</w:t>
                  </w:r>
                  <w:r>
                    <w:rPr>
                      <w:rFonts w:hint="default" w:ascii="Times New Roman" w:hAnsi="Times New Roman" w:eastAsia="宋体" w:cs="Times New Roman"/>
                      <w:kern w:val="0"/>
                      <w:szCs w:val="21"/>
                      <w:vertAlign w:val="superscript"/>
                    </w:rPr>
                    <w:t>3</w:t>
                  </w:r>
                  <w:r>
                    <w:rPr>
                      <w:rFonts w:hint="default" w:ascii="Times New Roman" w:hAnsi="Times New Roman" w:eastAsia="宋体" w:cs="Times New Roman"/>
                      <w:kern w:val="0"/>
                      <w:szCs w:val="21"/>
                    </w:rPr>
                    <w:t>的建设项目</w:t>
                  </w:r>
                </w:p>
              </w:tc>
              <w:tc>
                <w:tcPr>
                  <w:tcW w:w="1662" w:type="pct"/>
                  <w:noWrap w:val="0"/>
                  <w:vAlign w:val="center"/>
                </w:tcPr>
                <w:p w14:paraId="3C8A4E5E">
                  <w:pPr>
                    <w:keepNext w:val="0"/>
                    <w:keepLines w:val="0"/>
                    <w:suppressLineNumbers w:val="0"/>
                    <w:autoSpaceDE w:val="0"/>
                    <w:autoSpaceDN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本项目危险物质存储量不超过临界量</w:t>
                  </w:r>
                </w:p>
              </w:tc>
              <w:tc>
                <w:tcPr>
                  <w:tcW w:w="1144" w:type="pct"/>
                  <w:noWrap w:val="0"/>
                  <w:vAlign w:val="center"/>
                </w:tcPr>
                <w:p w14:paraId="300E78D1">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eastAsia" w:ascii="Times New Roman" w:hAnsi="Times New Roman" w:eastAsia="宋体" w:cs="Times New Roman"/>
                    </w:rPr>
                    <w:t>否</w:t>
                  </w:r>
                </w:p>
              </w:tc>
            </w:tr>
            <w:tr w14:paraId="1D81E6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66" w:type="pct"/>
                  <w:noWrap w:val="0"/>
                  <w:vAlign w:val="center"/>
                </w:tcPr>
                <w:p w14:paraId="753B7CFD">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生态</w:t>
                  </w:r>
                </w:p>
              </w:tc>
              <w:tc>
                <w:tcPr>
                  <w:tcW w:w="1726" w:type="pct"/>
                  <w:noWrap w:val="0"/>
                  <w:vAlign w:val="center"/>
                </w:tcPr>
                <w:p w14:paraId="0CA0D259">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取水口下游500米范围内有重要水生生物的自然产卵场、索饵场、越冬场和洄游通道的新增河道取水的污染类建设项目</w:t>
                  </w:r>
                </w:p>
              </w:tc>
              <w:tc>
                <w:tcPr>
                  <w:tcW w:w="1662" w:type="pct"/>
                  <w:noWrap w:val="0"/>
                  <w:vAlign w:val="center"/>
                </w:tcPr>
                <w:p w14:paraId="6CA23CE3">
                  <w:pPr>
                    <w:keepNext w:val="0"/>
                    <w:keepLines w:val="0"/>
                    <w:suppressLineNumbers w:val="0"/>
                    <w:autoSpaceDE w:val="0"/>
                    <w:autoSpaceDN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Cs w:val="21"/>
                      <w:lang w:val="en-US"/>
                    </w:rPr>
                  </w:pPr>
                  <w:r>
                    <w:rPr>
                      <w:rFonts w:hint="eastAsia" w:ascii="Times New Roman" w:hAnsi="Times New Roman" w:eastAsia="宋体" w:cs="Times New Roman"/>
                      <w:kern w:val="0"/>
                      <w:szCs w:val="21"/>
                    </w:rPr>
                    <w:t>本项目</w:t>
                  </w:r>
                  <w:r>
                    <w:rPr>
                      <w:rFonts w:hint="eastAsia" w:cs="Times New Roman"/>
                      <w:kern w:val="0"/>
                      <w:szCs w:val="21"/>
                      <w:lang w:val="en-US" w:eastAsia="zh-CN"/>
                    </w:rPr>
                    <w:t>生活用水由</w:t>
                  </w:r>
                  <w:r>
                    <w:rPr>
                      <w:rFonts w:hint="eastAsia" w:ascii="Times New Roman" w:hAnsi="Times New Roman" w:eastAsia="宋体" w:cs="Times New Roman"/>
                      <w:kern w:val="0"/>
                      <w:szCs w:val="21"/>
                    </w:rPr>
                    <w:t>市政管网供给，</w:t>
                  </w:r>
                  <w:r>
                    <w:rPr>
                      <w:rFonts w:hint="eastAsia" w:cs="Times New Roman"/>
                      <w:kern w:val="0"/>
                      <w:szCs w:val="21"/>
                      <w:lang w:val="en-US" w:eastAsia="zh-CN"/>
                    </w:rPr>
                    <w:t>生产用水由地下水供给，不涉及河道取水</w:t>
                  </w:r>
                </w:p>
              </w:tc>
              <w:tc>
                <w:tcPr>
                  <w:tcW w:w="1144" w:type="pct"/>
                  <w:noWrap w:val="0"/>
                  <w:vAlign w:val="center"/>
                </w:tcPr>
                <w:p w14:paraId="2C1C7F40">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eastAsia" w:ascii="Times New Roman" w:hAnsi="Times New Roman" w:eastAsia="宋体" w:cs="Times New Roman"/>
                    </w:rPr>
                    <w:t>否</w:t>
                  </w:r>
                </w:p>
              </w:tc>
            </w:tr>
            <w:tr w14:paraId="0D64BB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66" w:type="pct"/>
                  <w:noWrap w:val="0"/>
                  <w:vAlign w:val="center"/>
                </w:tcPr>
                <w:p w14:paraId="459EDD8A">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海洋</w:t>
                  </w:r>
                </w:p>
              </w:tc>
              <w:tc>
                <w:tcPr>
                  <w:tcW w:w="1726" w:type="pct"/>
                  <w:noWrap w:val="0"/>
                  <w:vAlign w:val="center"/>
                </w:tcPr>
                <w:p w14:paraId="6CEDBEFD">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直接向海排放污染物的海洋工程建设项目</w:t>
                  </w:r>
                </w:p>
              </w:tc>
              <w:tc>
                <w:tcPr>
                  <w:tcW w:w="1662" w:type="pct"/>
                  <w:noWrap w:val="0"/>
                  <w:vAlign w:val="center"/>
                </w:tcPr>
                <w:p w14:paraId="33BE197C">
                  <w:pPr>
                    <w:pStyle w:val="10"/>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本项目不涉及海洋工程</w:t>
                  </w:r>
                </w:p>
              </w:tc>
              <w:tc>
                <w:tcPr>
                  <w:tcW w:w="1144" w:type="pct"/>
                  <w:noWrap w:val="0"/>
                  <w:vAlign w:val="center"/>
                </w:tcPr>
                <w:p w14:paraId="5977A4B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rPr>
                    <w:t>否</w:t>
                  </w:r>
                </w:p>
              </w:tc>
            </w:tr>
          </w:tbl>
          <w:p w14:paraId="1DBCD9B3">
            <w:pPr>
              <w:keepNext w:val="0"/>
              <w:keepLines w:val="0"/>
              <w:suppressLineNumbers w:val="0"/>
              <w:autoSpaceDE w:val="0"/>
              <w:autoSpaceDN w:val="0"/>
              <w:adjustRightInd w:val="0"/>
              <w:snapToGrid w:val="0"/>
              <w:spacing w:before="0" w:beforeAutospacing="0" w:after="0" w:afterAutospacing="0"/>
              <w:ind w:left="0" w:right="0"/>
              <w:jc w:val="left"/>
              <w:rPr>
                <w:rFonts w:hint="default" w:ascii="Times New Roman" w:hAnsi="Times New Roman" w:eastAsia="宋体" w:cs="Times New Roman"/>
                <w:b/>
                <w:bCs/>
                <w:kern w:val="0"/>
                <w:szCs w:val="21"/>
              </w:rPr>
            </w:pPr>
            <w:r>
              <w:rPr>
                <w:rFonts w:hint="eastAsia" w:ascii="Times New Roman" w:hAnsi="Times New Roman" w:eastAsia="宋体" w:cs="Times New Roman"/>
                <w:b/>
                <w:bCs/>
                <w:kern w:val="0"/>
                <w:szCs w:val="21"/>
              </w:rPr>
              <w:t>注：</w:t>
            </w:r>
            <w:r>
              <w:rPr>
                <w:rFonts w:hint="default" w:ascii="Times New Roman" w:hAnsi="Times New Roman" w:eastAsia="宋体" w:cs="Times New Roman"/>
                <w:b/>
                <w:bCs/>
                <w:kern w:val="0"/>
                <w:szCs w:val="21"/>
              </w:rPr>
              <w:t>1、废气中有毒有害污染物指纳入《有毒有害大气污染物名录》的污染物（不包括无排放标准的污染物）；</w:t>
            </w:r>
          </w:p>
          <w:p w14:paraId="1F3ACAEB">
            <w:pPr>
              <w:keepNext w:val="0"/>
              <w:keepLines w:val="0"/>
              <w:suppressLineNumbers w:val="0"/>
              <w:autoSpaceDE w:val="0"/>
              <w:autoSpaceDN w:val="0"/>
              <w:adjustRightInd w:val="0"/>
              <w:snapToGrid w:val="0"/>
              <w:spacing w:before="0" w:beforeAutospacing="0" w:after="0" w:afterAutospacing="0"/>
              <w:ind w:left="0" w:right="0" w:firstLine="422" w:firstLineChars="200"/>
              <w:jc w:val="left"/>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2、环境空气保护目标指自然保护区、风景名胜区、居住区、文化区和农村地区中人群较集中的区域；</w:t>
            </w:r>
          </w:p>
          <w:p w14:paraId="11078278">
            <w:pPr>
              <w:keepNext w:val="0"/>
              <w:keepLines w:val="0"/>
              <w:suppressLineNumbers w:val="0"/>
              <w:autoSpaceDE w:val="0"/>
              <w:autoSpaceDN w:val="0"/>
              <w:adjustRightInd w:val="0"/>
              <w:snapToGrid w:val="0"/>
              <w:spacing w:before="0" w:beforeAutospacing="0" w:after="0" w:afterAutospacing="0" w:line="360" w:lineRule="auto"/>
              <w:ind w:left="0" w:right="0"/>
              <w:jc w:val="left"/>
              <w:rPr>
                <w:rFonts w:hint="default" w:ascii="Times New Roman" w:hAnsi="Times New Roman" w:eastAsia="宋体" w:cs="Times New Roman"/>
                <w:kern w:val="0"/>
                <w:sz w:val="24"/>
              </w:rPr>
            </w:pPr>
            <w:r>
              <w:rPr>
                <w:rFonts w:hint="default" w:ascii="Times New Roman" w:hAnsi="Times New Roman" w:eastAsia="宋体" w:cs="Times New Roman"/>
                <w:b/>
                <w:bCs/>
                <w:szCs w:val="21"/>
              </w:rPr>
              <w:t>3、临界量及其计算方法可参考《建设项目环境风险评价技术导</w:t>
            </w:r>
            <w:r>
              <w:rPr>
                <w:rFonts w:hint="eastAsia" w:ascii="Times New Roman" w:hAnsi="Times New Roman" w:eastAsia="宋体" w:cs="Times New Roman"/>
                <w:b/>
                <w:bCs/>
                <w:szCs w:val="21"/>
              </w:rPr>
              <w:t>则</w:t>
            </w:r>
            <w:r>
              <w:rPr>
                <w:rFonts w:hint="default" w:ascii="Times New Roman" w:hAnsi="Times New Roman" w:eastAsia="宋体" w:cs="Times New Roman"/>
                <w:b/>
                <w:bCs/>
                <w:szCs w:val="21"/>
              </w:rPr>
              <w:t>》（HJ169）附录B、附录C。</w:t>
            </w:r>
          </w:p>
        </w:tc>
      </w:tr>
      <w:tr w14:paraId="67CD2C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698" w:type="dxa"/>
            <w:noWrap w:val="0"/>
            <w:vAlign w:val="center"/>
          </w:tcPr>
          <w:p w14:paraId="3B985CFD">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Times New Roman" w:eastAsia="宋体" w:cs="宋体"/>
                <w:kern w:val="0"/>
                <w:sz w:val="24"/>
              </w:rPr>
            </w:pPr>
            <w:r>
              <w:rPr>
                <w:rFonts w:hint="eastAsia" w:ascii="Times New Roman" w:hAnsi="Times New Roman" w:eastAsia="宋体" w:cs="宋体"/>
                <w:sz w:val="24"/>
              </w:rPr>
              <w:t>规划情况</w:t>
            </w:r>
          </w:p>
        </w:tc>
        <w:tc>
          <w:tcPr>
            <w:tcW w:w="8172" w:type="dxa"/>
            <w:gridSpan w:val="3"/>
            <w:noWrap w:val="0"/>
            <w:vAlign w:val="center"/>
          </w:tcPr>
          <w:p w14:paraId="63DE6512">
            <w:pPr>
              <w:keepNext w:val="0"/>
              <w:keepLines w:val="0"/>
              <w:suppressLineNumbers w:val="0"/>
              <w:autoSpaceDE w:val="0"/>
              <w:autoSpaceDN w:val="0"/>
              <w:adjustRightInd w:val="0"/>
              <w:snapToGrid w:val="0"/>
              <w:spacing w:before="0" w:beforeAutospacing="0" w:after="0" w:afterAutospacing="0" w:line="360" w:lineRule="auto"/>
              <w:ind w:left="0" w:leftChars="0" w:right="0" w:rightChars="0" w:firstLine="0" w:firstLineChars="0"/>
              <w:jc w:val="center"/>
              <w:rPr>
                <w:rFonts w:hint="eastAsia" w:ascii="Times New Roman" w:hAnsi="Times New Roman" w:eastAsia="宋体" w:cs="Times New Roman"/>
                <w:bCs/>
                <w:kern w:val="0"/>
                <w:sz w:val="24"/>
                <w:lang w:val="en-US" w:eastAsia="zh-CN" w:bidi="ar"/>
              </w:rPr>
            </w:pPr>
            <w:r>
              <w:rPr>
                <w:rFonts w:hint="eastAsia" w:cs="Times New Roman"/>
                <w:bCs/>
                <w:kern w:val="0"/>
                <w:sz w:val="24"/>
                <w:lang w:val="en-US" w:eastAsia="zh-CN" w:bidi="ar"/>
              </w:rPr>
              <w:t>无</w:t>
            </w:r>
          </w:p>
        </w:tc>
      </w:tr>
      <w:tr w14:paraId="5FECCA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698" w:type="dxa"/>
            <w:noWrap w:val="0"/>
            <w:vAlign w:val="center"/>
          </w:tcPr>
          <w:p w14:paraId="23DED17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sz w:val="24"/>
              </w:rPr>
            </w:pPr>
            <w:r>
              <w:rPr>
                <w:rFonts w:hint="eastAsia" w:ascii="Times New Roman" w:hAnsi="Times New Roman" w:eastAsia="宋体" w:cs="宋体"/>
                <w:sz w:val="24"/>
              </w:rPr>
              <w:t>规划环境影响</w:t>
            </w:r>
          </w:p>
          <w:p w14:paraId="6E09D046">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kern w:val="0"/>
                <w:sz w:val="24"/>
              </w:rPr>
            </w:pPr>
            <w:r>
              <w:rPr>
                <w:rFonts w:hint="eastAsia" w:ascii="Times New Roman" w:hAnsi="Times New Roman" w:eastAsia="宋体" w:cs="宋体"/>
                <w:sz w:val="24"/>
              </w:rPr>
              <w:t>评价情况</w:t>
            </w:r>
          </w:p>
        </w:tc>
        <w:tc>
          <w:tcPr>
            <w:tcW w:w="8172" w:type="dxa"/>
            <w:gridSpan w:val="3"/>
            <w:noWrap w:val="0"/>
            <w:vAlign w:val="center"/>
          </w:tcPr>
          <w:p w14:paraId="015CE3F3">
            <w:pPr>
              <w:keepNext w:val="0"/>
              <w:keepLines w:val="0"/>
              <w:suppressLineNumbers w:val="0"/>
              <w:autoSpaceDE w:val="0"/>
              <w:autoSpaceDN w:val="0"/>
              <w:adjustRightInd w:val="0"/>
              <w:snapToGrid w:val="0"/>
              <w:spacing w:before="0" w:beforeAutospacing="0" w:after="0" w:afterAutospacing="0" w:line="360" w:lineRule="auto"/>
              <w:ind w:left="0" w:leftChars="0" w:right="0" w:rightChars="0" w:firstLine="0" w:firstLineChars="0"/>
              <w:jc w:val="center"/>
              <w:rPr>
                <w:rFonts w:hint="eastAsia" w:ascii="Times New Roman" w:hAnsi="Times New Roman" w:eastAsia="宋体" w:cs="Times New Roman"/>
                <w:lang w:eastAsia="zh-CN"/>
              </w:rPr>
            </w:pPr>
            <w:r>
              <w:rPr>
                <w:rFonts w:hint="eastAsia" w:cs="Times New Roman"/>
                <w:color w:val="auto"/>
                <w:sz w:val="24"/>
                <w:lang w:val="en-US" w:eastAsia="zh-CN"/>
              </w:rPr>
              <w:t>无</w:t>
            </w:r>
          </w:p>
        </w:tc>
      </w:tr>
      <w:tr w14:paraId="18A11A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698" w:type="dxa"/>
            <w:noWrap w:val="0"/>
            <w:vAlign w:val="center"/>
          </w:tcPr>
          <w:p w14:paraId="399CAB0D">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sz w:val="24"/>
              </w:rPr>
            </w:pPr>
            <w:r>
              <w:rPr>
                <w:rFonts w:hint="eastAsia" w:ascii="Times New Roman" w:hAnsi="Times New Roman" w:eastAsia="宋体" w:cs="宋体"/>
                <w:kern w:val="0"/>
                <w:sz w:val="24"/>
              </w:rPr>
              <w:t>规划及规划环境影响评价符合性分析</w:t>
            </w:r>
          </w:p>
        </w:tc>
        <w:tc>
          <w:tcPr>
            <w:tcW w:w="8172" w:type="dxa"/>
            <w:gridSpan w:val="3"/>
            <w:noWrap w:val="0"/>
            <w:vAlign w:val="center"/>
          </w:tcPr>
          <w:p w14:paraId="57EE32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eastAsia" w:ascii="Times New Roman" w:hAnsi="Times New Roman" w:eastAsia="宋体" w:cs="Times New Roman"/>
                <w:lang w:val="en-US" w:eastAsia="zh-CN"/>
              </w:rPr>
            </w:pPr>
            <w:r>
              <w:rPr>
                <w:rFonts w:hint="eastAsia" w:cs="Times New Roman"/>
                <w:lang w:val="en-US" w:eastAsia="zh-CN"/>
              </w:rPr>
              <w:t>无</w:t>
            </w:r>
          </w:p>
        </w:tc>
      </w:tr>
      <w:tr w14:paraId="7C0E48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698" w:type="dxa"/>
            <w:noWrap w:val="0"/>
            <w:vAlign w:val="center"/>
          </w:tcPr>
          <w:p w14:paraId="3C426F81">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宋体"/>
                <w:kern w:val="0"/>
                <w:sz w:val="24"/>
              </w:rPr>
            </w:pPr>
            <w:r>
              <w:rPr>
                <w:rFonts w:hint="eastAsia" w:ascii="Times New Roman" w:hAnsi="Times New Roman" w:eastAsia="宋体" w:cs="宋体"/>
                <w:kern w:val="0"/>
                <w:sz w:val="24"/>
              </w:rPr>
              <w:t>其他符合性分析</w:t>
            </w:r>
          </w:p>
        </w:tc>
        <w:tc>
          <w:tcPr>
            <w:tcW w:w="8172" w:type="dxa"/>
            <w:gridSpan w:val="3"/>
            <w:noWrap w:val="0"/>
            <w:vAlign w:val="center"/>
          </w:tcPr>
          <w:p w14:paraId="0A490BA5">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sz w:val="24"/>
              </w:rPr>
            </w:pPr>
            <w:r>
              <w:rPr>
                <w:rFonts w:hint="eastAsia" w:ascii="Times New Roman" w:hAnsi="Times New Roman" w:eastAsia="宋体" w:cs="Times New Roman"/>
                <w:b/>
                <w:bCs/>
                <w:sz w:val="24"/>
              </w:rPr>
              <w:t>一、</w:t>
            </w:r>
            <w:r>
              <w:rPr>
                <w:rFonts w:hint="default" w:ascii="Times New Roman" w:hAnsi="Times New Roman" w:eastAsia="宋体" w:cs="Times New Roman"/>
                <w:b/>
                <w:bCs/>
                <w:sz w:val="24"/>
              </w:rPr>
              <w:t>产业政策符合性分析</w:t>
            </w:r>
          </w:p>
          <w:p w14:paraId="2FBEFF5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eastAsia="宋体"/>
                <w:color w:val="auto"/>
                <w:sz w:val="24"/>
                <w:szCs w:val="24"/>
                <w:lang w:val="en-US" w:eastAsia="zh-CN"/>
              </w:rPr>
            </w:pPr>
            <w:r>
              <w:rPr>
                <w:rFonts w:hint="default" w:ascii="Times New Roman" w:hAnsi="Times New Roman" w:eastAsia="宋体" w:cs="Times New Roman"/>
                <w:sz w:val="24"/>
              </w:rPr>
              <w:t>本项目属于《国民经济行业分类（GB/T4754-2017）》</w:t>
            </w:r>
            <w:r>
              <w:rPr>
                <w:rFonts w:hint="eastAsia" w:ascii="Times New Roman" w:hAnsi="Times New Roman" w:eastAsia="宋体" w:cs="Times New Roman"/>
                <w:sz w:val="24"/>
              </w:rPr>
              <w:t>以及1号修改单</w:t>
            </w:r>
            <w:r>
              <w:rPr>
                <w:rFonts w:hint="default" w:ascii="Times New Roman" w:hAnsi="Times New Roman" w:eastAsia="宋体" w:cs="Times New Roman"/>
                <w:sz w:val="24"/>
              </w:rPr>
              <w:t>中</w:t>
            </w:r>
            <w:r>
              <w:rPr>
                <w:rFonts w:hint="eastAsia" w:ascii="Times New Roman" w:hAnsi="Times New Roman" w:eastAsia="宋体" w:cs="Times New Roman"/>
                <w:sz w:val="24"/>
              </w:rPr>
              <w:t>的其他非金属矿物制品</w:t>
            </w:r>
            <w:r>
              <w:rPr>
                <w:rFonts w:hint="eastAsia" w:ascii="Times New Roman" w:hAnsi="Times New Roman" w:eastAsia="宋体" w:cs="Times New Roman"/>
                <w:sz w:val="24"/>
                <w:szCs w:val="24"/>
              </w:rPr>
              <w:t>制造（C3099）</w:t>
            </w:r>
            <w:r>
              <w:rPr>
                <w:rFonts w:hint="eastAsia" w:cs="Times New Roman"/>
                <w:sz w:val="24"/>
                <w:szCs w:val="24"/>
                <w:lang w:eastAsia="zh-CN"/>
              </w:rPr>
              <w:t>、固体废物治理（C7723）</w:t>
            </w:r>
            <w:r>
              <w:rPr>
                <w:rFonts w:hint="eastAsia" w:ascii="Times New Roman" w:hAnsi="Times New Roman" w:eastAsia="宋体" w:cs="Times New Roman"/>
                <w:sz w:val="24"/>
                <w:szCs w:val="24"/>
              </w:rPr>
              <w:t>。</w:t>
            </w:r>
            <w:r>
              <w:rPr>
                <w:rFonts w:hint="eastAsia"/>
                <w:color w:val="auto"/>
                <w:sz w:val="24"/>
                <w:szCs w:val="24"/>
              </w:rPr>
              <w:t>经查阅《产业结构调整指导目录（20</w:t>
            </w:r>
            <w:r>
              <w:rPr>
                <w:rFonts w:hint="eastAsia"/>
                <w:color w:val="auto"/>
                <w:sz w:val="24"/>
                <w:szCs w:val="24"/>
                <w:lang w:val="en-US" w:eastAsia="zh-CN"/>
              </w:rPr>
              <w:t>24</w:t>
            </w:r>
            <w:r>
              <w:rPr>
                <w:rFonts w:hint="eastAsia"/>
                <w:color w:val="auto"/>
                <w:sz w:val="24"/>
                <w:szCs w:val="24"/>
              </w:rPr>
              <w:t>年本）》，本项目</w:t>
            </w:r>
            <w:r>
              <w:rPr>
                <w:rFonts w:hint="eastAsia"/>
                <w:color w:val="auto"/>
                <w:sz w:val="24"/>
                <w:szCs w:val="24"/>
                <w:lang w:val="en-US" w:eastAsia="zh-CN"/>
              </w:rPr>
              <w:t>生产过程利用建筑废弃材料生产建筑用砂，属于指导目录中的鼓励类中第四十二项“环境保护与资源节约综合利用”第8条：煤矸石、粉煤灰、尾矿（共伴生矿）、冶炼渣、工业副产石膏、赤泥、建筑垃圾等工业废弃物循环利用；本项目利用外购鹅卵石生产建筑用砂</w:t>
            </w:r>
            <w:r>
              <w:rPr>
                <w:rFonts w:hint="eastAsia" w:ascii="Times New Roman" w:hAnsi="Times New Roman" w:eastAsia="宋体" w:cs="Times New Roman"/>
                <w:sz w:val="24"/>
              </w:rPr>
              <w:t>不</w:t>
            </w:r>
            <w:r>
              <w:rPr>
                <w:rFonts w:hint="default" w:ascii="Times New Roman" w:hAnsi="Times New Roman" w:eastAsia="宋体" w:cs="Times New Roman"/>
                <w:sz w:val="24"/>
              </w:rPr>
              <w:t>属于</w:t>
            </w:r>
            <w:r>
              <w:rPr>
                <w:rFonts w:hint="eastAsia"/>
                <w:color w:val="auto"/>
                <w:sz w:val="24"/>
                <w:szCs w:val="24"/>
                <w:lang w:val="en-US" w:eastAsia="zh-CN"/>
              </w:rPr>
              <w:t>指导目录</w:t>
            </w:r>
            <w:r>
              <w:rPr>
                <w:rFonts w:hint="default" w:ascii="Times New Roman" w:hAnsi="Times New Roman" w:eastAsia="宋体" w:cs="Times New Roman"/>
                <w:sz w:val="24"/>
              </w:rPr>
              <w:t>中的鼓励类、限制类和淘汰类</w:t>
            </w:r>
            <w:r>
              <w:rPr>
                <w:rFonts w:hint="eastAsia" w:ascii="Times New Roman" w:hAnsi="Times New Roman" w:eastAsia="宋体" w:cs="Times New Roman"/>
                <w:color w:val="auto"/>
                <w:kern w:val="0"/>
                <w:sz w:val="24"/>
              </w:rPr>
              <w:t>，视为允许类。同时，</w:t>
            </w:r>
            <w:r>
              <w:rPr>
                <w:rFonts w:hint="eastAsia" w:ascii="Times New Roman" w:hAnsi="Times New Roman" w:eastAsia="宋体" w:cs="Times New Roman"/>
                <w:sz w:val="24"/>
              </w:rPr>
              <w:t>本项目取得了</w:t>
            </w:r>
            <w:r>
              <w:rPr>
                <w:rFonts w:hint="eastAsia" w:cs="Times New Roman"/>
                <w:sz w:val="24"/>
                <w:lang w:eastAsia="zh-CN"/>
              </w:rPr>
              <w:t>邻水县发展和改革局</w:t>
            </w:r>
            <w:r>
              <w:rPr>
                <w:rFonts w:hint="eastAsia" w:ascii="Times New Roman" w:hAnsi="Times New Roman" w:eastAsia="宋体" w:cs="Times New Roman"/>
                <w:sz w:val="24"/>
                <w:lang w:val="en-US" w:eastAsia="zh-CN"/>
              </w:rPr>
              <w:t>出具的</w:t>
            </w:r>
            <w:r>
              <w:rPr>
                <w:rFonts w:hint="eastAsia" w:ascii="Times New Roman" w:hAnsi="Times New Roman" w:eastAsia="宋体" w:cs="Times New Roman"/>
                <w:sz w:val="24"/>
              </w:rPr>
              <w:t>备案文件：</w:t>
            </w:r>
            <w:r>
              <w:rPr>
                <w:rFonts w:hint="eastAsia" w:cs="Times New Roman"/>
                <w:sz w:val="24"/>
                <w:lang w:eastAsia="zh-CN"/>
              </w:rPr>
              <w:t>川投资备【2506-511623-04-01-112602】FGQB-1169号</w:t>
            </w:r>
            <w:r>
              <w:rPr>
                <w:rFonts w:hint="eastAsia" w:ascii="Times New Roman" w:hAnsi="Times New Roman" w:eastAsia="宋体" w:cs="Times New Roman"/>
                <w:sz w:val="24"/>
              </w:rPr>
              <w:t>。</w:t>
            </w:r>
          </w:p>
          <w:p w14:paraId="266EE698">
            <w:pPr>
              <w:pStyle w:val="16"/>
              <w:keepNext w:val="0"/>
              <w:keepLines w:val="0"/>
              <w:suppressLineNumbers w:val="0"/>
              <w:spacing w:before="0" w:beforeAutospacing="0" w:after="0" w:afterAutospacing="0" w:line="360" w:lineRule="auto"/>
              <w:ind w:left="0" w:leftChars="0" w:right="0" w:firstLine="482" w:firstLineChars="200"/>
              <w:rPr>
                <w:rFonts w:hint="default" w:ascii="Times New Roman" w:hAnsi="Times New Roman" w:eastAsia="宋体" w:cs="Times New Roman"/>
                <w:b/>
                <w:bCs/>
                <w:sz w:val="24"/>
                <w:lang w:val="en-US" w:eastAsia="zh-CN"/>
              </w:rPr>
            </w:pPr>
            <w:r>
              <w:rPr>
                <w:rFonts w:hint="eastAsia" w:cs="Times New Roman"/>
                <w:b/>
                <w:bCs/>
                <w:sz w:val="24"/>
                <w:lang w:val="en-US" w:eastAsia="zh-CN"/>
              </w:rPr>
              <w:t>因此，本项目的建设符合国家现行的产业政策。</w:t>
            </w:r>
          </w:p>
          <w:p w14:paraId="434FF17F">
            <w:pPr>
              <w:pStyle w:val="16"/>
              <w:keepNext w:val="0"/>
              <w:keepLines w:val="0"/>
              <w:suppressLineNumbers w:val="0"/>
              <w:spacing w:before="0" w:beforeAutospacing="0" w:after="0" w:afterAutospacing="0" w:line="360" w:lineRule="auto"/>
              <w:ind w:left="0" w:leftChars="0" w:right="0"/>
              <w:rPr>
                <w:rFonts w:hint="eastAsia" w:ascii="Times New Roman" w:hAnsi="Times New Roman" w:eastAsia="宋体" w:cs="Times New Roman"/>
                <w:b/>
                <w:sz w:val="24"/>
              </w:rPr>
            </w:pPr>
            <w:r>
              <w:rPr>
                <w:rFonts w:hint="eastAsia" w:ascii="Times New Roman" w:hAnsi="Times New Roman" w:eastAsia="宋体" w:cs="Times New Roman"/>
                <w:b/>
                <w:sz w:val="24"/>
                <w:lang w:val="en-US" w:eastAsia="zh-CN"/>
              </w:rPr>
              <w:t>二</w:t>
            </w:r>
            <w:r>
              <w:rPr>
                <w:rFonts w:hint="eastAsia" w:ascii="Times New Roman" w:hAnsi="Times New Roman" w:eastAsia="宋体" w:cs="Times New Roman"/>
                <w:b/>
                <w:sz w:val="24"/>
              </w:rPr>
              <w:t>、用地符合性分析</w:t>
            </w:r>
          </w:p>
          <w:p w14:paraId="3C2F2FE9">
            <w:pPr>
              <w:pStyle w:val="16"/>
              <w:keepNext w:val="0"/>
              <w:keepLines w:val="0"/>
              <w:suppressLineNumbers w:val="0"/>
              <w:spacing w:before="0" w:beforeAutospacing="0" w:after="0" w:afterAutospacing="0" w:line="360" w:lineRule="auto"/>
              <w:ind w:left="0" w:leftChars="0" w:right="0" w:firstLine="480" w:firstLineChars="200"/>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本项目位于邻水县石滓镇晒金村8组，系租赁大宇红砖厂</w:t>
            </w:r>
            <w:r>
              <w:rPr>
                <w:rFonts w:hint="eastAsia" w:cs="Times New Roman"/>
                <w:color w:val="auto"/>
                <w:kern w:val="2"/>
                <w:sz w:val="24"/>
                <w:szCs w:val="24"/>
                <w:lang w:val="en-US" w:eastAsia="zh-CN" w:bidi="ar-SA"/>
              </w:rPr>
              <w:t>闲置地块</w:t>
            </w:r>
            <w:r>
              <w:rPr>
                <w:rFonts w:hint="eastAsia" w:ascii="Times New Roman" w:hAnsi="Times New Roman" w:eastAsia="宋体" w:cs="Times New Roman"/>
                <w:color w:val="auto"/>
                <w:kern w:val="2"/>
                <w:sz w:val="24"/>
                <w:szCs w:val="24"/>
                <w:lang w:val="en-US" w:eastAsia="zh-CN" w:bidi="ar-SA"/>
              </w:rPr>
              <w:t>进行建设</w:t>
            </w:r>
            <w:r>
              <w:rPr>
                <w:rFonts w:hint="eastAsia"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本项目建设地经邻水县自然资源</w:t>
            </w:r>
            <w:r>
              <w:rPr>
                <w:rFonts w:hint="eastAsia" w:cs="Times New Roman"/>
                <w:color w:val="auto"/>
                <w:kern w:val="2"/>
                <w:sz w:val="24"/>
                <w:szCs w:val="24"/>
                <w:lang w:val="en-US" w:eastAsia="zh-CN" w:bidi="ar-SA"/>
              </w:rPr>
              <w:t>和</w:t>
            </w:r>
            <w:r>
              <w:rPr>
                <w:rFonts w:hint="eastAsia" w:ascii="Times New Roman" w:hAnsi="Times New Roman" w:eastAsia="宋体" w:cs="Times New Roman"/>
                <w:color w:val="auto"/>
                <w:kern w:val="2"/>
                <w:sz w:val="24"/>
                <w:szCs w:val="24"/>
                <w:lang w:val="en-US" w:eastAsia="zh-CN" w:bidi="ar-SA"/>
              </w:rPr>
              <w:t>规划局、邻水县经济信息局、石滓镇人民政府等主管部门联合选址，一致同意本项目在该地块进行建设。</w:t>
            </w:r>
          </w:p>
          <w:p w14:paraId="422F41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cs="Times New Roman"/>
                <w:color w:val="auto"/>
                <w:kern w:val="2"/>
                <w:sz w:val="24"/>
                <w:szCs w:val="24"/>
                <w:lang w:val="en-US" w:eastAsia="zh-CN" w:bidi="ar-SA"/>
              </w:rPr>
            </w:pPr>
            <w:r>
              <w:rPr>
                <w:rFonts w:hint="eastAsia" w:cs="Times New Roman"/>
                <w:color w:val="auto"/>
                <w:kern w:val="2"/>
                <w:sz w:val="24"/>
                <w:szCs w:val="24"/>
                <w:lang w:val="en-US" w:eastAsia="zh-CN" w:bidi="ar-SA"/>
              </w:rPr>
              <w:t>由于本项目所在区域最新国土空间规划目前还在编制阶段，石滓镇人民政府根据石滓镇国土空间整体规划阶段成果明确了本项目所在地块符合石滓镇国土空间整体规划。</w:t>
            </w:r>
          </w:p>
          <w:p w14:paraId="7C8A6E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b/>
                <w:bCs/>
                <w:sz w:val="24"/>
                <w:lang w:val="en-US" w:eastAsia="zh-CN"/>
              </w:rPr>
              <w:t>因此，本项目建设用地</w:t>
            </w:r>
            <w:r>
              <w:rPr>
                <w:rFonts w:hint="eastAsia" w:ascii="Times New Roman" w:hAnsi="Times New Roman" w:eastAsia="宋体" w:cs="Times New Roman"/>
                <w:b/>
                <w:bCs/>
                <w:sz w:val="24"/>
              </w:rPr>
              <w:t>符合</w:t>
            </w:r>
            <w:r>
              <w:rPr>
                <w:rFonts w:hint="eastAsia" w:ascii="Times New Roman" w:hAnsi="Times New Roman" w:eastAsia="宋体" w:cs="Times New Roman"/>
                <w:b/>
                <w:bCs/>
                <w:sz w:val="24"/>
                <w:lang w:val="en-US" w:eastAsia="zh-CN"/>
              </w:rPr>
              <w:t>邻水县</w:t>
            </w:r>
            <w:r>
              <w:rPr>
                <w:rFonts w:hint="eastAsia" w:ascii="Times New Roman" w:hAnsi="Times New Roman" w:eastAsia="宋体" w:cs="Times New Roman"/>
                <w:b/>
                <w:bCs/>
                <w:sz w:val="24"/>
              </w:rPr>
              <w:t>土地利用规划要求。</w:t>
            </w:r>
          </w:p>
          <w:p w14:paraId="02CF21A3">
            <w:pPr>
              <w:pStyle w:val="48"/>
              <w:keepNext w:val="0"/>
              <w:keepLines w:val="0"/>
              <w:suppressLineNumbers w:val="0"/>
              <w:spacing w:before="0" w:beforeAutospacing="0" w:after="0" w:afterAutospacing="0" w:line="360" w:lineRule="auto"/>
              <w:ind w:left="0" w:leftChars="0" w:right="0" w:firstLine="0" w:firstLineChars="0"/>
              <w:jc w:val="left"/>
              <w:rPr>
                <w:rFonts w:hint="default" w:ascii="Times New Roman" w:hAnsi="Times New Roman" w:eastAsia="宋体" w:cs="Times New Roman"/>
                <w:b/>
                <w:spacing w:val="0"/>
                <w:kern w:val="2"/>
                <w:sz w:val="24"/>
                <w:szCs w:val="24"/>
              </w:rPr>
            </w:pPr>
            <w:r>
              <w:rPr>
                <w:rFonts w:hint="eastAsia" w:ascii="Times New Roman" w:hAnsi="Times New Roman" w:eastAsia="宋体" w:cs="Times New Roman"/>
                <w:sz w:val="24"/>
                <w:szCs w:val="24"/>
                <w:lang w:val="en-US" w:eastAsia="zh-CN"/>
              </w:rPr>
              <w:t>三</w:t>
            </w:r>
            <w:r>
              <w:rPr>
                <w:rFonts w:hint="default" w:ascii="Times New Roman" w:hAnsi="Times New Roman" w:eastAsia="宋体" w:cs="Times New Roman"/>
                <w:sz w:val="24"/>
                <w:szCs w:val="24"/>
              </w:rPr>
              <w:t>、</w:t>
            </w:r>
            <w:r>
              <w:rPr>
                <w:rFonts w:hint="eastAsia" w:ascii="Times New Roman" w:hAnsi="Times New Roman" w:eastAsia="宋体" w:cs="Times New Roman"/>
                <w:b/>
                <w:spacing w:val="0"/>
                <w:kern w:val="2"/>
                <w:sz w:val="24"/>
                <w:szCs w:val="24"/>
              </w:rPr>
              <w:t>生态环境分区管控</w:t>
            </w:r>
            <w:r>
              <w:rPr>
                <w:rFonts w:hint="default" w:ascii="Times New Roman" w:hAnsi="Times New Roman" w:eastAsia="宋体" w:cs="Times New Roman"/>
                <w:b/>
                <w:spacing w:val="0"/>
                <w:kern w:val="2"/>
                <w:sz w:val="24"/>
                <w:szCs w:val="24"/>
              </w:rPr>
              <w:t>符合性分析</w:t>
            </w:r>
          </w:p>
          <w:p w14:paraId="75A92F1F">
            <w:pPr>
              <w:pStyle w:val="11"/>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
                <w:color w:val="auto"/>
                <w:sz w:val="24"/>
                <w:szCs w:val="24"/>
              </w:rPr>
            </w:pPr>
            <w:r>
              <w:rPr>
                <w:rFonts w:hint="eastAsia" w:ascii="Times New Roman" w:hAnsi="Times New Roman" w:eastAsia="宋体" w:cs="Times New Roman"/>
                <w:bCs/>
                <w:color w:val="auto"/>
                <w:kern w:val="2"/>
                <w:sz w:val="24"/>
                <w:szCs w:val="24"/>
              </w:rPr>
              <w:t>本项目位于</w:t>
            </w:r>
            <w:r>
              <w:rPr>
                <w:rFonts w:hint="eastAsia" w:cs="Times New Roman"/>
                <w:color w:val="auto"/>
                <w:sz w:val="24"/>
                <w:lang w:eastAsia="zh-CN"/>
              </w:rPr>
              <w:t>邻水县石滓镇晒金村8组</w:t>
            </w:r>
            <w:r>
              <w:rPr>
                <w:rFonts w:hint="eastAsia" w:ascii="Times New Roman" w:hAnsi="Times New Roman" w:eastAsia="宋体" w:cs="Times New Roman"/>
                <w:bCs/>
                <w:color w:val="auto"/>
                <w:kern w:val="2"/>
                <w:sz w:val="24"/>
                <w:szCs w:val="24"/>
              </w:rPr>
              <w:t>，属于</w:t>
            </w:r>
            <w:r>
              <w:rPr>
                <w:rFonts w:hint="eastAsia" w:cs="Times New Roman"/>
                <w:bCs/>
                <w:color w:val="auto"/>
                <w:kern w:val="2"/>
                <w:sz w:val="24"/>
                <w:szCs w:val="24"/>
                <w:lang w:val="en-US" w:eastAsia="zh-CN"/>
              </w:rPr>
              <w:t>工业园区外地块</w:t>
            </w:r>
            <w:r>
              <w:rPr>
                <w:rFonts w:hint="eastAsia" w:ascii="Times New Roman" w:hAnsi="Times New Roman" w:eastAsia="宋体" w:cs="宋体"/>
                <w:color w:val="auto"/>
                <w:kern w:val="0"/>
                <w:sz w:val="24"/>
              </w:rPr>
              <w:t>。</w:t>
            </w:r>
            <w:r>
              <w:rPr>
                <w:rFonts w:hint="eastAsia" w:ascii="Times New Roman" w:hAnsi="Times New Roman" w:eastAsia="宋体" w:cs="Times New Roman"/>
                <w:bCs/>
                <w:color w:val="auto"/>
                <w:kern w:val="2"/>
                <w:sz w:val="24"/>
                <w:szCs w:val="24"/>
              </w:rPr>
              <w:t>根据四川省生态环境厅办公室</w:t>
            </w:r>
            <w:r>
              <w:rPr>
                <w:rFonts w:hint="eastAsia" w:ascii="Times New Roman" w:hAnsi="Times New Roman" w:eastAsia="宋体" w:cs="Times New Roman"/>
                <w:color w:val="auto"/>
                <w:kern w:val="0"/>
                <w:sz w:val="24"/>
              </w:rPr>
              <w:t>“和《项目环评“三线一单”符合性分析技术要点（试行）》的通知”（川环办函〔2021〕469号）</w:t>
            </w:r>
            <w:r>
              <w:rPr>
                <w:rFonts w:hint="eastAsia" w:ascii="Times New Roman" w:hAnsi="Times New Roman" w:eastAsia="宋体" w:cs="Times New Roman"/>
                <w:bCs/>
                <w:color w:val="auto"/>
                <w:kern w:val="2"/>
                <w:sz w:val="24"/>
                <w:szCs w:val="24"/>
              </w:rPr>
              <w:t>和</w:t>
            </w:r>
            <w:r>
              <w:rPr>
                <w:rFonts w:hint="eastAsia" w:ascii="Times New Roman" w:hAnsi="Times New Roman" w:eastAsia="宋体" w:cs="Times New Roman"/>
                <w:bCs/>
                <w:color w:val="auto"/>
                <w:kern w:val="2"/>
                <w:sz w:val="24"/>
                <w:szCs w:val="24"/>
                <w:lang w:eastAsia="zh-CN"/>
              </w:rPr>
              <w:t>《</w:t>
            </w:r>
            <w:r>
              <w:rPr>
                <w:rFonts w:hint="eastAsia" w:ascii="Times New Roman" w:hAnsi="Times New Roman" w:eastAsia="宋体" w:cs="Times New Roman"/>
                <w:bCs/>
                <w:color w:val="auto"/>
                <w:kern w:val="2"/>
                <w:sz w:val="24"/>
                <w:szCs w:val="24"/>
              </w:rPr>
              <w:t>关于印发广安市2023年生态环境分区管控动态更新成果的通知</w:t>
            </w:r>
            <w:r>
              <w:rPr>
                <w:rFonts w:hint="eastAsia" w:ascii="Times New Roman" w:hAnsi="Times New Roman" w:eastAsia="宋体" w:cs="Times New Roman"/>
                <w:bCs/>
                <w:color w:val="auto"/>
                <w:kern w:val="2"/>
                <w:sz w:val="24"/>
                <w:szCs w:val="24"/>
                <w:lang w:eastAsia="zh-CN"/>
              </w:rPr>
              <w:t>》（广安府办函〔2024〕32号）</w:t>
            </w:r>
            <w:r>
              <w:rPr>
                <w:rFonts w:hint="eastAsia" w:ascii="Times New Roman" w:hAnsi="Times New Roman" w:eastAsia="宋体" w:cs="Times New Roman"/>
                <w:bCs/>
                <w:color w:val="auto"/>
                <w:kern w:val="2"/>
                <w:sz w:val="24"/>
                <w:szCs w:val="24"/>
              </w:rPr>
              <w:t>，本项目与</w:t>
            </w:r>
            <w:r>
              <w:rPr>
                <w:rFonts w:hint="eastAsia" w:ascii="Times New Roman" w:hAnsi="Times New Roman" w:eastAsia="宋体" w:cs="Times New Roman"/>
                <w:bCs/>
                <w:color w:val="auto"/>
                <w:kern w:val="2"/>
                <w:sz w:val="24"/>
                <w:szCs w:val="24"/>
                <w:lang w:val="en-US" w:eastAsia="zh-CN"/>
              </w:rPr>
              <w:t>区域</w:t>
            </w:r>
            <w:r>
              <w:rPr>
                <w:rFonts w:hint="eastAsia" w:ascii="Times New Roman" w:hAnsi="Times New Roman" w:eastAsia="宋体" w:cs="Times New Roman"/>
                <w:bCs/>
                <w:color w:val="auto"/>
                <w:kern w:val="2"/>
                <w:sz w:val="24"/>
                <w:szCs w:val="24"/>
              </w:rPr>
              <w:t>生态环境分区管控符合性分析如下：</w:t>
            </w:r>
          </w:p>
          <w:p w14:paraId="676AE5B9">
            <w:pPr>
              <w:pStyle w:val="11"/>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color w:val="auto"/>
                <w:sz w:val="24"/>
                <w:szCs w:val="24"/>
                <w:lang w:val="en-US" w:eastAsia="zh-CN"/>
              </w:rPr>
            </w:pPr>
            <w:r>
              <w:rPr>
                <w:rFonts w:hint="eastAsia" w:ascii="Times New Roman" w:hAnsi="Times New Roman" w:eastAsia="宋体" w:cs="Times New Roman"/>
                <w:b/>
                <w:color w:val="auto"/>
                <w:sz w:val="24"/>
                <w:szCs w:val="24"/>
              </w:rPr>
              <w:t>1、项目与环境综合管控单元的位置关系</w:t>
            </w:r>
          </w:p>
          <w:p w14:paraId="6B1CBA13">
            <w:pPr>
              <w:pStyle w:val="11"/>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
                <w:color w:val="auto"/>
                <w:sz w:val="24"/>
                <w:szCs w:val="24"/>
                <w:lang w:val="en-US" w:eastAsia="zh-CN"/>
              </w:rPr>
            </w:pPr>
            <w:r>
              <w:rPr>
                <w:rFonts w:hint="eastAsia" w:ascii="Times New Roman" w:hAnsi="Times New Roman" w:eastAsia="宋体" w:cs="Times New Roman"/>
                <w:bCs/>
                <w:color w:val="auto"/>
                <w:kern w:val="2"/>
                <w:sz w:val="24"/>
                <w:szCs w:val="24"/>
                <w:lang w:val="en-US" w:eastAsia="zh-CN"/>
              </w:rPr>
              <w:t>根据</w:t>
            </w:r>
            <w:r>
              <w:rPr>
                <w:rFonts w:hint="eastAsia" w:ascii="Times New Roman" w:hAnsi="Times New Roman" w:eastAsia="宋体" w:cs="Times New Roman"/>
                <w:bCs/>
                <w:color w:val="auto"/>
                <w:kern w:val="2"/>
                <w:sz w:val="24"/>
                <w:szCs w:val="24"/>
                <w:lang w:eastAsia="zh-CN"/>
              </w:rPr>
              <w:t>《</w:t>
            </w:r>
            <w:r>
              <w:rPr>
                <w:rFonts w:hint="eastAsia" w:ascii="Times New Roman" w:hAnsi="Times New Roman" w:eastAsia="宋体" w:cs="Times New Roman"/>
                <w:bCs/>
                <w:color w:val="auto"/>
                <w:kern w:val="2"/>
                <w:sz w:val="24"/>
                <w:szCs w:val="24"/>
              </w:rPr>
              <w:t>关于印发广安市2023年生态环境分区管控动态更新成果的通知</w:t>
            </w:r>
            <w:r>
              <w:rPr>
                <w:rFonts w:hint="eastAsia" w:ascii="Times New Roman" w:hAnsi="Times New Roman" w:eastAsia="宋体" w:cs="Times New Roman"/>
                <w:bCs/>
                <w:color w:val="auto"/>
                <w:kern w:val="2"/>
                <w:sz w:val="24"/>
                <w:szCs w:val="24"/>
                <w:lang w:eastAsia="zh-CN"/>
              </w:rPr>
              <w:t>》（广安府办函〔2024〕32号），</w:t>
            </w:r>
            <w:r>
              <w:rPr>
                <w:rFonts w:hint="eastAsia" w:ascii="Times New Roman" w:hAnsi="Times New Roman" w:eastAsia="宋体" w:cs="Times New Roman"/>
                <w:bCs/>
                <w:color w:val="auto"/>
                <w:kern w:val="2"/>
                <w:sz w:val="24"/>
                <w:szCs w:val="24"/>
                <w:lang w:val="en-US" w:eastAsia="zh-CN"/>
              </w:rPr>
              <w:t>广安市共划定环境管控单元45个，分为优先保护单元、重点管控单元和一般管控单元。</w:t>
            </w:r>
            <w:r>
              <w:rPr>
                <w:rFonts w:hint="default" w:ascii="Times New Roman" w:hAnsi="Times New Roman" w:eastAsia="宋体" w:cs="Times New Roman"/>
                <w:bCs/>
                <w:color w:val="auto"/>
                <w:sz w:val="24"/>
              </w:rPr>
              <w:t>本项目位于</w:t>
            </w:r>
            <w:r>
              <w:rPr>
                <w:rFonts w:hint="eastAsia" w:cs="Times New Roman"/>
                <w:color w:val="auto"/>
                <w:kern w:val="0"/>
                <w:sz w:val="24"/>
                <w:lang w:eastAsia="zh-CN"/>
              </w:rPr>
              <w:t>邻水县石滓镇晒金村8组</w:t>
            </w:r>
            <w:r>
              <w:rPr>
                <w:rFonts w:hint="eastAsia" w:ascii="Times New Roman" w:hAnsi="Times New Roman" w:eastAsia="宋体" w:cs="Times New Roman"/>
                <w:color w:val="auto"/>
                <w:sz w:val="24"/>
                <w:lang w:eastAsia="zh-CN"/>
              </w:rPr>
              <w:t>，根据四川政务服务网生态环境分区管控数据分析系统查询结果，项目涉及环境管控单元如下：</w:t>
            </w:r>
          </w:p>
          <w:p w14:paraId="71D205D2">
            <w:pPr>
              <w:pStyle w:val="99"/>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bCs/>
                <w:color w:val="auto"/>
                <w:sz w:val="21"/>
                <w:szCs w:val="21"/>
              </w:rPr>
            </w:pPr>
            <w:r>
              <w:rPr>
                <w:rFonts w:hint="default"/>
              </w:rPr>
              <w:drawing>
                <wp:inline distT="0" distB="0" distL="114300" distR="114300">
                  <wp:extent cx="5181600" cy="4132580"/>
                  <wp:effectExtent l="0" t="0" r="0" b="127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0"/>
                          <a:stretch>
                            <a:fillRect/>
                          </a:stretch>
                        </pic:blipFill>
                        <pic:spPr>
                          <a:xfrm>
                            <a:off x="0" y="0"/>
                            <a:ext cx="5181600" cy="4132580"/>
                          </a:xfrm>
                          <a:prstGeom prst="rect">
                            <a:avLst/>
                          </a:prstGeom>
                          <a:noFill/>
                          <a:ln>
                            <a:noFill/>
                          </a:ln>
                        </pic:spPr>
                      </pic:pic>
                    </a:graphicData>
                  </a:graphic>
                </wp:inline>
              </w:drawing>
            </w:r>
          </w:p>
          <w:p w14:paraId="2C21AAFE">
            <w:pPr>
              <w:pStyle w:val="11"/>
              <w:keepNext w:val="0"/>
              <w:keepLines w:val="0"/>
              <w:suppressLineNumbers w:val="0"/>
              <w:spacing w:before="0" w:beforeAutospacing="0" w:after="0" w:afterAutospacing="0" w:line="360" w:lineRule="auto"/>
              <w:ind w:left="0"/>
              <w:jc w:val="center"/>
              <w:rPr>
                <w:rFonts w:hint="eastAsia" w:ascii="Times New Roman" w:hAnsi="Times New Roman" w:eastAsia="宋体" w:cs="Times New Roman"/>
                <w:bCs/>
                <w:color w:val="auto"/>
                <w:sz w:val="21"/>
                <w:szCs w:val="21"/>
              </w:rPr>
            </w:pPr>
            <w:r>
              <w:rPr>
                <w:rFonts w:hint="eastAsia" w:ascii="Times New Roman" w:hAnsi="Times New Roman" w:eastAsia="宋体" w:cs="Times New Roman"/>
                <w:b/>
                <w:bCs/>
                <w:color w:val="auto"/>
                <w:sz w:val="21"/>
                <w:szCs w:val="21"/>
              </w:rPr>
              <w:t>图1-</w:t>
            </w:r>
            <w:r>
              <w:rPr>
                <w:rFonts w:hint="eastAsia" w:ascii="Times New Roman" w:hAnsi="Times New Roman" w:eastAsia="宋体" w:cs="Times New Roman"/>
                <w:b/>
                <w:bCs/>
                <w:color w:val="auto"/>
                <w:sz w:val="21"/>
                <w:szCs w:val="21"/>
                <w:lang w:val="en-US" w:eastAsia="zh-CN"/>
              </w:rPr>
              <w:t xml:space="preserve">1 </w:t>
            </w:r>
            <w:r>
              <w:rPr>
                <w:rFonts w:hint="eastAsia" w:ascii="Times New Roman" w:hAnsi="Times New Roman" w:eastAsia="宋体" w:cs="Times New Roman"/>
                <w:b/>
                <w:bCs/>
                <w:color w:val="auto"/>
                <w:sz w:val="21"/>
                <w:szCs w:val="21"/>
              </w:rPr>
              <w:t xml:space="preserve"> “生态环境分区管控”符合性分析截图</w:t>
            </w:r>
          </w:p>
          <w:p w14:paraId="6B8845FC">
            <w:pPr>
              <w:pStyle w:val="99"/>
              <w:keepNext w:val="0"/>
              <w:keepLines w:val="0"/>
              <w:suppressLineNumbers w:val="0"/>
              <w:spacing w:before="0" w:beforeAutospacing="0" w:after="0" w:afterAutospacing="0"/>
              <w:ind w:left="0" w:right="0"/>
              <w:rPr>
                <w:rFonts w:hint="eastAsia" w:ascii="Times New Roman" w:hAnsi="Times New Roman" w:eastAsia="宋体" w:cs="宋体"/>
                <w:bCs/>
                <w:color w:val="auto"/>
                <w:sz w:val="21"/>
                <w:szCs w:val="21"/>
              </w:rPr>
            </w:pPr>
            <w:r>
              <w:rPr>
                <w:rFonts w:hint="eastAsia" w:ascii="Times New Roman" w:hAnsi="Times New Roman" w:eastAsia="宋体" w:cs="Times New Roman"/>
                <w:bCs/>
                <w:color w:val="auto"/>
                <w:sz w:val="21"/>
                <w:szCs w:val="21"/>
              </w:rPr>
              <w:t>表1-</w:t>
            </w:r>
            <w:r>
              <w:rPr>
                <w:rFonts w:hint="eastAsia" w:cs="Times New Roman"/>
                <w:bCs/>
                <w:color w:val="auto"/>
                <w:sz w:val="21"/>
                <w:szCs w:val="21"/>
                <w:lang w:val="en-US" w:eastAsia="zh-CN"/>
              </w:rPr>
              <w:t>1</w:t>
            </w:r>
            <w:r>
              <w:rPr>
                <w:rFonts w:hint="eastAsia" w:ascii="Times New Roman" w:hAnsi="Times New Roman" w:eastAsia="宋体" w:cs="Times New Roman"/>
                <w:bCs/>
                <w:color w:val="auto"/>
                <w:sz w:val="21"/>
                <w:szCs w:val="21"/>
              </w:rPr>
              <w:t xml:space="preserve">  </w:t>
            </w:r>
            <w:r>
              <w:rPr>
                <w:rFonts w:hint="eastAsia" w:ascii="Times New Roman" w:hAnsi="Times New Roman" w:eastAsia="宋体" w:cs="宋体"/>
                <w:bCs/>
                <w:color w:val="auto"/>
                <w:sz w:val="21"/>
                <w:szCs w:val="21"/>
              </w:rPr>
              <w:t>本项目</w:t>
            </w:r>
            <w:r>
              <w:rPr>
                <w:rFonts w:hint="eastAsia" w:ascii="Times New Roman" w:hAnsi="Times New Roman" w:eastAsia="宋体" w:cs="宋体"/>
                <w:bCs/>
                <w:color w:val="auto"/>
                <w:sz w:val="21"/>
                <w:szCs w:val="21"/>
                <w:lang w:val="en-US" w:eastAsia="zh-CN"/>
              </w:rPr>
              <w:t>涉及</w:t>
            </w:r>
            <w:r>
              <w:rPr>
                <w:rFonts w:hint="eastAsia" w:ascii="Times New Roman" w:hAnsi="Times New Roman" w:eastAsia="宋体" w:cs="宋体"/>
                <w:bCs/>
                <w:color w:val="auto"/>
                <w:sz w:val="21"/>
                <w:szCs w:val="21"/>
              </w:rPr>
              <w:t>环境管控单元一览表</w:t>
            </w:r>
          </w:p>
          <w:tbl>
            <w:tblPr>
              <w:tblStyle w:val="25"/>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63"/>
              <w:gridCol w:w="1318"/>
              <w:gridCol w:w="1052"/>
              <w:gridCol w:w="778"/>
              <w:gridCol w:w="1368"/>
              <w:gridCol w:w="1476"/>
            </w:tblGrid>
            <w:tr w14:paraId="02E6B7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1233" w:type="pct"/>
                  <w:noWrap w:val="0"/>
                  <w:vAlign w:val="center"/>
                </w:tcPr>
                <w:p w14:paraId="4BDEF2AB">
                  <w:pPr>
                    <w:keepNext w:val="0"/>
                    <w:keepLines w:val="0"/>
                    <w:widowControl/>
                    <w:suppressLineNumbers w:val="0"/>
                    <w:spacing w:before="0" w:beforeAutospacing="0" w:after="0" w:afterAutospacing="0"/>
                    <w:ind w:left="0" w:leftChars="0" w:right="0" w:rightChars="0" w:firstLine="0" w:firstLineChars="0"/>
                    <w:jc w:val="center"/>
                    <w:rPr>
                      <w:rFonts w:hint="default" w:ascii="Times New Roman" w:hAnsi="Times New Roman" w:eastAsia="宋体" w:cs="宋体"/>
                      <w:b/>
                      <w:bCs/>
                      <w:color w:val="auto"/>
                      <w:kern w:val="0"/>
                      <w:szCs w:val="21"/>
                    </w:rPr>
                  </w:pPr>
                  <w:r>
                    <w:rPr>
                      <w:rFonts w:hint="eastAsia" w:ascii="Times New Roman" w:hAnsi="Times New Roman" w:eastAsia="宋体" w:cs="宋体"/>
                      <w:b/>
                      <w:bCs/>
                      <w:color w:val="auto"/>
                      <w:kern w:val="0"/>
                      <w:szCs w:val="21"/>
                    </w:rPr>
                    <w:t>环境管控单元编码</w:t>
                  </w:r>
                </w:p>
              </w:tc>
              <w:tc>
                <w:tcPr>
                  <w:tcW w:w="828" w:type="pct"/>
                  <w:noWrap w:val="0"/>
                  <w:vAlign w:val="center"/>
                </w:tcPr>
                <w:p w14:paraId="51CF8A72">
                  <w:pPr>
                    <w:keepNext w:val="0"/>
                    <w:keepLines w:val="0"/>
                    <w:widowControl/>
                    <w:suppressLineNumbers w:val="0"/>
                    <w:spacing w:before="0" w:beforeAutospacing="0" w:after="0" w:afterAutospacing="0"/>
                    <w:ind w:left="0" w:leftChars="0" w:right="0" w:rightChars="0" w:firstLine="0" w:firstLineChars="0"/>
                    <w:jc w:val="center"/>
                    <w:rPr>
                      <w:rFonts w:hint="default" w:ascii="Times New Roman" w:hAnsi="Times New Roman" w:eastAsia="宋体" w:cs="宋体"/>
                      <w:b/>
                      <w:bCs/>
                      <w:color w:val="auto"/>
                      <w:kern w:val="0"/>
                      <w:szCs w:val="21"/>
                    </w:rPr>
                  </w:pPr>
                  <w:r>
                    <w:rPr>
                      <w:rFonts w:hint="eastAsia" w:ascii="Times New Roman" w:hAnsi="Times New Roman" w:eastAsia="宋体" w:cs="宋体"/>
                      <w:b/>
                      <w:bCs/>
                      <w:color w:val="auto"/>
                      <w:kern w:val="0"/>
                      <w:szCs w:val="21"/>
                    </w:rPr>
                    <w:t>环境管控单元名称</w:t>
                  </w:r>
                </w:p>
              </w:tc>
              <w:tc>
                <w:tcPr>
                  <w:tcW w:w="661" w:type="pct"/>
                  <w:noWrap w:val="0"/>
                  <w:vAlign w:val="center"/>
                </w:tcPr>
                <w:p w14:paraId="01B7344D">
                  <w:pPr>
                    <w:keepNext w:val="0"/>
                    <w:keepLines w:val="0"/>
                    <w:widowControl/>
                    <w:suppressLineNumbers w:val="0"/>
                    <w:spacing w:before="0" w:beforeAutospacing="0" w:after="0" w:afterAutospacing="0"/>
                    <w:ind w:left="0" w:leftChars="0" w:right="0" w:rightChars="0" w:firstLine="0" w:firstLineChars="0"/>
                    <w:jc w:val="center"/>
                    <w:rPr>
                      <w:rFonts w:hint="default" w:ascii="Times New Roman" w:hAnsi="Times New Roman" w:eastAsia="宋体" w:cs="宋体"/>
                      <w:b/>
                      <w:bCs/>
                      <w:color w:val="auto"/>
                      <w:kern w:val="0"/>
                      <w:szCs w:val="21"/>
                    </w:rPr>
                  </w:pPr>
                  <w:r>
                    <w:rPr>
                      <w:rFonts w:hint="eastAsia" w:ascii="Times New Roman" w:hAnsi="Times New Roman" w:eastAsia="宋体" w:cs="宋体"/>
                      <w:b/>
                      <w:bCs/>
                      <w:color w:val="auto"/>
                      <w:kern w:val="0"/>
                      <w:szCs w:val="21"/>
                    </w:rPr>
                    <w:t>所属市（州）</w:t>
                  </w:r>
                </w:p>
              </w:tc>
              <w:tc>
                <w:tcPr>
                  <w:tcW w:w="489" w:type="pct"/>
                  <w:noWrap w:val="0"/>
                  <w:vAlign w:val="center"/>
                </w:tcPr>
                <w:p w14:paraId="5428838B">
                  <w:pPr>
                    <w:keepNext w:val="0"/>
                    <w:keepLines w:val="0"/>
                    <w:widowControl/>
                    <w:suppressLineNumbers w:val="0"/>
                    <w:spacing w:before="0" w:beforeAutospacing="0" w:after="0" w:afterAutospacing="0"/>
                    <w:ind w:left="0" w:leftChars="0" w:right="0" w:rightChars="0" w:firstLine="0" w:firstLineChars="0"/>
                    <w:jc w:val="center"/>
                    <w:rPr>
                      <w:rFonts w:hint="default" w:ascii="Times New Roman" w:hAnsi="Times New Roman" w:eastAsia="宋体" w:cs="宋体"/>
                      <w:b/>
                      <w:bCs/>
                      <w:color w:val="auto"/>
                      <w:kern w:val="0"/>
                      <w:szCs w:val="21"/>
                    </w:rPr>
                  </w:pPr>
                  <w:r>
                    <w:rPr>
                      <w:rFonts w:hint="eastAsia" w:ascii="Times New Roman" w:hAnsi="Times New Roman" w:eastAsia="宋体" w:cs="宋体"/>
                      <w:b/>
                      <w:bCs/>
                      <w:color w:val="auto"/>
                      <w:kern w:val="0"/>
                      <w:szCs w:val="21"/>
                    </w:rPr>
                    <w:t>所属区县</w:t>
                  </w:r>
                </w:p>
              </w:tc>
              <w:tc>
                <w:tcPr>
                  <w:tcW w:w="859" w:type="pct"/>
                  <w:noWrap w:val="0"/>
                  <w:vAlign w:val="center"/>
                </w:tcPr>
                <w:p w14:paraId="20E52D5D">
                  <w:pPr>
                    <w:keepNext w:val="0"/>
                    <w:keepLines w:val="0"/>
                    <w:widowControl/>
                    <w:suppressLineNumbers w:val="0"/>
                    <w:spacing w:before="0" w:beforeAutospacing="0" w:after="0" w:afterAutospacing="0"/>
                    <w:ind w:left="0" w:leftChars="0" w:right="0" w:rightChars="0" w:firstLine="0" w:firstLineChars="0"/>
                    <w:jc w:val="center"/>
                    <w:rPr>
                      <w:rFonts w:hint="default" w:ascii="Times New Roman" w:hAnsi="Times New Roman" w:eastAsia="宋体" w:cs="宋体"/>
                      <w:b/>
                      <w:bCs/>
                      <w:color w:val="auto"/>
                      <w:kern w:val="0"/>
                      <w:szCs w:val="21"/>
                    </w:rPr>
                  </w:pPr>
                  <w:r>
                    <w:rPr>
                      <w:rFonts w:hint="eastAsia" w:ascii="Times New Roman" w:hAnsi="Times New Roman" w:eastAsia="宋体" w:cs="宋体"/>
                      <w:b/>
                      <w:bCs/>
                      <w:color w:val="auto"/>
                      <w:kern w:val="0"/>
                      <w:szCs w:val="21"/>
                    </w:rPr>
                    <w:t>准入清单类型</w:t>
                  </w:r>
                </w:p>
              </w:tc>
              <w:tc>
                <w:tcPr>
                  <w:tcW w:w="927" w:type="pct"/>
                  <w:noWrap w:val="0"/>
                  <w:vAlign w:val="center"/>
                </w:tcPr>
                <w:p w14:paraId="12C061FD">
                  <w:pPr>
                    <w:keepNext w:val="0"/>
                    <w:keepLines w:val="0"/>
                    <w:widowControl/>
                    <w:suppressLineNumbers w:val="0"/>
                    <w:spacing w:before="0" w:beforeAutospacing="0" w:after="0" w:afterAutospacing="0"/>
                    <w:ind w:left="0" w:leftChars="0" w:right="0" w:rightChars="0" w:firstLine="0" w:firstLineChars="0"/>
                    <w:jc w:val="center"/>
                    <w:rPr>
                      <w:rFonts w:hint="default" w:ascii="Times New Roman" w:hAnsi="Times New Roman" w:eastAsia="宋体" w:cs="宋体"/>
                      <w:b/>
                      <w:bCs/>
                      <w:color w:val="auto"/>
                      <w:kern w:val="0"/>
                      <w:szCs w:val="21"/>
                    </w:rPr>
                  </w:pPr>
                  <w:r>
                    <w:rPr>
                      <w:rFonts w:hint="eastAsia" w:ascii="Times New Roman" w:hAnsi="Times New Roman" w:eastAsia="宋体" w:cs="宋体"/>
                      <w:b/>
                      <w:bCs/>
                      <w:color w:val="auto"/>
                      <w:kern w:val="0"/>
                      <w:szCs w:val="21"/>
                    </w:rPr>
                    <w:t>管控类型</w:t>
                  </w:r>
                </w:p>
              </w:tc>
            </w:tr>
            <w:tr w14:paraId="01E87B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1233" w:type="pct"/>
                  <w:shd w:val="clear" w:color="auto" w:fill="auto"/>
                  <w:noWrap w:val="0"/>
                  <w:vAlign w:val="center"/>
                </w:tcPr>
                <w:p w14:paraId="3B21E72D">
                  <w:pPr>
                    <w:pStyle w:val="86"/>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Style w:val="27"/>
                      <w:rFonts w:hint="eastAsia" w:ascii="宋体" w:hAnsi="宋体" w:eastAsia="宋体" w:cs="Times New Roman"/>
                      <w:kern w:val="2"/>
                      <w:sz w:val="21"/>
                      <w:szCs w:val="21"/>
                      <w:lang w:val="en-US" w:eastAsia="zh-CN" w:bidi="ar-SA"/>
                    </w:rPr>
                    <w:t>ZH51162330001</w:t>
                  </w:r>
                </w:p>
              </w:tc>
              <w:tc>
                <w:tcPr>
                  <w:tcW w:w="828" w:type="pct"/>
                  <w:shd w:val="clear" w:color="auto" w:fill="auto"/>
                  <w:noWrap w:val="0"/>
                  <w:vAlign w:val="center"/>
                </w:tcPr>
                <w:p w14:paraId="2097E0F8">
                  <w:pPr>
                    <w:pStyle w:val="86"/>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Style w:val="27"/>
                      <w:rFonts w:hint="eastAsia" w:ascii="宋体" w:hAnsi="宋体" w:eastAsia="宋体" w:cs="Times New Roman"/>
                      <w:kern w:val="2"/>
                      <w:sz w:val="21"/>
                      <w:szCs w:val="21"/>
                      <w:lang w:val="en-US" w:eastAsia="zh-CN" w:bidi="ar-SA"/>
                    </w:rPr>
                    <w:t>邻水县一般管控单元</w:t>
                  </w:r>
                </w:p>
              </w:tc>
              <w:tc>
                <w:tcPr>
                  <w:tcW w:w="661" w:type="pct"/>
                  <w:shd w:val="clear" w:color="auto" w:fill="auto"/>
                  <w:noWrap w:val="0"/>
                  <w:vAlign w:val="center"/>
                </w:tcPr>
                <w:p w14:paraId="665C0B2C">
                  <w:pPr>
                    <w:pStyle w:val="86"/>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rPr>
                    <w:t>广安市</w:t>
                  </w:r>
                </w:p>
              </w:tc>
              <w:tc>
                <w:tcPr>
                  <w:tcW w:w="489" w:type="pct"/>
                  <w:shd w:val="clear" w:color="auto" w:fill="auto"/>
                  <w:noWrap w:val="0"/>
                  <w:vAlign w:val="center"/>
                </w:tcPr>
                <w:p w14:paraId="32467EB0">
                  <w:pPr>
                    <w:pStyle w:val="86"/>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rPr>
                    <w:t>邻水县</w:t>
                  </w:r>
                </w:p>
              </w:tc>
              <w:tc>
                <w:tcPr>
                  <w:tcW w:w="859" w:type="pct"/>
                  <w:shd w:val="clear" w:color="auto" w:fill="auto"/>
                  <w:noWrap w:val="0"/>
                  <w:vAlign w:val="center"/>
                </w:tcPr>
                <w:p w14:paraId="5310897E">
                  <w:pPr>
                    <w:pStyle w:val="86"/>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Style w:val="27"/>
                      <w:rFonts w:hint="eastAsia" w:ascii="宋体" w:hAnsi="宋体" w:eastAsia="宋体" w:cs="Times New Roman"/>
                      <w:kern w:val="2"/>
                      <w:sz w:val="21"/>
                      <w:szCs w:val="21"/>
                      <w:lang w:val="en-US" w:eastAsia="zh-CN" w:bidi="ar-SA"/>
                    </w:rPr>
                    <w:t>环境综合管控单元</w:t>
                  </w:r>
                </w:p>
              </w:tc>
              <w:tc>
                <w:tcPr>
                  <w:tcW w:w="927" w:type="pct"/>
                  <w:shd w:val="clear" w:color="auto" w:fill="auto"/>
                  <w:noWrap w:val="0"/>
                  <w:vAlign w:val="center"/>
                </w:tcPr>
                <w:p w14:paraId="1937A7A4">
                  <w:pPr>
                    <w:pStyle w:val="86"/>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Style w:val="27"/>
                      <w:rFonts w:hint="eastAsia" w:ascii="宋体" w:hAnsi="宋体" w:eastAsia="宋体" w:cs="Times New Roman"/>
                      <w:kern w:val="2"/>
                      <w:sz w:val="21"/>
                      <w:szCs w:val="21"/>
                      <w:lang w:val="en-US" w:eastAsia="zh-CN" w:bidi="ar-SA"/>
                    </w:rPr>
                    <w:t>环境综合管控单元一般管控单元</w:t>
                  </w:r>
                </w:p>
              </w:tc>
            </w:tr>
            <w:tr w14:paraId="0153A5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1233" w:type="pct"/>
                  <w:shd w:val="clear" w:color="auto" w:fill="auto"/>
                  <w:noWrap w:val="0"/>
                  <w:vAlign w:val="center"/>
                </w:tcPr>
                <w:p w14:paraId="28AEA960">
                  <w:pPr>
                    <w:pStyle w:val="86"/>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Style w:val="27"/>
                      <w:rFonts w:hint="eastAsia" w:ascii="宋体" w:hAnsi="宋体" w:eastAsia="宋体" w:cs="Times New Roman"/>
                      <w:kern w:val="2"/>
                      <w:sz w:val="21"/>
                      <w:szCs w:val="21"/>
                      <w:lang w:val="en-US" w:eastAsia="zh-CN" w:bidi="ar-SA"/>
                    </w:rPr>
                    <w:t>YS5116233210001</w:t>
                  </w:r>
                </w:p>
              </w:tc>
              <w:tc>
                <w:tcPr>
                  <w:tcW w:w="828" w:type="pct"/>
                  <w:shd w:val="clear" w:color="auto" w:fill="auto"/>
                  <w:noWrap w:val="0"/>
                  <w:vAlign w:val="center"/>
                </w:tcPr>
                <w:p w14:paraId="3F0596CD">
                  <w:pPr>
                    <w:pStyle w:val="86"/>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Style w:val="27"/>
                      <w:rFonts w:hint="eastAsia" w:ascii="宋体" w:hAnsi="宋体" w:eastAsia="宋体" w:cs="Times New Roman"/>
                      <w:kern w:val="2"/>
                      <w:sz w:val="21"/>
                      <w:szCs w:val="21"/>
                      <w:lang w:val="en-US" w:eastAsia="zh-CN" w:bidi="ar-SA"/>
                    </w:rPr>
                    <w:t>大洪河-邻水县-黎家乡崔家岩村-控制单元</w:t>
                  </w:r>
                </w:p>
              </w:tc>
              <w:tc>
                <w:tcPr>
                  <w:tcW w:w="661" w:type="pct"/>
                  <w:shd w:val="clear" w:color="auto" w:fill="auto"/>
                  <w:noWrap w:val="0"/>
                  <w:vAlign w:val="center"/>
                </w:tcPr>
                <w:p w14:paraId="0D71FAB1">
                  <w:pPr>
                    <w:pStyle w:val="86"/>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rPr>
                    <w:t>广安市</w:t>
                  </w:r>
                </w:p>
              </w:tc>
              <w:tc>
                <w:tcPr>
                  <w:tcW w:w="489" w:type="pct"/>
                  <w:shd w:val="clear" w:color="auto" w:fill="auto"/>
                  <w:noWrap w:val="0"/>
                  <w:vAlign w:val="center"/>
                </w:tcPr>
                <w:p w14:paraId="57CBB3FB">
                  <w:pPr>
                    <w:pStyle w:val="86"/>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rPr>
                    <w:t>邻水县</w:t>
                  </w:r>
                </w:p>
              </w:tc>
              <w:tc>
                <w:tcPr>
                  <w:tcW w:w="859" w:type="pct"/>
                  <w:shd w:val="clear" w:color="auto" w:fill="auto"/>
                  <w:noWrap w:val="0"/>
                  <w:vAlign w:val="center"/>
                </w:tcPr>
                <w:p w14:paraId="586E7955">
                  <w:pPr>
                    <w:pStyle w:val="86"/>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Style w:val="27"/>
                      <w:rFonts w:hint="eastAsia" w:ascii="宋体" w:hAnsi="宋体" w:eastAsia="宋体" w:cs="Times New Roman"/>
                      <w:kern w:val="2"/>
                      <w:sz w:val="21"/>
                      <w:szCs w:val="21"/>
                      <w:lang w:val="en-US" w:eastAsia="zh-CN" w:bidi="ar-SA"/>
                    </w:rPr>
                    <w:t>水环境管控分区</w:t>
                  </w:r>
                </w:p>
              </w:tc>
              <w:tc>
                <w:tcPr>
                  <w:tcW w:w="927" w:type="pct"/>
                  <w:shd w:val="clear" w:color="auto" w:fill="auto"/>
                  <w:noWrap w:val="0"/>
                  <w:vAlign w:val="center"/>
                </w:tcPr>
                <w:p w14:paraId="104B7DE3">
                  <w:pPr>
                    <w:pStyle w:val="86"/>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Style w:val="27"/>
                      <w:rFonts w:hint="eastAsia" w:ascii="宋体" w:hAnsi="宋体" w:eastAsia="宋体" w:cs="Times New Roman"/>
                      <w:kern w:val="2"/>
                      <w:sz w:val="21"/>
                      <w:szCs w:val="21"/>
                      <w:lang w:val="en-US" w:eastAsia="zh-CN" w:bidi="ar-SA"/>
                    </w:rPr>
                    <w:t>水环境一般管控区</w:t>
                  </w:r>
                </w:p>
              </w:tc>
            </w:tr>
            <w:tr w14:paraId="597299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1233" w:type="pct"/>
                  <w:shd w:val="clear" w:color="auto" w:fill="auto"/>
                  <w:noWrap w:val="0"/>
                  <w:vAlign w:val="center"/>
                </w:tcPr>
                <w:p w14:paraId="50C527EC">
                  <w:pPr>
                    <w:pStyle w:val="86"/>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Style w:val="27"/>
                      <w:rFonts w:hint="eastAsia" w:ascii="宋体" w:hAnsi="宋体" w:eastAsia="宋体" w:cs="Times New Roman"/>
                      <w:kern w:val="2"/>
                      <w:sz w:val="21"/>
                      <w:szCs w:val="21"/>
                      <w:lang w:val="en-US" w:eastAsia="zh-CN" w:bidi="ar-SA"/>
                    </w:rPr>
                    <w:t>YS5116233310001</w:t>
                  </w:r>
                </w:p>
              </w:tc>
              <w:tc>
                <w:tcPr>
                  <w:tcW w:w="828" w:type="pct"/>
                  <w:shd w:val="clear" w:color="auto" w:fill="auto"/>
                  <w:noWrap w:val="0"/>
                  <w:vAlign w:val="center"/>
                </w:tcPr>
                <w:p w14:paraId="3B812932">
                  <w:pPr>
                    <w:pStyle w:val="86"/>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Style w:val="27"/>
                      <w:rFonts w:hint="eastAsia" w:ascii="宋体" w:hAnsi="宋体" w:eastAsia="宋体" w:cs="Times New Roman"/>
                      <w:kern w:val="2"/>
                      <w:sz w:val="21"/>
                      <w:szCs w:val="21"/>
                      <w:lang w:val="en-US" w:eastAsia="zh-CN" w:bidi="ar-SA"/>
                    </w:rPr>
                    <w:t>邻水县大气环境一般管控区</w:t>
                  </w:r>
                </w:p>
              </w:tc>
              <w:tc>
                <w:tcPr>
                  <w:tcW w:w="661" w:type="pct"/>
                  <w:shd w:val="clear" w:color="auto" w:fill="auto"/>
                  <w:noWrap w:val="0"/>
                  <w:vAlign w:val="center"/>
                </w:tcPr>
                <w:p w14:paraId="4B67FE47">
                  <w:pPr>
                    <w:pStyle w:val="86"/>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rPr>
                    <w:t>广安市</w:t>
                  </w:r>
                </w:p>
              </w:tc>
              <w:tc>
                <w:tcPr>
                  <w:tcW w:w="489" w:type="pct"/>
                  <w:shd w:val="clear" w:color="auto" w:fill="auto"/>
                  <w:noWrap w:val="0"/>
                  <w:vAlign w:val="center"/>
                </w:tcPr>
                <w:p w14:paraId="6ADEE6FD">
                  <w:pPr>
                    <w:pStyle w:val="86"/>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rPr>
                    <w:t>邻水县</w:t>
                  </w:r>
                </w:p>
              </w:tc>
              <w:tc>
                <w:tcPr>
                  <w:tcW w:w="859" w:type="pct"/>
                  <w:shd w:val="clear" w:color="auto" w:fill="auto"/>
                  <w:noWrap w:val="0"/>
                  <w:vAlign w:val="center"/>
                </w:tcPr>
                <w:p w14:paraId="58C8956B">
                  <w:pPr>
                    <w:pStyle w:val="86"/>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Style w:val="27"/>
                      <w:rFonts w:hint="eastAsia" w:ascii="宋体" w:hAnsi="宋体" w:eastAsia="宋体" w:cs="Times New Roman"/>
                      <w:kern w:val="2"/>
                      <w:sz w:val="21"/>
                      <w:szCs w:val="21"/>
                      <w:lang w:val="en-US" w:eastAsia="zh-CN" w:bidi="ar-SA"/>
                    </w:rPr>
                    <w:t>大气环境管控分区</w:t>
                  </w:r>
                </w:p>
              </w:tc>
              <w:tc>
                <w:tcPr>
                  <w:tcW w:w="927" w:type="pct"/>
                  <w:shd w:val="clear" w:color="auto" w:fill="auto"/>
                  <w:noWrap w:val="0"/>
                  <w:vAlign w:val="center"/>
                </w:tcPr>
                <w:p w14:paraId="246CC44F">
                  <w:pPr>
                    <w:pStyle w:val="86"/>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Style w:val="27"/>
                      <w:rFonts w:hint="eastAsia" w:ascii="宋体" w:hAnsi="宋体" w:eastAsia="宋体" w:cs="Times New Roman"/>
                      <w:kern w:val="2"/>
                      <w:sz w:val="21"/>
                      <w:szCs w:val="21"/>
                      <w:lang w:val="en-US" w:eastAsia="zh-CN" w:bidi="ar-SA"/>
                    </w:rPr>
                    <w:t>大气环境一般管控区</w:t>
                  </w:r>
                </w:p>
              </w:tc>
            </w:tr>
          </w:tbl>
          <w:p w14:paraId="41AC2DCF">
            <w:pPr>
              <w:keepNext w:val="0"/>
              <w:keepLines w:val="0"/>
              <w:pageBreakBefore w:val="0"/>
              <w:widowControl/>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0" w:firstLineChars="200"/>
              <w:jc w:val="left"/>
              <w:textAlignment w:val="auto"/>
              <w:rPr>
                <w:rFonts w:hint="default" w:ascii="Times New Roman" w:hAnsi="Times New Roman" w:eastAsia="宋体" w:cs="Times New Roman"/>
                <w:bCs/>
                <w:color w:val="auto"/>
                <w:sz w:val="24"/>
              </w:rPr>
            </w:pPr>
            <w:r>
              <w:rPr>
                <w:rFonts w:hint="eastAsia" w:ascii="Times New Roman" w:hAnsi="Times New Roman" w:eastAsia="宋体" w:cs="宋体"/>
                <w:color w:val="000000"/>
                <w:kern w:val="0"/>
                <w:sz w:val="24"/>
                <w:szCs w:val="24"/>
                <w:lang w:val="en-US" w:eastAsia="zh-CN" w:bidi="ar"/>
              </w:rPr>
              <w:t>由以上分析可知，本项目所在地为环境一般管控单元（管控单元名称：邻水县一般管控单元，管控单元编号：ZH51162330001）。</w:t>
            </w:r>
            <w:r>
              <w:rPr>
                <w:rFonts w:hint="eastAsia" w:ascii="Times New Roman" w:hAnsi="Times New Roman" w:eastAsia="宋体" w:cs="Times New Roman"/>
                <w:color w:val="auto"/>
                <w:sz w:val="24"/>
              </w:rPr>
              <w:t>项目与广安市生态保护红线位置关系如下图1-</w:t>
            </w:r>
            <w:r>
              <w:rPr>
                <w:rFonts w:hint="eastAsia" w:ascii="Times New Roman" w:hAnsi="Times New Roman" w:eastAsia="宋体" w:cs="Times New Roman"/>
                <w:color w:val="auto"/>
                <w:sz w:val="24"/>
                <w:lang w:val="en-US" w:eastAsia="zh-CN"/>
              </w:rPr>
              <w:t>2</w:t>
            </w:r>
            <w:r>
              <w:rPr>
                <w:rFonts w:hint="eastAsia"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项目与</w:t>
            </w:r>
            <w:r>
              <w:rPr>
                <w:rFonts w:hint="eastAsia" w:ascii="Times New Roman" w:hAnsi="Times New Roman" w:eastAsia="宋体" w:cs="Times New Roman"/>
                <w:color w:val="auto"/>
                <w:sz w:val="24"/>
              </w:rPr>
              <w:t>广安市生态环境分区管控图</w:t>
            </w:r>
            <w:r>
              <w:rPr>
                <w:rFonts w:hint="eastAsia" w:ascii="Times New Roman" w:hAnsi="Times New Roman" w:eastAsia="宋体" w:cs="Times New Roman"/>
                <w:color w:val="auto"/>
                <w:sz w:val="24"/>
                <w:lang w:val="en-US" w:eastAsia="zh-CN"/>
              </w:rPr>
              <w:t>位置关系见下图1-3所示，</w:t>
            </w:r>
            <w:r>
              <w:rPr>
                <w:rFonts w:hint="eastAsia" w:ascii="Times New Roman" w:hAnsi="Times New Roman" w:eastAsia="宋体" w:cs="Times New Roman"/>
                <w:color w:val="auto"/>
                <w:sz w:val="24"/>
              </w:rPr>
              <w:t>项目与管控单元相对位置如下图1-</w:t>
            </w:r>
            <w:r>
              <w:rPr>
                <w:rFonts w:hint="eastAsia" w:ascii="Times New Roman" w:hAnsi="Times New Roman" w:eastAsia="宋体" w:cs="Times New Roman"/>
                <w:color w:val="auto"/>
                <w:sz w:val="24"/>
                <w:lang w:val="en-US" w:eastAsia="zh-CN"/>
              </w:rPr>
              <w:t>4</w:t>
            </w:r>
            <w:r>
              <w:rPr>
                <w:rFonts w:hint="eastAsia" w:ascii="Times New Roman" w:hAnsi="Times New Roman" w:eastAsia="宋体" w:cs="Times New Roman"/>
                <w:color w:val="auto"/>
                <w:sz w:val="24"/>
              </w:rPr>
              <w:t>所示：</w:t>
            </w:r>
          </w:p>
          <w:p w14:paraId="6F041377">
            <w:pPr>
              <w:pStyle w:val="72"/>
              <w:keepNext w:val="0"/>
              <w:keepLines w:val="0"/>
              <w:suppressLineNumbers w:val="0"/>
              <w:spacing w:before="0" w:beforeAutospacing="0" w:after="0" w:afterAutospacing="0"/>
              <w:ind w:left="0" w:right="0" w:firstLine="0"/>
              <w:jc w:val="center"/>
              <w:rPr>
                <w:rFonts w:hint="eastAsia" w:ascii="Times New Roman" w:hAnsi="Times New Roman" w:eastAsia="宋体" w:cs="Times New Roman"/>
                <w:bCs/>
                <w:color w:val="auto"/>
              </w:rPr>
            </w:pPr>
            <w:r>
              <w:rPr>
                <w:rFonts w:hint="default" w:ascii="Times New Roman" w:hAnsi="Times New Roman" w:eastAsia="宋体" w:cs="Times New Roman"/>
                <w:color w:val="auto"/>
              </w:rPr>
              <mc:AlternateContent>
                <mc:Choice Requires="wps">
                  <w:drawing>
                    <wp:anchor distT="0" distB="0" distL="114300" distR="114300" simplePos="0" relativeHeight="251662336" behindDoc="0" locked="0" layoutInCell="1" allowOverlap="1">
                      <wp:simplePos x="0" y="0"/>
                      <wp:positionH relativeFrom="column">
                        <wp:posOffset>2187575</wp:posOffset>
                      </wp:positionH>
                      <wp:positionV relativeFrom="paragraph">
                        <wp:posOffset>1428115</wp:posOffset>
                      </wp:positionV>
                      <wp:extent cx="965200" cy="321310"/>
                      <wp:effectExtent l="4445" t="4445" r="20955" b="379095"/>
                      <wp:wrapNone/>
                      <wp:docPr id="1" name="矩形标注 32"/>
                      <wp:cNvGraphicFramePr/>
                      <a:graphic xmlns:a="http://schemas.openxmlformats.org/drawingml/2006/main">
                        <a:graphicData uri="http://schemas.microsoft.com/office/word/2010/wordprocessingShape">
                          <wps:wsp>
                            <wps:cNvSpPr/>
                            <wps:spPr>
                              <a:xfrm rot="10800000">
                                <a:off x="0" y="0"/>
                                <a:ext cx="965200" cy="321310"/>
                              </a:xfrm>
                              <a:prstGeom prst="wedgeRectCallout">
                                <a:avLst>
                                  <a:gd name="adj1" fmla="val -49078"/>
                                  <a:gd name="adj2" fmla="val -160474"/>
                                </a:avLst>
                              </a:prstGeom>
                              <a:noFill/>
                              <a:ln w="9525" cap="flat" cmpd="sng">
                                <a:solidFill>
                                  <a:srgbClr val="FF0000"/>
                                </a:solidFill>
                                <a:prstDash val="solid"/>
                                <a:miter/>
                                <a:headEnd type="none" w="med" len="med"/>
                                <a:tailEnd type="none" w="med" len="med"/>
                              </a:ln>
                            </wps:spPr>
                            <wps:txbx>
                              <w:txbxContent>
                                <w:p w14:paraId="3BB6E504">
                                  <w:pPr>
                                    <w:jc w:val="center"/>
                                    <w:rPr>
                                      <w:b/>
                                      <w:bCs/>
                                    </w:rPr>
                                  </w:pPr>
                                  <w:r>
                                    <w:rPr>
                                      <w:rFonts w:hint="eastAsia"/>
                                      <w:b/>
                                      <w:bCs/>
                                    </w:rPr>
                                    <w:t>本项目位置</w:t>
                                  </w:r>
                                </w:p>
                              </w:txbxContent>
                            </wps:txbx>
                            <wps:bodyPr wrap="square" upright="1"/>
                          </wps:wsp>
                        </a:graphicData>
                      </a:graphic>
                    </wp:anchor>
                  </w:drawing>
                </mc:Choice>
                <mc:Fallback>
                  <w:pict>
                    <v:shape id="矩形标注 32" o:spid="_x0000_s1026" o:spt="61" type="#_x0000_t61" style="position:absolute;left:0pt;margin-left:172.25pt;margin-top:112.45pt;height:25.3pt;width:76pt;rotation:11796480f;z-index:251662336;mso-width-relative:page;mso-height-relative:page;" filled="f" stroked="t" coordsize="21600,21600" o:gfxdata="UEsDBAoAAAAAAIdO4kAAAAAAAAAAAAAAAAAEAAAAZHJzL1BLAwQUAAAACACHTuJABi8SI9oAAAAL&#10;AQAADwAAAGRycy9kb3ducmV2LnhtbE2PTW/CMAyG75P2HyJP2m2kLS0fXVMk0DhstwGX3UJj2mqN&#10;U5oA5d/PO21Hv370+nGxGm0nrjj41pGCeBKBQKqcaalWcNhvXxYgfNBkdOcIFdzRw6p8fCh0btyN&#10;PvG6C7XgEvK5VtCE0OdS+qpBq/3E9Ui8O7nB6sDjUEsz6BuX204mUTSTVrfEFxrd46bB6nt3sQrW&#10;b9P5+X3bbPqv+HAf9+Hs1vZDqeenOHoFEXAMfzD86rM6lOx0dBcyXnQKpmmaMaogSdIlCCbS5YyT&#10;IyfzLANZFvL/D+UPUEsDBBQAAAAIAIdO4kCePKA/SgIAAIMEAAAOAAAAZHJzL2Uyb0RvYy54bWyt&#10;VMty0zAU3TPDP2i0b/xI0qaeOF00hA0DHQofoFiyLUYvJCV2voDPgGFV1qz5HMpvcCWb0JZNFnjh&#10;ubKuzj3n3Csvr3op0J5Zx7UqcTZJMWKq0pSrpsTv323OFhg5TxQlQitW4gNz+Gr1/NmyMwXLdasF&#10;ZRYBiHJFZ0rcem+KJHFVyyRxE22Ygs1aW0k8LG2TUEs6QJciydP0POm0pcbqijkHX9fDJh4R7SmA&#10;uq55xda62kmm/IBqmSAeJLmWG4dXkW1ds8q/qWvHPBIlBqU+vqEIxNvwTlZLUjSWmJZXIwVyCoUn&#10;miThCooeodbEE7Sz/B8oySurna79pNIyGYRER0BFlj7x5rYlhkUtYLUzR9Pd/4OtXu9vLOIUJgEj&#10;RSQ0/Nfnbz9/fL3/8un++x2a5sGizrgCMm/NjR1XDsKgt6+tRFaDr1m6SMMTbQBhqI8uH44us96j&#10;Cj5ens9hDjCqYGuaZ9MsdiEZsAKmsc6/ZFqiEJS4Y7Rhb6GT10QIvfOxANm/cj4aTkfahH4ACbUU&#10;0L89EehsdpleLMYGP0jKHyVl5+nsYhaygMAICtEfCqGC0hsuRBwUoVAHAub5HOgTGP4ahg5CacBA&#10;p5pIzWnBaTgSDjvbbK+FRcCoxJtNNGgo9igt1FsT1w55cWtgLrlnwXNStIzQF4oifzDQJAV3Ewcy&#10;klGMBIOrHKKY6QkXp2SCTqFAeOju0M8Q+X7bA0wIt5oeYDo6uB4g7+OOWKi5M5Y3bWh4dC3kwWxG&#10;/8Z7FIb/4TqW+PvvWP0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Bi8SI9oAAAALAQAADwAAAAAA&#10;AAABACAAAAAiAAAAZHJzL2Rvd25yZXYueG1sUEsBAhQAFAAAAAgAh07iQJ48oD9KAgAAgwQAAA4A&#10;AAAAAAAAAQAgAAAAKQEAAGRycy9lMm9Eb2MueG1sUEsFBgAAAAAGAAYAWQEAAOUFAAAAAA==&#10;" adj="199,-23862">
                      <v:fill on="f" focussize="0,0"/>
                      <v:stroke color="#FF0000" joinstyle="miter"/>
                      <v:imagedata o:title=""/>
                      <o:lock v:ext="edit" aspectratio="f"/>
                      <v:textbox>
                        <w:txbxContent>
                          <w:p w14:paraId="3BB6E504">
                            <w:pPr>
                              <w:jc w:val="center"/>
                              <w:rPr>
                                <w:b/>
                                <w:bCs/>
                              </w:rPr>
                            </w:pPr>
                            <w:r>
                              <w:rPr>
                                <w:rFonts w:hint="eastAsia"/>
                                <w:b/>
                                <w:bCs/>
                              </w:rPr>
                              <w:t>本项目位置</w:t>
                            </w:r>
                          </w:p>
                        </w:txbxContent>
                      </v:textbox>
                    </v:shape>
                  </w:pict>
                </mc:Fallback>
              </mc:AlternateContent>
            </w:r>
            <w:r>
              <w:rPr>
                <w:rFonts w:hint="eastAsia" w:ascii="Times New Roman" w:hAnsi="Times New Roman" w:eastAsia="宋体" w:cs="Times New Roman"/>
                <w:bCs/>
                <w:color w:val="auto"/>
              </w:rPr>
              <w:drawing>
                <wp:inline distT="0" distB="0" distL="114300" distR="114300">
                  <wp:extent cx="4920615" cy="3256280"/>
                  <wp:effectExtent l="0" t="0" r="13335" b="1270"/>
                  <wp:docPr id="6" name="图片 32" descr="广安市生态保护红线图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2" descr="广安市生态保护红线图_00(1)"/>
                          <pic:cNvPicPr>
                            <a:picLocks noChangeAspect="1"/>
                          </pic:cNvPicPr>
                        </pic:nvPicPr>
                        <pic:blipFill>
                          <a:blip r:embed="rId11"/>
                          <a:stretch>
                            <a:fillRect/>
                          </a:stretch>
                        </pic:blipFill>
                        <pic:spPr>
                          <a:xfrm>
                            <a:off x="0" y="0"/>
                            <a:ext cx="4920615" cy="3256280"/>
                          </a:xfrm>
                          <a:prstGeom prst="rect">
                            <a:avLst/>
                          </a:prstGeom>
                          <a:noFill/>
                          <a:ln>
                            <a:noFill/>
                          </a:ln>
                        </pic:spPr>
                      </pic:pic>
                    </a:graphicData>
                  </a:graphic>
                </wp:inline>
              </w:drawing>
            </w:r>
          </w:p>
          <w:p w14:paraId="2E802E1C">
            <w:pPr>
              <w:pStyle w:val="11"/>
              <w:keepNext w:val="0"/>
              <w:keepLines w:val="0"/>
              <w:suppressLineNumbers w:val="0"/>
              <w:spacing w:beforeAutospacing="0" w:afterAutospacing="0"/>
              <w:ind w:left="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图1-</w:t>
            </w:r>
            <w:r>
              <w:rPr>
                <w:rFonts w:hint="eastAsia" w:ascii="Times New Roman" w:hAnsi="Times New Roman" w:eastAsia="宋体" w:cs="Times New Roman"/>
                <w:b/>
                <w:color w:val="auto"/>
                <w:szCs w:val="21"/>
                <w:lang w:val="en-US" w:eastAsia="zh-CN"/>
              </w:rPr>
              <w:t>2</w:t>
            </w:r>
            <w:r>
              <w:rPr>
                <w:rFonts w:hint="eastAsia" w:ascii="Times New Roman" w:hAnsi="Times New Roman" w:eastAsia="宋体" w:cs="Times New Roman"/>
                <w:b/>
                <w:color w:val="auto"/>
                <w:szCs w:val="21"/>
              </w:rPr>
              <w:t xml:space="preserve"> </w:t>
            </w:r>
            <w:r>
              <w:rPr>
                <w:rFonts w:hint="default" w:ascii="Times New Roman" w:hAnsi="Times New Roman" w:eastAsia="宋体" w:cs="Times New Roman"/>
                <w:b/>
                <w:color w:val="auto"/>
                <w:szCs w:val="21"/>
              </w:rPr>
              <w:t xml:space="preserve"> </w:t>
            </w:r>
            <w:r>
              <w:rPr>
                <w:rFonts w:hint="eastAsia" w:ascii="Times New Roman" w:hAnsi="Times New Roman" w:eastAsia="宋体" w:cs="Times New Roman"/>
                <w:b/>
                <w:color w:val="auto"/>
                <w:szCs w:val="21"/>
              </w:rPr>
              <w:t>广安</w:t>
            </w:r>
            <w:r>
              <w:rPr>
                <w:rFonts w:hint="default" w:ascii="Times New Roman" w:hAnsi="Times New Roman" w:eastAsia="宋体" w:cs="Times New Roman"/>
                <w:b/>
                <w:color w:val="auto"/>
                <w:szCs w:val="21"/>
              </w:rPr>
              <w:t>市</w:t>
            </w:r>
            <w:r>
              <w:rPr>
                <w:rFonts w:hint="eastAsia" w:ascii="Times New Roman" w:hAnsi="Times New Roman" w:eastAsia="宋体" w:cs="Times New Roman"/>
                <w:b/>
                <w:color w:val="auto"/>
                <w:szCs w:val="21"/>
              </w:rPr>
              <w:t>生态保护红线</w:t>
            </w:r>
            <w:r>
              <w:rPr>
                <w:rFonts w:hint="default" w:ascii="Times New Roman" w:hAnsi="Times New Roman" w:eastAsia="宋体" w:cs="Times New Roman"/>
                <w:b/>
                <w:color w:val="auto"/>
                <w:szCs w:val="21"/>
              </w:rPr>
              <w:t>图</w:t>
            </w:r>
          </w:p>
          <w:p w14:paraId="3F1A3638">
            <w:pPr>
              <w:keepNext w:val="0"/>
              <w:keepLines w:val="0"/>
              <w:suppressLineNumbers w:val="0"/>
              <w:spacing w:before="0" w:beforeAutospacing="0" w:after="0" w:afterAutospacing="0"/>
              <w:ind w:left="0" w:right="0"/>
              <w:rPr>
                <w:rFonts w:hint="eastAsia" w:ascii="Times New Roman" w:hAnsi="Times New Roman" w:eastAsia="宋体"/>
                <w:lang w:eastAsia="zh-CN"/>
              </w:rPr>
            </w:pPr>
            <w:r>
              <w:rPr>
                <w:rFonts w:hint="default" w:ascii="Times New Roman" w:hAnsi="Times New Roman" w:eastAsia="宋体" w:cs="Times New Roman"/>
                <w:color w:val="auto"/>
              </w:rPr>
              <mc:AlternateContent>
                <mc:Choice Requires="wps">
                  <w:drawing>
                    <wp:anchor distT="0" distB="0" distL="114300" distR="114300" simplePos="0" relativeHeight="251664384" behindDoc="0" locked="0" layoutInCell="1" allowOverlap="1">
                      <wp:simplePos x="0" y="0"/>
                      <wp:positionH relativeFrom="column">
                        <wp:posOffset>2390140</wp:posOffset>
                      </wp:positionH>
                      <wp:positionV relativeFrom="paragraph">
                        <wp:posOffset>1855470</wp:posOffset>
                      </wp:positionV>
                      <wp:extent cx="965200" cy="321310"/>
                      <wp:effectExtent l="4445" t="4445" r="363855" b="245745"/>
                      <wp:wrapNone/>
                      <wp:docPr id="3" name="矩形标注 32"/>
                      <wp:cNvGraphicFramePr/>
                      <a:graphic xmlns:a="http://schemas.openxmlformats.org/drawingml/2006/main">
                        <a:graphicData uri="http://schemas.microsoft.com/office/word/2010/wordprocessingShape">
                          <wps:wsp>
                            <wps:cNvSpPr/>
                            <wps:spPr>
                              <a:xfrm rot="10800000">
                                <a:off x="0" y="0"/>
                                <a:ext cx="965200" cy="321310"/>
                              </a:xfrm>
                              <a:prstGeom prst="wedgeRectCallout">
                                <a:avLst>
                                  <a:gd name="adj1" fmla="val -82167"/>
                                  <a:gd name="adj2" fmla="val -120352"/>
                                </a:avLst>
                              </a:prstGeom>
                              <a:noFill/>
                              <a:ln w="9525" cap="flat" cmpd="sng">
                                <a:solidFill>
                                  <a:srgbClr val="FF0000"/>
                                </a:solidFill>
                                <a:prstDash val="solid"/>
                                <a:miter/>
                                <a:headEnd type="none" w="med" len="med"/>
                                <a:tailEnd type="none" w="med" len="med"/>
                              </a:ln>
                            </wps:spPr>
                            <wps:txbx>
                              <w:txbxContent>
                                <w:p w14:paraId="6D252CF5">
                                  <w:pPr>
                                    <w:jc w:val="center"/>
                                    <w:rPr>
                                      <w:b/>
                                      <w:bCs/>
                                    </w:rPr>
                                  </w:pPr>
                                  <w:r>
                                    <w:rPr>
                                      <w:rFonts w:hint="eastAsia"/>
                                      <w:b/>
                                      <w:bCs/>
                                    </w:rPr>
                                    <w:t>本项目位置</w:t>
                                  </w:r>
                                </w:p>
                              </w:txbxContent>
                            </wps:txbx>
                            <wps:bodyPr wrap="square" upright="1"/>
                          </wps:wsp>
                        </a:graphicData>
                      </a:graphic>
                    </wp:anchor>
                  </w:drawing>
                </mc:Choice>
                <mc:Fallback>
                  <w:pict>
                    <v:shape id="矩形标注 32" o:spid="_x0000_s1026" o:spt="61" type="#_x0000_t61" style="position:absolute;left:0pt;margin-left:188.2pt;margin-top:146.1pt;height:25.3pt;width:76pt;rotation:11796480f;z-index:251664384;mso-width-relative:page;mso-height-relative:page;" filled="f" stroked="t" coordsize="21600,21600" o:gfxdata="UEsDBAoAAAAAAIdO4kAAAAAAAAAAAAAAAAAEAAAAZHJzL1BLAwQUAAAACACHTuJA4eoJQ9cAAAAL&#10;AQAADwAAAGRycy9kb3ducmV2LnhtbE2Pz06EMBDG7ya+QzMm3tyydV1ZpOzBaOImehB9gEJnAaVT&#10;QsuCPr3jSY8z3y/fn3y/uF6ccAydJw3rVQICqfa2o0bD+9vjVQoiREPW9J5QwxcG2BfnZ7nJrJ/p&#10;FU9lbASbUMiMhjbGIZMy1C06E1Z+QGLt6EdnIp9jI+1oZjZ3vVRJspXOdMQJrRnwvsX6s5wchzw9&#10;fB/kh1rSw8tzLKlqpoCz1pcX6+QORMQl/sHwW5+rQ8GdKj+RDaLXcH273TCqQe2UAsHEjUr5U7G0&#10;USnIIpf/NxQ/UEsDBBQAAAAIAIdO4kA4fvXHSQIAAIMEAAAOAAAAZHJzL2Uyb0RvYy54bWytVEuS&#10;0zAQ3VPFHVTaT/xJJQRXnFlMCBsKphg4gCLJtij9kJQ4OQHHgGLFrFlzHIZr0JJNmBk2WeCFq2W1&#10;Xr/3uuXl5UFJtOfOC6NrXExyjLimhgnd1vj9u83FAiMfiGZEGs1rfOQeX66ePln2tuKl6Yxk3CEA&#10;0b7qbY27EGyVZZ52XBE/MZZr2GyMUyTA0rUZc6QHdCWzMs/nWW8cs85Q7j18XQ+beER05wCaphGU&#10;rw3dKa7DgOq4JAEk+U5Yj1eJbdNwGt40jecByRqD0pDeUATibXxnqyWpWkdsJ+hIgZxD4ZEmRYSG&#10;oieoNQkE7Zz4B0oJ6ow3TZhQo7JBSHIEVBT5I29uOmJ50gJWe3sy3f8/WPp6f+2QYDWeYqSJgob/&#10;+nz788fXuy+f7r5/Q9MyWtRbX0Hmjb1248pDGPUeGqeQM+BrkS/y+CQbQBg6JJePJ5f5ISAKH5/P&#10;ZzAHGFHYmpbFtEhdyAasiGmdDy+5USgGNe45a/lb6OQVkdLsQipA9q98SIazkTZhHwqMGiWhf3si&#10;0cWiLObPxgbfSyofJBVlPp0ljUBgBIXoD4VYQZuNkDINitSoBwGzcgb0CQx/A0MHobJgoNdtouaN&#10;FCweiYe9a7dX0iFgVOPNJhkEUFDiQVqstya+G/LS1sBcicCj56TqOGEvNEPhaKFJGu4mjmQUZxhJ&#10;Dlc5RikzECHPyQQSUgOX2N2hnzEKh+0BYGK4NewI09HD9QB5H3fEQc2ddaLtYsNjtXQYZjNJGu9R&#10;HP7765T199+x+g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h6glD1wAAAAsBAAAPAAAAAAAAAAEA&#10;IAAAACIAAABkcnMvZG93bnJldi54bWxQSwECFAAUAAAACACHTuJAOH71x0kCAACDBAAADgAAAAAA&#10;AAABACAAAAAmAQAAZHJzL2Uyb0RvYy54bWxQSwUGAAAAAAYABgBZAQAA4QUAAAAA&#10;" adj="-6948,-15196">
                      <v:fill on="f" focussize="0,0"/>
                      <v:stroke color="#FF0000" joinstyle="miter"/>
                      <v:imagedata o:title=""/>
                      <o:lock v:ext="edit" aspectratio="f"/>
                      <v:textbox>
                        <w:txbxContent>
                          <w:p w14:paraId="6D252CF5">
                            <w:pPr>
                              <w:jc w:val="center"/>
                              <w:rPr>
                                <w:b/>
                                <w:bCs/>
                              </w:rPr>
                            </w:pPr>
                            <w:r>
                              <w:rPr>
                                <w:rFonts w:hint="eastAsia"/>
                                <w:b/>
                                <w:bCs/>
                              </w:rPr>
                              <w:t>本项目位置</w:t>
                            </w:r>
                          </w:p>
                        </w:txbxContent>
                      </v:textbox>
                    </v:shape>
                  </w:pict>
                </mc:Fallback>
              </mc:AlternateContent>
            </w:r>
            <w:r>
              <w:rPr>
                <w:rFonts w:hint="default" w:ascii="Times New Roman" w:hAnsi="Times New Roman" w:eastAsia="宋体"/>
              </w:rPr>
              <w:drawing>
                <wp:inline distT="0" distB="0" distL="114300" distR="114300">
                  <wp:extent cx="5095875" cy="3638550"/>
                  <wp:effectExtent l="0" t="0" r="9525"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2"/>
                          <a:stretch>
                            <a:fillRect/>
                          </a:stretch>
                        </pic:blipFill>
                        <pic:spPr>
                          <a:xfrm>
                            <a:off x="0" y="0"/>
                            <a:ext cx="5095875" cy="3638550"/>
                          </a:xfrm>
                          <a:prstGeom prst="rect">
                            <a:avLst/>
                          </a:prstGeom>
                          <a:noFill/>
                          <a:ln>
                            <a:noFill/>
                          </a:ln>
                        </pic:spPr>
                      </pic:pic>
                    </a:graphicData>
                  </a:graphic>
                </wp:inline>
              </w:drawing>
            </w:r>
          </w:p>
          <w:p w14:paraId="232CDCA3">
            <w:pPr>
              <w:pStyle w:val="32"/>
              <w:keepNext w:val="0"/>
              <w:keepLines w:val="0"/>
              <w:suppressLineNumbers w:val="0"/>
              <w:spacing w:before="0" w:beforeAutospacing="0" w:afterAutospacing="0"/>
              <w:ind w:left="0" w:leftChars="0" w:right="0" w:rightChars="0" w:firstLine="0" w:firstLineChars="0"/>
              <w:jc w:val="center"/>
              <w:rPr>
                <w:rFonts w:hint="eastAsia" w:ascii="Times New Roman" w:hAnsi="Times New Roman" w:eastAsia="宋体"/>
                <w:lang w:eastAsia="zh-CN"/>
              </w:rPr>
            </w:pPr>
            <w:r>
              <w:rPr>
                <w:rFonts w:hint="default" w:ascii="Times New Roman" w:hAnsi="Times New Roman" w:eastAsia="宋体" w:cs="Times New Roman"/>
                <w:b/>
                <w:color w:val="auto"/>
                <w:sz w:val="21"/>
                <w:szCs w:val="21"/>
              </w:rPr>
              <w:t>图1-</w:t>
            </w:r>
            <w:r>
              <w:rPr>
                <w:rFonts w:hint="eastAsia" w:ascii="Times New Roman" w:hAnsi="Times New Roman" w:eastAsia="宋体" w:cs="Times New Roman"/>
                <w:b/>
                <w:color w:val="auto"/>
                <w:sz w:val="21"/>
                <w:szCs w:val="21"/>
                <w:lang w:val="en-US" w:eastAsia="zh-CN"/>
              </w:rPr>
              <w:t>3</w:t>
            </w:r>
            <w:r>
              <w:rPr>
                <w:rFonts w:hint="eastAsia" w:ascii="Times New Roman" w:hAnsi="Times New Roman" w:eastAsia="宋体" w:cs="Times New Roman"/>
                <w:b/>
                <w:color w:val="auto"/>
                <w:sz w:val="21"/>
                <w:szCs w:val="21"/>
              </w:rPr>
              <w:t xml:space="preserve"> </w:t>
            </w:r>
            <w:r>
              <w:rPr>
                <w:rFonts w:hint="default" w:ascii="Times New Roman" w:hAnsi="Times New Roman" w:eastAsia="宋体" w:cs="Times New Roman"/>
                <w:b/>
                <w:color w:val="auto"/>
                <w:sz w:val="21"/>
                <w:szCs w:val="21"/>
              </w:rPr>
              <w:t xml:space="preserve"> </w:t>
            </w:r>
            <w:r>
              <w:rPr>
                <w:rFonts w:hint="eastAsia" w:ascii="Times New Roman" w:hAnsi="Times New Roman" w:eastAsia="宋体" w:cs="Times New Roman"/>
                <w:b/>
                <w:color w:val="auto"/>
                <w:sz w:val="21"/>
                <w:szCs w:val="21"/>
              </w:rPr>
              <w:t>广安</w:t>
            </w:r>
            <w:r>
              <w:rPr>
                <w:rFonts w:hint="default" w:ascii="Times New Roman" w:hAnsi="Times New Roman" w:eastAsia="宋体" w:cs="Times New Roman"/>
                <w:b/>
                <w:color w:val="auto"/>
                <w:sz w:val="21"/>
                <w:szCs w:val="21"/>
              </w:rPr>
              <w:t>市</w:t>
            </w:r>
            <w:r>
              <w:rPr>
                <w:rFonts w:hint="eastAsia" w:ascii="Times New Roman" w:hAnsi="Times New Roman" w:eastAsia="宋体" w:cs="Times New Roman"/>
                <w:b/>
                <w:color w:val="auto"/>
                <w:sz w:val="21"/>
                <w:szCs w:val="21"/>
              </w:rPr>
              <w:t>生态</w:t>
            </w:r>
            <w:r>
              <w:rPr>
                <w:rFonts w:hint="eastAsia" w:ascii="Times New Roman" w:hAnsi="Times New Roman" w:eastAsia="宋体" w:cs="Times New Roman"/>
                <w:b/>
                <w:color w:val="auto"/>
                <w:sz w:val="21"/>
                <w:szCs w:val="21"/>
                <w:lang w:val="en-US" w:eastAsia="zh-CN"/>
              </w:rPr>
              <w:t>环境分区管控</w:t>
            </w:r>
            <w:r>
              <w:rPr>
                <w:rFonts w:hint="default" w:ascii="Times New Roman" w:hAnsi="Times New Roman" w:eastAsia="宋体" w:cs="Times New Roman"/>
                <w:b/>
                <w:color w:val="auto"/>
                <w:sz w:val="21"/>
                <w:szCs w:val="21"/>
              </w:rPr>
              <w:t>图</w:t>
            </w:r>
          </w:p>
          <w:p w14:paraId="4EC5C50B">
            <w:pPr>
              <w:keepNext w:val="0"/>
              <w:keepLines w:val="0"/>
              <w:suppressLineNumbers w:val="0"/>
              <w:spacing w:before="0" w:beforeAutospacing="0" w:after="0" w:afterAutospacing="0"/>
              <w:ind w:left="0" w:right="0"/>
              <w:rPr>
                <w:rFonts w:hint="default"/>
              </w:rPr>
            </w:pPr>
          </w:p>
          <w:p w14:paraId="34DB7C78">
            <w:pPr>
              <w:pStyle w:val="11"/>
              <w:keepNext w:val="0"/>
              <w:keepLines w:val="0"/>
              <w:suppressLineNumbers w:val="0"/>
              <w:spacing w:before="0" w:beforeAutospacing="0" w:after="0" w:afterAutospacing="0" w:line="360" w:lineRule="auto"/>
              <w:ind w:left="0" w:leftChars="0" w:right="0" w:rightChars="0" w:firstLine="0" w:firstLineChars="0"/>
              <w:jc w:val="center"/>
              <w:rPr>
                <w:rFonts w:hint="eastAsia" w:ascii="Times New Roman" w:hAnsi="Times New Roman" w:eastAsia="宋体" w:cs="Times New Roman"/>
                <w:bCs/>
                <w:color w:val="auto"/>
                <w:sz w:val="24"/>
                <w:szCs w:val="24"/>
              </w:rPr>
            </w:pPr>
            <w:r>
              <w:rPr>
                <w:rFonts w:hint="default" w:ascii="Helvetica" w:hAnsi="Helvetica" w:eastAsia="Helvetica"/>
                <w:sz w:val="28"/>
                <w:szCs w:val="24"/>
              </w:rPr>
              <w:drawing>
                <wp:inline distT="0" distB="0" distL="114300" distR="114300">
                  <wp:extent cx="4977130" cy="3519805"/>
                  <wp:effectExtent l="0" t="0" r="13970" b="4445"/>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13"/>
                          <a:stretch>
                            <a:fillRect/>
                          </a:stretch>
                        </pic:blipFill>
                        <pic:spPr>
                          <a:xfrm>
                            <a:off x="0" y="0"/>
                            <a:ext cx="4977130" cy="3519805"/>
                          </a:xfrm>
                          <a:prstGeom prst="rect">
                            <a:avLst/>
                          </a:prstGeom>
                          <a:noFill/>
                          <a:ln>
                            <a:noFill/>
                          </a:ln>
                        </pic:spPr>
                      </pic:pic>
                    </a:graphicData>
                  </a:graphic>
                </wp:inline>
              </w:drawing>
            </w:r>
          </w:p>
          <w:p w14:paraId="15B64E0D">
            <w:pPr>
              <w:pStyle w:val="11"/>
              <w:keepNext w:val="0"/>
              <w:keepLines w:val="0"/>
              <w:suppressLineNumbers w:val="0"/>
              <w:spacing w:beforeAutospacing="0" w:afterAutospacing="0"/>
              <w:ind w:left="0"/>
              <w:jc w:val="center"/>
              <w:rPr>
                <w:rFonts w:hint="eastAsia" w:ascii="Times New Roman" w:hAnsi="Times New Roman" w:eastAsia="宋体" w:cs="Times New Roman"/>
                <w:b/>
                <w:color w:val="auto"/>
                <w:sz w:val="24"/>
                <w:szCs w:val="24"/>
                <w:lang w:eastAsia="zh-CN"/>
              </w:rPr>
            </w:pPr>
            <w:r>
              <w:rPr>
                <w:rFonts w:hint="eastAsia" w:ascii="Times New Roman" w:hAnsi="Times New Roman" w:eastAsia="宋体" w:cs="Times New Roman"/>
                <w:b/>
                <w:color w:val="auto"/>
                <w:sz w:val="21"/>
                <w:szCs w:val="21"/>
              </w:rPr>
              <w:t>图1-</w:t>
            </w:r>
            <w:r>
              <w:rPr>
                <w:rFonts w:hint="eastAsia" w:cs="Times New Roman"/>
                <w:b/>
                <w:color w:val="auto"/>
                <w:sz w:val="21"/>
                <w:szCs w:val="21"/>
                <w:lang w:val="en-US" w:eastAsia="zh-CN"/>
              </w:rPr>
              <w:t>4</w:t>
            </w:r>
            <w:r>
              <w:rPr>
                <w:rFonts w:hint="eastAsia" w:ascii="Times New Roman" w:hAnsi="Times New Roman" w:eastAsia="宋体" w:cs="Times New Roman"/>
                <w:b/>
                <w:color w:val="auto"/>
                <w:sz w:val="21"/>
                <w:szCs w:val="21"/>
              </w:rPr>
              <w:t xml:space="preserve">  项目与管控单元相对位置图</w:t>
            </w:r>
            <w:r>
              <w:rPr>
                <w:rFonts w:hint="default" w:ascii="Times New Roman" w:hAnsi="Times New Roman" w:eastAsia="宋体" w:cs="Times New Roman"/>
                <w:b/>
                <w:bCs/>
                <w:color w:val="auto"/>
                <w:sz w:val="21"/>
                <w:szCs w:val="21"/>
              </w:rPr>
              <w:t>（图中</w:t>
            </w:r>
            <w:r>
              <w:rPr>
                <w:rFonts w:hint="default" w:ascii="Times New Roman" w:hAnsi="Times New Roman" w:eastAsia="宋体" w:cs="Times New Roman"/>
                <w:b/>
                <w:bCs/>
                <w:color w:val="00FFFF"/>
                <w:sz w:val="21"/>
                <w:szCs w:val="21"/>
              </w:rPr>
              <w:t>▼</w:t>
            </w:r>
            <w:r>
              <w:rPr>
                <w:rFonts w:hint="default" w:ascii="Times New Roman" w:hAnsi="Times New Roman" w:eastAsia="宋体" w:cs="Times New Roman"/>
                <w:b/>
                <w:bCs/>
                <w:color w:val="auto"/>
                <w:sz w:val="21"/>
                <w:szCs w:val="21"/>
              </w:rPr>
              <w:t>表示项目位置）</w:t>
            </w:r>
          </w:p>
          <w:p w14:paraId="0AC9F55E">
            <w:pPr>
              <w:pStyle w:val="11"/>
              <w:keepNext w:val="0"/>
              <w:keepLines w:val="0"/>
              <w:suppressLineNumbers w:val="0"/>
              <w:spacing w:before="0" w:beforeAutospacing="0" w:after="0" w:afterAutospacing="0" w:line="360" w:lineRule="auto"/>
              <w:ind w:left="0" w:firstLine="482" w:firstLineChars="200"/>
              <w:rPr>
                <w:rFonts w:hint="default" w:ascii="Times New Roman" w:hAnsi="Times New Roman" w:eastAsia="宋体" w:cs="Times New Roman"/>
                <w:sz w:val="24"/>
                <w:lang w:val="zh-CN"/>
              </w:rPr>
            </w:pPr>
            <w:r>
              <w:rPr>
                <w:rFonts w:hint="eastAsia" w:ascii="Times New Roman" w:hAnsi="Times New Roman" w:eastAsia="宋体" w:cs="Times New Roman"/>
                <w:b/>
                <w:sz w:val="24"/>
                <w:szCs w:val="24"/>
              </w:rPr>
              <w:t>2、生态环境分区管控符合性分析</w:t>
            </w:r>
          </w:p>
          <w:p w14:paraId="037488A2">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kern w:val="0"/>
                <w:sz w:val="24"/>
                <w:lang w:val="zh-CN"/>
              </w:rPr>
            </w:pPr>
            <w:r>
              <w:rPr>
                <w:rFonts w:hint="eastAsia" w:ascii="Times New Roman" w:hAnsi="Times New Roman" w:eastAsia="宋体" w:cs="Times New Roman"/>
                <w:bCs/>
                <w:color w:val="auto"/>
                <w:kern w:val="2"/>
                <w:sz w:val="24"/>
                <w:szCs w:val="24"/>
                <w:lang w:val="en-US" w:eastAsia="zh-CN"/>
              </w:rPr>
              <w:t>根据</w:t>
            </w:r>
            <w:r>
              <w:rPr>
                <w:rFonts w:hint="eastAsia" w:ascii="Times New Roman" w:hAnsi="Times New Roman" w:eastAsia="宋体" w:cs="Times New Roman"/>
                <w:bCs/>
                <w:color w:val="auto"/>
                <w:kern w:val="2"/>
                <w:sz w:val="24"/>
                <w:szCs w:val="24"/>
                <w:lang w:eastAsia="zh-CN"/>
              </w:rPr>
              <w:t>《</w:t>
            </w:r>
            <w:r>
              <w:rPr>
                <w:rFonts w:hint="eastAsia" w:ascii="Times New Roman" w:hAnsi="Times New Roman" w:eastAsia="宋体" w:cs="Times New Roman"/>
                <w:bCs/>
                <w:color w:val="auto"/>
                <w:kern w:val="2"/>
                <w:sz w:val="24"/>
                <w:szCs w:val="24"/>
              </w:rPr>
              <w:t>关于印发广安市2023年生态环境分区管控动态更新成果的通知</w:t>
            </w:r>
            <w:r>
              <w:rPr>
                <w:rFonts w:hint="eastAsia" w:ascii="Times New Roman" w:hAnsi="Times New Roman" w:eastAsia="宋体" w:cs="Times New Roman"/>
                <w:bCs/>
                <w:color w:val="auto"/>
                <w:kern w:val="2"/>
                <w:sz w:val="24"/>
                <w:szCs w:val="24"/>
                <w:lang w:eastAsia="zh-CN"/>
              </w:rPr>
              <w:t>》（广安府办函(2024〕32号），本项目与</w:t>
            </w:r>
            <w:r>
              <w:rPr>
                <w:rFonts w:hint="eastAsia" w:ascii="Times New Roman" w:hAnsi="Times New Roman" w:eastAsia="宋体" w:cs="Times New Roman"/>
                <w:bCs/>
                <w:color w:val="auto"/>
                <w:kern w:val="2"/>
                <w:sz w:val="24"/>
                <w:szCs w:val="24"/>
                <w:lang w:val="en-US" w:eastAsia="zh-CN"/>
              </w:rPr>
              <w:t>广安</w:t>
            </w:r>
            <w:r>
              <w:rPr>
                <w:rFonts w:hint="eastAsia" w:ascii="Times New Roman" w:hAnsi="Times New Roman" w:eastAsia="宋体" w:cs="Times New Roman"/>
                <w:bCs/>
                <w:color w:val="auto"/>
                <w:kern w:val="2"/>
                <w:sz w:val="24"/>
                <w:szCs w:val="24"/>
                <w:lang w:eastAsia="zh-CN"/>
              </w:rPr>
              <w:t>市生态环境分区管控要求符合性分析见下表。</w:t>
            </w:r>
          </w:p>
          <w:p w14:paraId="4FBC8BEF">
            <w:pPr>
              <w:pStyle w:val="99"/>
              <w:keepNext w:val="0"/>
              <w:keepLines w:val="0"/>
              <w:suppressLineNumbers w:val="0"/>
              <w:spacing w:before="0" w:beforeAutospacing="0" w:after="0" w:afterAutospacing="0"/>
              <w:ind w:left="0" w:right="0"/>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表1-</w:t>
            </w:r>
            <w:r>
              <w:rPr>
                <w:rFonts w:hint="eastAsia" w:cs="Times New Roman"/>
                <w:bCs/>
                <w:sz w:val="21"/>
                <w:szCs w:val="21"/>
                <w:lang w:val="en-US" w:eastAsia="zh-CN"/>
              </w:rPr>
              <w:t>2</w:t>
            </w:r>
            <w:r>
              <w:rPr>
                <w:rFonts w:hint="eastAsia" w:ascii="Times New Roman" w:hAnsi="Times New Roman" w:eastAsia="宋体" w:cs="Times New Roman"/>
                <w:bCs/>
                <w:sz w:val="21"/>
                <w:szCs w:val="21"/>
                <w:lang w:val="en-US" w:eastAsia="zh-CN"/>
              </w:rPr>
              <w:t xml:space="preserve"> </w:t>
            </w:r>
            <w:r>
              <w:rPr>
                <w:rFonts w:hint="default" w:ascii="Times New Roman" w:hAnsi="Times New Roman" w:eastAsia="宋体" w:cs="Times New Roman"/>
                <w:bCs/>
                <w:sz w:val="21"/>
                <w:szCs w:val="21"/>
              </w:rPr>
              <w:t xml:space="preserve"> </w:t>
            </w:r>
            <w:r>
              <w:rPr>
                <w:rFonts w:hint="eastAsia" w:ascii="Times New Roman" w:hAnsi="Times New Roman" w:eastAsia="宋体" w:cs="Times New Roman"/>
                <w:bCs/>
                <w:sz w:val="21"/>
                <w:szCs w:val="21"/>
              </w:rPr>
              <w:t>项目与</w:t>
            </w:r>
            <w:r>
              <w:rPr>
                <w:rFonts w:hint="eastAsia" w:ascii="Times New Roman" w:hAnsi="Times New Roman" w:eastAsia="宋体" w:cs="Times New Roman"/>
                <w:bCs/>
                <w:sz w:val="21"/>
                <w:szCs w:val="21"/>
                <w:lang w:val="en-US" w:eastAsia="zh-CN"/>
              </w:rPr>
              <w:t>广安</w:t>
            </w:r>
            <w:r>
              <w:rPr>
                <w:rFonts w:hint="eastAsia" w:ascii="Times New Roman" w:hAnsi="Times New Roman" w:eastAsia="宋体" w:cs="Times New Roman"/>
                <w:bCs/>
                <w:sz w:val="21"/>
                <w:szCs w:val="21"/>
              </w:rPr>
              <w:t>市生态环境分区管控要求</w:t>
            </w:r>
            <w:r>
              <w:rPr>
                <w:rFonts w:hint="default" w:ascii="Times New Roman" w:hAnsi="Times New Roman" w:eastAsia="宋体" w:cs="Times New Roman"/>
                <w:bCs/>
                <w:sz w:val="21"/>
                <w:szCs w:val="21"/>
              </w:rPr>
              <w:t>符合性分析</w:t>
            </w:r>
          </w:p>
          <w:tbl>
            <w:tblPr>
              <w:tblStyle w:val="26"/>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8"/>
              <w:gridCol w:w="3095"/>
              <w:gridCol w:w="1986"/>
              <w:gridCol w:w="883"/>
            </w:tblGrid>
            <w:tr w14:paraId="11E186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9" w:type="pct"/>
                  <w:tcBorders>
                    <w:tl2br w:val="nil"/>
                    <w:tr2bl w:val="nil"/>
                  </w:tcBorders>
                  <w:noWrap w:val="0"/>
                  <w:vAlign w:val="top"/>
                </w:tcPr>
                <w:p w14:paraId="4915B865">
                  <w:pPr>
                    <w:pStyle w:val="99"/>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宋体"/>
                      <w:b/>
                      <w:bCs/>
                      <w:sz w:val="21"/>
                      <w:szCs w:val="21"/>
                      <w:vertAlign w:val="baseline"/>
                      <w:lang w:val="en-US" w:eastAsia="zh-CN"/>
                    </w:rPr>
                  </w:pPr>
                  <w:r>
                    <w:rPr>
                      <w:rFonts w:hint="eastAsia" w:ascii="Times New Roman" w:hAnsi="Times New Roman" w:eastAsia="宋体" w:cs="宋体"/>
                      <w:b/>
                      <w:bCs/>
                      <w:sz w:val="21"/>
                      <w:szCs w:val="21"/>
                      <w:vertAlign w:val="baseline"/>
                      <w:lang w:val="en-US" w:eastAsia="zh-CN"/>
                    </w:rPr>
                    <w:t>行政区</w:t>
                  </w:r>
                </w:p>
              </w:tc>
              <w:tc>
                <w:tcPr>
                  <w:tcW w:w="1945" w:type="pct"/>
                  <w:tcBorders>
                    <w:tl2br w:val="nil"/>
                    <w:tr2bl w:val="nil"/>
                  </w:tcBorders>
                  <w:noWrap w:val="0"/>
                  <w:vAlign w:val="top"/>
                </w:tcPr>
                <w:p w14:paraId="57E48746">
                  <w:pPr>
                    <w:pStyle w:val="99"/>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宋体"/>
                      <w:b/>
                      <w:bCs/>
                      <w:sz w:val="21"/>
                      <w:szCs w:val="21"/>
                      <w:vertAlign w:val="baseline"/>
                      <w:lang w:val="en-US" w:eastAsia="zh-CN"/>
                    </w:rPr>
                  </w:pPr>
                  <w:r>
                    <w:rPr>
                      <w:rFonts w:hint="eastAsia" w:ascii="Times New Roman" w:hAnsi="Times New Roman" w:eastAsia="宋体" w:cs="宋体"/>
                      <w:b/>
                      <w:bCs/>
                      <w:sz w:val="21"/>
                      <w:szCs w:val="21"/>
                      <w:vertAlign w:val="baseline"/>
                      <w:lang w:val="en-US" w:eastAsia="zh-CN"/>
                    </w:rPr>
                    <w:t>生态环境分区管控要求</w:t>
                  </w:r>
                </w:p>
              </w:tc>
              <w:tc>
                <w:tcPr>
                  <w:tcW w:w="1248" w:type="pct"/>
                  <w:tcBorders>
                    <w:tl2br w:val="nil"/>
                    <w:tr2bl w:val="nil"/>
                  </w:tcBorders>
                  <w:noWrap w:val="0"/>
                  <w:vAlign w:val="top"/>
                </w:tcPr>
                <w:p w14:paraId="5E52A7DC">
                  <w:pPr>
                    <w:pStyle w:val="99"/>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宋体"/>
                      <w:b/>
                      <w:bCs/>
                      <w:sz w:val="21"/>
                      <w:szCs w:val="21"/>
                      <w:vertAlign w:val="baseline"/>
                      <w:lang w:val="en-US" w:eastAsia="zh-CN"/>
                    </w:rPr>
                  </w:pPr>
                  <w:r>
                    <w:rPr>
                      <w:rFonts w:hint="eastAsia" w:ascii="Times New Roman" w:hAnsi="Times New Roman" w:eastAsia="宋体" w:cs="宋体"/>
                      <w:b/>
                      <w:bCs/>
                      <w:sz w:val="21"/>
                      <w:szCs w:val="21"/>
                      <w:vertAlign w:val="baseline"/>
                      <w:lang w:val="en-US" w:eastAsia="zh-CN"/>
                    </w:rPr>
                    <w:t>本项目情况</w:t>
                  </w:r>
                </w:p>
              </w:tc>
              <w:tc>
                <w:tcPr>
                  <w:tcW w:w="555" w:type="pct"/>
                  <w:tcBorders>
                    <w:tl2br w:val="nil"/>
                    <w:tr2bl w:val="nil"/>
                  </w:tcBorders>
                  <w:noWrap w:val="0"/>
                  <w:vAlign w:val="top"/>
                </w:tcPr>
                <w:p w14:paraId="5BEDB036">
                  <w:pPr>
                    <w:pStyle w:val="99"/>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宋体"/>
                      <w:b/>
                      <w:bCs/>
                      <w:sz w:val="21"/>
                      <w:szCs w:val="21"/>
                      <w:vertAlign w:val="baseline"/>
                      <w:lang w:val="en-US" w:eastAsia="zh-CN"/>
                    </w:rPr>
                  </w:pPr>
                  <w:r>
                    <w:rPr>
                      <w:rFonts w:hint="eastAsia" w:ascii="Times New Roman" w:hAnsi="Times New Roman" w:eastAsia="宋体" w:cs="宋体"/>
                      <w:b/>
                      <w:bCs/>
                      <w:sz w:val="21"/>
                      <w:szCs w:val="21"/>
                      <w:vertAlign w:val="baseline"/>
                      <w:lang w:val="en-US" w:eastAsia="zh-CN"/>
                    </w:rPr>
                    <w:t>符合性</w:t>
                  </w:r>
                </w:p>
              </w:tc>
            </w:tr>
            <w:tr w14:paraId="0A5D7A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9" w:type="pct"/>
                  <w:tcBorders>
                    <w:tl2br w:val="nil"/>
                    <w:tr2bl w:val="nil"/>
                  </w:tcBorders>
                  <w:noWrap w:val="0"/>
                  <w:vAlign w:val="center"/>
                </w:tcPr>
                <w:p w14:paraId="11568D04">
                  <w:pPr>
                    <w:pStyle w:val="99"/>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宋体"/>
                      <w:b w:val="0"/>
                      <w:bCs w:val="0"/>
                      <w:sz w:val="21"/>
                      <w:szCs w:val="21"/>
                      <w:vertAlign w:val="baseline"/>
                      <w:lang w:val="en-US" w:eastAsia="zh-CN"/>
                    </w:rPr>
                  </w:pPr>
                  <w:r>
                    <w:rPr>
                      <w:rFonts w:hint="eastAsia" w:ascii="Times New Roman" w:hAnsi="Times New Roman" w:eastAsia="宋体" w:cs="宋体"/>
                      <w:b w:val="0"/>
                      <w:bCs w:val="0"/>
                      <w:sz w:val="21"/>
                      <w:szCs w:val="21"/>
                      <w:vertAlign w:val="baseline"/>
                      <w:lang w:val="en-US" w:eastAsia="zh-CN"/>
                    </w:rPr>
                    <w:t>广安市</w:t>
                  </w:r>
                </w:p>
              </w:tc>
              <w:tc>
                <w:tcPr>
                  <w:tcW w:w="1945" w:type="pct"/>
                  <w:tcBorders>
                    <w:tl2br w:val="nil"/>
                    <w:tr2bl w:val="nil"/>
                  </w:tcBorders>
                  <w:noWrap w:val="0"/>
                  <w:vAlign w:val="center"/>
                </w:tcPr>
                <w:p w14:paraId="5C0F2D6D">
                  <w:pPr>
                    <w:keepNext w:val="0"/>
                    <w:keepLines w:val="0"/>
                    <w:widowControl/>
                    <w:suppressLineNumbers w:val="0"/>
                    <w:spacing w:before="0" w:beforeAutospacing="0" w:after="0" w:afterAutospacing="0"/>
                    <w:ind w:left="0" w:right="0"/>
                    <w:jc w:val="left"/>
                    <w:rPr>
                      <w:rFonts w:hint="eastAsia" w:ascii="Times New Roman" w:hAnsi="Times New Roman" w:eastAsia="宋体" w:cs="宋体"/>
                      <w:b w:val="0"/>
                      <w:bCs w:val="0"/>
                      <w:sz w:val="21"/>
                      <w:szCs w:val="21"/>
                    </w:rPr>
                  </w:pPr>
                  <w:r>
                    <w:rPr>
                      <w:rFonts w:hint="eastAsia" w:ascii="Times New Roman" w:hAnsi="Times New Roman" w:eastAsia="宋体" w:cs="宋体"/>
                      <w:b w:val="0"/>
                      <w:bCs w:val="0"/>
                      <w:color w:val="000000"/>
                      <w:kern w:val="0"/>
                      <w:sz w:val="21"/>
                      <w:szCs w:val="21"/>
                      <w:lang w:val="en-US" w:eastAsia="zh-CN" w:bidi="ar"/>
                    </w:rPr>
                    <w:t>1.严控产业转移环境准入。</w:t>
                  </w:r>
                </w:p>
                <w:p w14:paraId="7AF55AFE">
                  <w:pPr>
                    <w:keepNext w:val="0"/>
                    <w:keepLines w:val="0"/>
                    <w:widowControl/>
                    <w:suppressLineNumbers w:val="0"/>
                    <w:spacing w:before="0" w:beforeAutospacing="0" w:after="0" w:afterAutospacing="0"/>
                    <w:ind w:left="0" w:right="0"/>
                    <w:jc w:val="left"/>
                    <w:rPr>
                      <w:rFonts w:hint="eastAsia" w:ascii="Times New Roman" w:hAnsi="Times New Roman" w:eastAsia="宋体" w:cs="宋体"/>
                      <w:b w:val="0"/>
                      <w:bCs w:val="0"/>
                      <w:sz w:val="21"/>
                      <w:szCs w:val="21"/>
                    </w:rPr>
                  </w:pPr>
                  <w:r>
                    <w:rPr>
                      <w:rFonts w:hint="eastAsia" w:ascii="Times New Roman" w:hAnsi="Times New Roman" w:eastAsia="宋体" w:cs="宋体"/>
                      <w:b w:val="0"/>
                      <w:bCs w:val="0"/>
                      <w:color w:val="000000"/>
                      <w:kern w:val="0"/>
                      <w:sz w:val="21"/>
                      <w:szCs w:val="21"/>
                      <w:lang w:val="en-US" w:eastAsia="zh-CN" w:bidi="ar"/>
                    </w:rPr>
                    <w:t>2.农药制造、印染行业的引入参考执行其行业资源环境绩效指标准入要求。</w:t>
                  </w:r>
                </w:p>
                <w:p w14:paraId="28E3BB25">
                  <w:pPr>
                    <w:keepNext w:val="0"/>
                    <w:keepLines w:val="0"/>
                    <w:widowControl/>
                    <w:suppressLineNumbers w:val="0"/>
                    <w:spacing w:before="0" w:beforeAutospacing="0" w:after="0" w:afterAutospacing="0"/>
                    <w:ind w:left="0" w:right="0"/>
                    <w:jc w:val="left"/>
                    <w:rPr>
                      <w:rFonts w:hint="eastAsia" w:ascii="Times New Roman" w:hAnsi="Times New Roman" w:eastAsia="宋体" w:cs="宋体"/>
                      <w:b w:val="0"/>
                      <w:bCs w:val="0"/>
                      <w:sz w:val="21"/>
                      <w:szCs w:val="21"/>
                    </w:rPr>
                  </w:pPr>
                  <w:r>
                    <w:rPr>
                      <w:rFonts w:hint="eastAsia" w:ascii="Times New Roman" w:hAnsi="Times New Roman" w:eastAsia="宋体" w:cs="宋体"/>
                      <w:b w:val="0"/>
                      <w:bCs w:val="0"/>
                      <w:color w:val="000000"/>
                      <w:kern w:val="0"/>
                      <w:sz w:val="21"/>
                      <w:szCs w:val="21"/>
                      <w:lang w:val="en-US" w:eastAsia="zh-CN" w:bidi="ar"/>
                    </w:rPr>
                    <w:t>3.严格“高耗能、高排放”项目准入，推进减污降碳协同控制。</w:t>
                  </w:r>
                </w:p>
                <w:p w14:paraId="29C8E273">
                  <w:pPr>
                    <w:keepNext w:val="0"/>
                    <w:keepLines w:val="0"/>
                    <w:widowControl/>
                    <w:suppressLineNumbers w:val="0"/>
                    <w:spacing w:before="0" w:beforeAutospacing="0" w:after="0" w:afterAutospacing="0"/>
                    <w:ind w:left="0" w:right="0"/>
                    <w:jc w:val="left"/>
                    <w:rPr>
                      <w:rFonts w:hint="eastAsia" w:ascii="Times New Roman" w:hAnsi="Times New Roman" w:eastAsia="宋体" w:cs="宋体"/>
                      <w:b w:val="0"/>
                      <w:bCs w:val="0"/>
                      <w:sz w:val="21"/>
                      <w:szCs w:val="21"/>
                    </w:rPr>
                  </w:pPr>
                  <w:r>
                    <w:rPr>
                      <w:rFonts w:hint="eastAsia" w:ascii="Times New Roman" w:hAnsi="Times New Roman" w:eastAsia="宋体" w:cs="宋体"/>
                      <w:b w:val="0"/>
                      <w:bCs w:val="0"/>
                      <w:color w:val="000000"/>
                      <w:kern w:val="0"/>
                      <w:sz w:val="21"/>
                      <w:szCs w:val="21"/>
                      <w:lang w:val="en-US" w:eastAsia="zh-CN" w:bidi="ar"/>
                    </w:rPr>
                    <w:t>4.对环境影响较大的水泥、火电等行业企业执行更加严格的总量控制和深度治理要求。</w:t>
                  </w:r>
                </w:p>
                <w:p w14:paraId="2E3E1A2A">
                  <w:pPr>
                    <w:keepNext w:val="0"/>
                    <w:keepLines w:val="0"/>
                    <w:widowControl/>
                    <w:suppressLineNumbers w:val="0"/>
                    <w:spacing w:before="0" w:beforeAutospacing="0" w:after="0" w:afterAutospacing="0"/>
                    <w:ind w:left="0" w:right="0"/>
                    <w:jc w:val="left"/>
                    <w:rPr>
                      <w:rFonts w:hint="eastAsia" w:ascii="Times New Roman" w:hAnsi="Times New Roman" w:eastAsia="宋体" w:cs="宋体"/>
                      <w:b w:val="0"/>
                      <w:bCs w:val="0"/>
                      <w:sz w:val="21"/>
                      <w:szCs w:val="21"/>
                    </w:rPr>
                  </w:pPr>
                  <w:r>
                    <w:rPr>
                      <w:rFonts w:hint="eastAsia" w:ascii="Times New Roman" w:hAnsi="Times New Roman" w:eastAsia="宋体" w:cs="宋体"/>
                      <w:b w:val="0"/>
                      <w:bCs w:val="0"/>
                      <w:color w:val="000000"/>
                      <w:kern w:val="0"/>
                      <w:sz w:val="21"/>
                      <w:szCs w:val="21"/>
                      <w:lang w:val="en-US" w:eastAsia="zh-CN" w:bidi="ar"/>
                    </w:rPr>
                    <w:t>5.禁止在长江支流岸线一公里范围内新建、扩建化工园区和化工项目；禁止在长江重要支流岸线一公里范围内新建、改建、扩建尾矿库，但是以提升安全、生态环境保护水平为目的的改建除外。</w:t>
                  </w:r>
                </w:p>
                <w:p w14:paraId="30CF1D20">
                  <w:pPr>
                    <w:keepNext w:val="0"/>
                    <w:keepLines w:val="0"/>
                    <w:widowControl/>
                    <w:suppressLineNumbers w:val="0"/>
                    <w:spacing w:before="0" w:beforeAutospacing="0" w:after="0" w:afterAutospacing="0"/>
                    <w:ind w:left="0" w:right="0"/>
                    <w:jc w:val="left"/>
                    <w:rPr>
                      <w:rFonts w:hint="eastAsia" w:ascii="Times New Roman" w:hAnsi="Times New Roman" w:eastAsia="宋体" w:cs="宋体"/>
                      <w:b w:val="0"/>
                      <w:bCs w:val="0"/>
                      <w:sz w:val="21"/>
                      <w:szCs w:val="21"/>
                    </w:rPr>
                  </w:pPr>
                  <w:r>
                    <w:rPr>
                      <w:rFonts w:hint="eastAsia" w:ascii="Times New Roman" w:hAnsi="Times New Roman" w:eastAsia="宋体" w:cs="宋体"/>
                      <w:b w:val="0"/>
                      <w:bCs w:val="0"/>
                      <w:color w:val="000000"/>
                      <w:kern w:val="0"/>
                      <w:sz w:val="21"/>
                      <w:szCs w:val="21"/>
                      <w:lang w:val="en-US" w:eastAsia="zh-CN" w:bidi="ar"/>
                    </w:rPr>
                    <w:t>6.加强跨省流域上下游突发水污染事件联防联控。</w:t>
                  </w:r>
                </w:p>
                <w:p w14:paraId="69488E0E">
                  <w:pPr>
                    <w:keepNext w:val="0"/>
                    <w:keepLines w:val="0"/>
                    <w:widowControl/>
                    <w:suppressLineNumbers w:val="0"/>
                    <w:spacing w:before="0" w:beforeAutospacing="0" w:after="0" w:afterAutospacing="0"/>
                    <w:ind w:left="0" w:right="0"/>
                    <w:jc w:val="left"/>
                    <w:rPr>
                      <w:rFonts w:hint="eastAsia" w:ascii="Times New Roman" w:hAnsi="Times New Roman" w:eastAsia="宋体" w:cs="宋体"/>
                      <w:b w:val="0"/>
                      <w:bCs w:val="0"/>
                      <w:sz w:val="21"/>
                      <w:szCs w:val="21"/>
                    </w:rPr>
                  </w:pPr>
                  <w:r>
                    <w:rPr>
                      <w:rFonts w:hint="eastAsia" w:ascii="Times New Roman" w:hAnsi="Times New Roman" w:eastAsia="宋体" w:cs="宋体"/>
                      <w:b w:val="0"/>
                      <w:bCs w:val="0"/>
                      <w:color w:val="000000"/>
                      <w:kern w:val="0"/>
                      <w:sz w:val="21"/>
                      <w:szCs w:val="21"/>
                      <w:lang w:val="en-US" w:eastAsia="zh-CN" w:bidi="ar"/>
                    </w:rPr>
                    <w:t>7.加强环保基础设施建设，强化农业农村污染治理。</w:t>
                  </w:r>
                </w:p>
                <w:p w14:paraId="7282D820">
                  <w:pPr>
                    <w:keepNext w:val="0"/>
                    <w:keepLines w:val="0"/>
                    <w:widowControl/>
                    <w:suppressLineNumbers w:val="0"/>
                    <w:spacing w:before="0" w:beforeAutospacing="0" w:after="0" w:afterAutospacing="0"/>
                    <w:ind w:left="0" w:right="0"/>
                    <w:jc w:val="left"/>
                    <w:rPr>
                      <w:rFonts w:hint="eastAsia" w:ascii="Times New Roman" w:hAnsi="Times New Roman" w:eastAsia="宋体" w:cs="宋体"/>
                      <w:b w:val="0"/>
                      <w:bCs w:val="0"/>
                      <w:sz w:val="21"/>
                      <w:szCs w:val="21"/>
                    </w:rPr>
                  </w:pPr>
                  <w:r>
                    <w:rPr>
                      <w:rFonts w:hint="eastAsia" w:ascii="Times New Roman" w:hAnsi="Times New Roman" w:eastAsia="宋体" w:cs="宋体"/>
                      <w:b w:val="0"/>
                      <w:bCs w:val="0"/>
                      <w:color w:val="000000"/>
                      <w:kern w:val="0"/>
                      <w:sz w:val="21"/>
                      <w:szCs w:val="21"/>
                      <w:lang w:val="en-US" w:eastAsia="zh-CN" w:bidi="ar"/>
                    </w:rPr>
                    <w:t>8.加强华蓥山区生态系统保护修复。</w:t>
                  </w:r>
                </w:p>
                <w:p w14:paraId="414EF0FB">
                  <w:pPr>
                    <w:keepNext w:val="0"/>
                    <w:keepLines w:val="0"/>
                    <w:widowControl/>
                    <w:suppressLineNumbers w:val="0"/>
                    <w:spacing w:before="0" w:beforeAutospacing="0" w:after="0" w:afterAutospacing="0"/>
                    <w:ind w:left="0" w:right="0"/>
                    <w:jc w:val="left"/>
                    <w:rPr>
                      <w:rFonts w:hint="eastAsia" w:ascii="Times New Roman" w:hAnsi="Times New Roman" w:eastAsia="宋体" w:cs="宋体"/>
                      <w:b w:val="0"/>
                      <w:bCs w:val="0"/>
                      <w:sz w:val="21"/>
                      <w:szCs w:val="21"/>
                      <w:vertAlign w:val="baseline"/>
                    </w:rPr>
                  </w:pPr>
                  <w:r>
                    <w:rPr>
                      <w:rFonts w:hint="eastAsia" w:ascii="Times New Roman" w:hAnsi="Times New Roman" w:eastAsia="宋体" w:cs="宋体"/>
                      <w:b w:val="0"/>
                      <w:bCs w:val="0"/>
                      <w:color w:val="000000"/>
                      <w:kern w:val="0"/>
                      <w:sz w:val="21"/>
                      <w:szCs w:val="21"/>
                      <w:lang w:val="en-US" w:eastAsia="zh-CN" w:bidi="ar"/>
                    </w:rPr>
                    <w:t>9.加强饮用水水源地保护，确保饮用水安全。</w:t>
                  </w:r>
                </w:p>
              </w:tc>
              <w:tc>
                <w:tcPr>
                  <w:tcW w:w="1248" w:type="pct"/>
                  <w:tcBorders>
                    <w:tl2br w:val="nil"/>
                    <w:tr2bl w:val="nil"/>
                  </w:tcBorders>
                  <w:noWrap w:val="0"/>
                  <w:vAlign w:val="center"/>
                </w:tcPr>
                <w:p w14:paraId="474885B1">
                  <w:pPr>
                    <w:pStyle w:val="99"/>
                    <w:keepNext w:val="0"/>
                    <w:keepLines w:val="0"/>
                    <w:suppressLineNumbers w:val="0"/>
                    <w:spacing w:before="0" w:beforeAutospacing="0" w:after="0" w:afterAutospacing="0"/>
                    <w:ind w:left="0" w:right="0"/>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宋体"/>
                      <w:b w:val="0"/>
                      <w:bCs w:val="0"/>
                      <w:color w:val="000000"/>
                      <w:kern w:val="0"/>
                      <w:sz w:val="21"/>
                      <w:szCs w:val="21"/>
                      <w:lang w:val="en-US" w:eastAsia="zh-CN" w:bidi="ar"/>
                    </w:rPr>
                    <w:t>本项目为其他非金属矿物制品制造、固体废物治理</w:t>
                  </w:r>
                  <w:r>
                    <w:rPr>
                      <w:rFonts w:hint="eastAsia" w:cs="宋体"/>
                      <w:b w:val="0"/>
                      <w:bCs w:val="0"/>
                      <w:color w:val="000000"/>
                      <w:kern w:val="0"/>
                      <w:sz w:val="21"/>
                      <w:szCs w:val="21"/>
                      <w:lang w:val="en-US" w:eastAsia="zh-CN" w:bidi="ar"/>
                    </w:rPr>
                    <w:t>；</w:t>
                  </w:r>
                  <w:r>
                    <w:rPr>
                      <w:rFonts w:hint="eastAsia" w:ascii="Times New Roman" w:hAnsi="Times New Roman" w:eastAsia="宋体" w:cs="宋体"/>
                      <w:b w:val="0"/>
                      <w:bCs w:val="0"/>
                      <w:color w:val="000000"/>
                      <w:kern w:val="0"/>
                      <w:sz w:val="21"/>
                      <w:szCs w:val="21"/>
                      <w:lang w:val="en-US" w:eastAsia="zh-CN" w:bidi="ar"/>
                    </w:rPr>
                    <w:t>项目建设地点位于本项目位于邻水县石滓镇晒金村8组</w:t>
                  </w:r>
                  <w:r>
                    <w:rPr>
                      <w:rFonts w:hint="eastAsia" w:cs="宋体"/>
                      <w:b w:val="0"/>
                      <w:bCs w:val="0"/>
                      <w:color w:val="000000"/>
                      <w:kern w:val="0"/>
                      <w:sz w:val="21"/>
                      <w:szCs w:val="21"/>
                      <w:lang w:val="en-US" w:eastAsia="zh-CN" w:bidi="ar"/>
                    </w:rPr>
                    <w:t>，不涉及</w:t>
                  </w:r>
                  <w:r>
                    <w:rPr>
                      <w:rFonts w:hint="eastAsia" w:ascii="Times New Roman" w:hAnsi="Times New Roman" w:eastAsia="宋体" w:cs="宋体"/>
                      <w:b w:val="0"/>
                      <w:bCs w:val="0"/>
                      <w:color w:val="000000"/>
                      <w:kern w:val="0"/>
                      <w:sz w:val="21"/>
                      <w:szCs w:val="21"/>
                      <w:lang w:val="en-US" w:eastAsia="zh-CN" w:bidi="ar"/>
                    </w:rPr>
                    <w:t>饮用水水源地保护区。项目不属于“两高”项目</w:t>
                  </w:r>
                  <w:r>
                    <w:rPr>
                      <w:rFonts w:hint="eastAsia" w:cs="宋体"/>
                      <w:b w:val="0"/>
                      <w:bCs w:val="0"/>
                      <w:color w:val="000000"/>
                      <w:kern w:val="0"/>
                      <w:sz w:val="21"/>
                      <w:szCs w:val="21"/>
                      <w:lang w:val="en-US" w:eastAsia="zh-CN" w:bidi="ar"/>
                    </w:rPr>
                    <w:t>；</w:t>
                  </w:r>
                  <w:r>
                    <w:rPr>
                      <w:rFonts w:hint="eastAsia" w:ascii="Times New Roman" w:hAnsi="Times New Roman" w:eastAsia="宋体" w:cs="宋体"/>
                      <w:b w:val="0"/>
                      <w:bCs w:val="0"/>
                      <w:color w:val="auto"/>
                      <w:kern w:val="0"/>
                      <w:sz w:val="21"/>
                      <w:szCs w:val="21"/>
                      <w:lang w:val="en-US" w:eastAsia="zh-CN" w:bidi="ar-SA"/>
                    </w:rPr>
                    <w:t>本项目生活污水经预处理池处理后定期由槽罐车转运至</w:t>
                  </w:r>
                  <w:r>
                    <w:rPr>
                      <w:rFonts w:hint="eastAsia" w:cs="宋体"/>
                      <w:b w:val="0"/>
                      <w:bCs w:val="0"/>
                      <w:color w:val="auto"/>
                      <w:kern w:val="0"/>
                      <w:sz w:val="21"/>
                      <w:szCs w:val="21"/>
                      <w:lang w:val="en-US" w:eastAsia="zh-CN" w:bidi="ar-SA"/>
                    </w:rPr>
                    <w:t>邻水县大步口污水处理站</w:t>
                  </w:r>
                  <w:r>
                    <w:rPr>
                      <w:rFonts w:hint="eastAsia" w:ascii="Times New Roman" w:hAnsi="Times New Roman" w:eastAsia="宋体" w:cs="宋体"/>
                      <w:b w:val="0"/>
                      <w:bCs w:val="0"/>
                      <w:color w:val="auto"/>
                      <w:kern w:val="0"/>
                      <w:sz w:val="21"/>
                      <w:szCs w:val="21"/>
                      <w:lang w:val="en-US" w:eastAsia="zh-CN" w:bidi="ar-SA"/>
                    </w:rPr>
                    <w:t>进行进一步处理后排入大洪河</w:t>
                  </w:r>
                  <w:r>
                    <w:rPr>
                      <w:rFonts w:hint="eastAsia" w:cs="宋体"/>
                      <w:b w:val="0"/>
                      <w:bCs w:val="0"/>
                      <w:color w:val="auto"/>
                      <w:kern w:val="0"/>
                      <w:sz w:val="21"/>
                      <w:szCs w:val="21"/>
                      <w:lang w:val="en-US" w:eastAsia="zh-CN" w:bidi="ar-SA"/>
                    </w:rPr>
                    <w:t>；洗砂</w:t>
                  </w:r>
                  <w:r>
                    <w:rPr>
                      <w:rFonts w:hint="eastAsia" w:ascii="Times New Roman" w:hAnsi="Times New Roman" w:eastAsia="宋体" w:cs="宋体"/>
                      <w:b w:val="0"/>
                      <w:bCs w:val="0"/>
                      <w:color w:val="auto"/>
                      <w:kern w:val="0"/>
                      <w:sz w:val="21"/>
                      <w:szCs w:val="21"/>
                      <w:lang w:val="en-US" w:eastAsia="zh-CN" w:bidi="ar-SA"/>
                    </w:rPr>
                    <w:t>废水</w:t>
                  </w:r>
                  <w:r>
                    <w:rPr>
                      <w:rFonts w:hint="eastAsia" w:cs="宋体"/>
                      <w:b w:val="0"/>
                      <w:bCs w:val="0"/>
                      <w:color w:val="auto"/>
                      <w:kern w:val="0"/>
                      <w:sz w:val="21"/>
                      <w:szCs w:val="21"/>
                      <w:lang w:val="en-US" w:eastAsia="zh-CN" w:bidi="ar-SA"/>
                    </w:rPr>
                    <w:t>、降尘废水、车辆冲洗废水和初期雨水</w:t>
                  </w:r>
                  <w:r>
                    <w:rPr>
                      <w:rFonts w:hint="eastAsia" w:ascii="Times New Roman" w:hAnsi="Times New Roman" w:eastAsia="宋体" w:cs="宋体"/>
                      <w:b w:val="0"/>
                      <w:bCs w:val="0"/>
                      <w:color w:val="auto"/>
                      <w:kern w:val="0"/>
                      <w:sz w:val="21"/>
                      <w:szCs w:val="21"/>
                      <w:lang w:val="en-US" w:eastAsia="zh-CN" w:bidi="ar-SA"/>
                    </w:rPr>
                    <w:t>经絮凝沉淀+压滤处理后回用于生产</w:t>
                  </w:r>
                  <w:r>
                    <w:rPr>
                      <w:rFonts w:hint="eastAsia" w:cs="宋体"/>
                      <w:b w:val="0"/>
                      <w:bCs w:val="0"/>
                      <w:color w:val="000000"/>
                      <w:kern w:val="0"/>
                      <w:sz w:val="21"/>
                      <w:szCs w:val="21"/>
                      <w:lang w:val="en-US" w:eastAsia="zh-CN" w:bidi="ar"/>
                    </w:rPr>
                    <w:t>。</w:t>
                  </w:r>
                </w:p>
              </w:tc>
              <w:tc>
                <w:tcPr>
                  <w:tcW w:w="555" w:type="pct"/>
                  <w:tcBorders>
                    <w:tl2br w:val="nil"/>
                    <w:tr2bl w:val="nil"/>
                  </w:tcBorders>
                  <w:noWrap w:val="0"/>
                  <w:vAlign w:val="center"/>
                </w:tcPr>
                <w:p w14:paraId="4F54B644">
                  <w:pPr>
                    <w:pStyle w:val="99"/>
                    <w:keepNext w:val="0"/>
                    <w:keepLines w:val="0"/>
                    <w:suppressLineNumbers w:val="0"/>
                    <w:spacing w:before="0" w:beforeAutospacing="0" w:after="0" w:afterAutospacing="0"/>
                    <w:ind w:left="0" w:right="0"/>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符合</w:t>
                  </w:r>
                </w:p>
              </w:tc>
            </w:tr>
            <w:tr w14:paraId="58C3FB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9" w:type="pct"/>
                  <w:tcBorders>
                    <w:tl2br w:val="nil"/>
                    <w:tr2bl w:val="nil"/>
                  </w:tcBorders>
                  <w:noWrap w:val="0"/>
                  <w:vAlign w:val="center"/>
                </w:tcPr>
                <w:p w14:paraId="27EBB687">
                  <w:pPr>
                    <w:pStyle w:val="99"/>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宋体"/>
                      <w:b w:val="0"/>
                      <w:bCs w:val="0"/>
                      <w:sz w:val="21"/>
                      <w:szCs w:val="21"/>
                      <w:vertAlign w:val="baseline"/>
                      <w:lang w:val="en-US" w:eastAsia="zh-CN"/>
                    </w:rPr>
                  </w:pPr>
                  <w:r>
                    <w:rPr>
                      <w:rFonts w:hint="eastAsia" w:ascii="Times New Roman" w:hAnsi="Times New Roman" w:eastAsia="宋体" w:cs="宋体"/>
                      <w:b w:val="0"/>
                      <w:bCs w:val="0"/>
                      <w:sz w:val="21"/>
                      <w:szCs w:val="21"/>
                      <w:vertAlign w:val="baseline"/>
                      <w:lang w:val="en-US" w:eastAsia="zh-CN"/>
                    </w:rPr>
                    <w:t>邻水县</w:t>
                  </w:r>
                </w:p>
              </w:tc>
              <w:tc>
                <w:tcPr>
                  <w:tcW w:w="1945" w:type="pct"/>
                  <w:tcBorders>
                    <w:tl2br w:val="nil"/>
                    <w:tr2bl w:val="nil"/>
                  </w:tcBorders>
                  <w:noWrap w:val="0"/>
                  <w:vAlign w:val="center"/>
                </w:tcPr>
                <w:p w14:paraId="6550D9D4">
                  <w:pPr>
                    <w:pStyle w:val="99"/>
                    <w:keepNext w:val="0"/>
                    <w:keepLines w:val="0"/>
                    <w:suppressLineNumbers w:val="0"/>
                    <w:spacing w:before="0" w:beforeAutospacing="0" w:after="0" w:afterAutospacing="0"/>
                    <w:ind w:left="0" w:right="0"/>
                    <w:jc w:val="left"/>
                    <w:rPr>
                      <w:rFonts w:hint="eastAsia" w:ascii="Times New Roman" w:hAnsi="Times New Roman" w:eastAsia="宋体" w:cs="宋体"/>
                      <w:b w:val="0"/>
                      <w:bCs w:val="0"/>
                      <w:sz w:val="21"/>
                      <w:szCs w:val="21"/>
                      <w:vertAlign w:val="baseline"/>
                    </w:rPr>
                  </w:pPr>
                  <w:r>
                    <w:rPr>
                      <w:rFonts w:hint="eastAsia" w:ascii="Times New Roman" w:hAnsi="Times New Roman" w:eastAsia="宋体" w:cs="宋体"/>
                      <w:b w:val="0"/>
                      <w:bCs w:val="0"/>
                      <w:sz w:val="21"/>
                      <w:szCs w:val="21"/>
                      <w:vertAlign w:val="baseline"/>
                    </w:rPr>
                    <w:t>1.严格控制化肥农药施用量，积极推广畜禽清洁养殖和畜禽粪污无害化、资源化处理技术，加强农业面源污染和农村生活污水治理，改善西溪河等小流域水环境质量。</w:t>
                  </w:r>
                </w:p>
                <w:p w14:paraId="1727BE6D">
                  <w:pPr>
                    <w:pStyle w:val="99"/>
                    <w:keepNext w:val="0"/>
                    <w:keepLines w:val="0"/>
                    <w:suppressLineNumbers w:val="0"/>
                    <w:spacing w:before="0" w:beforeAutospacing="0" w:after="0" w:afterAutospacing="0"/>
                    <w:ind w:left="0" w:right="0"/>
                    <w:jc w:val="left"/>
                    <w:rPr>
                      <w:rFonts w:hint="eastAsia" w:ascii="Times New Roman" w:hAnsi="Times New Roman" w:eastAsia="宋体" w:cs="宋体"/>
                      <w:b w:val="0"/>
                      <w:bCs w:val="0"/>
                      <w:sz w:val="21"/>
                      <w:szCs w:val="21"/>
                      <w:vertAlign w:val="baseline"/>
                    </w:rPr>
                  </w:pPr>
                  <w:r>
                    <w:rPr>
                      <w:rFonts w:hint="eastAsia" w:ascii="Times New Roman" w:hAnsi="Times New Roman" w:eastAsia="宋体" w:cs="宋体"/>
                      <w:b w:val="0"/>
                      <w:bCs w:val="0"/>
                      <w:sz w:val="21"/>
                      <w:szCs w:val="21"/>
                      <w:vertAlign w:val="baseline"/>
                    </w:rPr>
                    <w:t>2.加强渠江西来寺饮用水水源地环境风险防控，确保广安市主城区饮用水水源安全。</w:t>
                  </w:r>
                </w:p>
                <w:p w14:paraId="19CEA7BE">
                  <w:pPr>
                    <w:pStyle w:val="99"/>
                    <w:keepNext w:val="0"/>
                    <w:keepLines w:val="0"/>
                    <w:suppressLineNumbers w:val="0"/>
                    <w:spacing w:before="0" w:beforeAutospacing="0" w:after="0" w:afterAutospacing="0"/>
                    <w:ind w:left="0" w:right="0"/>
                    <w:jc w:val="left"/>
                    <w:rPr>
                      <w:rFonts w:hint="eastAsia" w:ascii="Times New Roman" w:hAnsi="Times New Roman" w:eastAsia="宋体" w:cs="宋体"/>
                      <w:b w:val="0"/>
                      <w:bCs w:val="0"/>
                      <w:sz w:val="21"/>
                      <w:szCs w:val="21"/>
                      <w:vertAlign w:val="baseline"/>
                    </w:rPr>
                  </w:pPr>
                  <w:r>
                    <w:rPr>
                      <w:rFonts w:hint="eastAsia" w:ascii="Times New Roman" w:hAnsi="Times New Roman" w:eastAsia="宋体" w:cs="宋体"/>
                      <w:b w:val="0"/>
                      <w:bCs w:val="0"/>
                      <w:sz w:val="21"/>
                      <w:szCs w:val="21"/>
                      <w:vertAlign w:val="baseline"/>
                    </w:rPr>
                    <w:t>3.执行大气污染物特别排放限值。</w:t>
                  </w:r>
                </w:p>
              </w:tc>
              <w:tc>
                <w:tcPr>
                  <w:tcW w:w="1248" w:type="pct"/>
                  <w:tcBorders>
                    <w:tl2br w:val="nil"/>
                    <w:tr2bl w:val="nil"/>
                  </w:tcBorders>
                  <w:noWrap w:val="0"/>
                  <w:vAlign w:val="center"/>
                </w:tcPr>
                <w:p w14:paraId="7F6BF45A">
                  <w:pPr>
                    <w:pStyle w:val="99"/>
                    <w:keepNext w:val="0"/>
                    <w:keepLines w:val="0"/>
                    <w:suppressLineNumbers w:val="0"/>
                    <w:spacing w:before="0" w:beforeAutospacing="0" w:after="0" w:afterAutospacing="0"/>
                    <w:ind w:left="0" w:right="0"/>
                    <w:rPr>
                      <w:rFonts w:hint="eastAsia"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本项目为</w:t>
                  </w:r>
                  <w:r>
                    <w:rPr>
                      <w:rFonts w:hint="eastAsia" w:cs="宋体"/>
                      <w:b w:val="0"/>
                      <w:bCs w:val="0"/>
                      <w:color w:val="000000"/>
                      <w:kern w:val="0"/>
                      <w:sz w:val="21"/>
                      <w:szCs w:val="21"/>
                      <w:lang w:val="en-US" w:eastAsia="zh-CN" w:bidi="ar"/>
                    </w:rPr>
                    <w:t>其他</w:t>
                  </w:r>
                  <w:r>
                    <w:rPr>
                      <w:rFonts w:hint="eastAsia" w:ascii="Times New Roman" w:hAnsi="Times New Roman" w:eastAsia="宋体" w:cs="宋体"/>
                      <w:b w:val="0"/>
                      <w:bCs w:val="0"/>
                      <w:color w:val="000000"/>
                      <w:kern w:val="0"/>
                      <w:sz w:val="21"/>
                      <w:szCs w:val="21"/>
                      <w:lang w:val="en-US" w:eastAsia="zh-CN" w:bidi="ar"/>
                    </w:rPr>
                    <w:t>非金属矿物制品制造、固体废物治理</w:t>
                  </w:r>
                  <w:r>
                    <w:rPr>
                      <w:rFonts w:hint="eastAsia" w:cs="宋体"/>
                      <w:b w:val="0"/>
                      <w:bCs w:val="0"/>
                      <w:color w:val="000000"/>
                      <w:kern w:val="0"/>
                      <w:sz w:val="21"/>
                      <w:szCs w:val="21"/>
                      <w:lang w:val="en-US" w:eastAsia="zh-CN" w:bidi="ar"/>
                    </w:rPr>
                    <w:t>；</w:t>
                  </w:r>
                  <w:r>
                    <w:rPr>
                      <w:rFonts w:hint="eastAsia" w:ascii="Times New Roman" w:hAnsi="Times New Roman" w:eastAsia="宋体" w:cs="宋体"/>
                      <w:b w:val="0"/>
                      <w:bCs w:val="0"/>
                      <w:color w:val="000000"/>
                      <w:kern w:val="0"/>
                      <w:sz w:val="21"/>
                      <w:szCs w:val="21"/>
                      <w:lang w:val="en-US" w:eastAsia="zh-CN" w:bidi="ar"/>
                    </w:rPr>
                    <w:t>项目建设地点位于本项目位于邻水县石滓镇晒金村8组</w:t>
                  </w:r>
                  <w:r>
                    <w:rPr>
                      <w:rFonts w:hint="eastAsia" w:cs="宋体"/>
                      <w:b w:val="0"/>
                      <w:bCs w:val="0"/>
                      <w:color w:val="000000"/>
                      <w:kern w:val="0"/>
                      <w:sz w:val="21"/>
                      <w:szCs w:val="21"/>
                      <w:lang w:val="en-US" w:eastAsia="zh-CN" w:bidi="ar"/>
                    </w:rPr>
                    <w:t>，不涉及</w:t>
                  </w:r>
                  <w:r>
                    <w:rPr>
                      <w:rFonts w:hint="eastAsia" w:ascii="Times New Roman" w:hAnsi="Times New Roman" w:eastAsia="宋体" w:cs="宋体"/>
                      <w:b w:val="0"/>
                      <w:bCs w:val="0"/>
                      <w:color w:val="000000"/>
                      <w:kern w:val="0"/>
                      <w:sz w:val="21"/>
                      <w:szCs w:val="21"/>
                      <w:lang w:val="en-US" w:eastAsia="zh-CN" w:bidi="ar"/>
                    </w:rPr>
                    <w:t>饮用水水源地保护区</w:t>
                  </w:r>
                  <w:r>
                    <w:rPr>
                      <w:rFonts w:hint="eastAsia" w:cs="宋体"/>
                      <w:b w:val="0"/>
                      <w:bCs w:val="0"/>
                      <w:color w:val="000000"/>
                      <w:kern w:val="0"/>
                      <w:sz w:val="21"/>
                      <w:szCs w:val="21"/>
                      <w:lang w:val="en-US" w:eastAsia="zh-CN" w:bidi="ar"/>
                    </w:rPr>
                    <w:t>；</w:t>
                  </w:r>
                  <w:r>
                    <w:rPr>
                      <w:rFonts w:hint="eastAsia" w:ascii="Times New Roman" w:hAnsi="Times New Roman" w:eastAsia="宋体" w:cs="宋体"/>
                      <w:b w:val="0"/>
                      <w:bCs w:val="0"/>
                      <w:color w:val="auto"/>
                      <w:kern w:val="0"/>
                      <w:sz w:val="21"/>
                      <w:szCs w:val="21"/>
                      <w:lang w:val="en-US" w:eastAsia="zh-CN" w:bidi="ar-SA"/>
                    </w:rPr>
                    <w:t>本项目生活污水经预处理池处理后定期由槽罐车转运至</w:t>
                  </w:r>
                  <w:r>
                    <w:rPr>
                      <w:rFonts w:hint="eastAsia" w:cs="宋体"/>
                      <w:b w:val="0"/>
                      <w:bCs w:val="0"/>
                      <w:color w:val="auto"/>
                      <w:kern w:val="0"/>
                      <w:sz w:val="21"/>
                      <w:szCs w:val="21"/>
                      <w:lang w:val="en-US" w:eastAsia="zh-CN" w:bidi="ar-SA"/>
                    </w:rPr>
                    <w:t>邻水县大步口污水处理站</w:t>
                  </w:r>
                  <w:r>
                    <w:rPr>
                      <w:rFonts w:hint="eastAsia" w:ascii="Times New Roman" w:hAnsi="Times New Roman" w:eastAsia="宋体" w:cs="宋体"/>
                      <w:b w:val="0"/>
                      <w:bCs w:val="0"/>
                      <w:color w:val="auto"/>
                      <w:kern w:val="0"/>
                      <w:sz w:val="21"/>
                      <w:szCs w:val="21"/>
                      <w:lang w:val="en-US" w:eastAsia="zh-CN" w:bidi="ar-SA"/>
                    </w:rPr>
                    <w:t>进行进一步处理后排入大洪河</w:t>
                  </w:r>
                  <w:r>
                    <w:rPr>
                      <w:rFonts w:hint="eastAsia" w:cs="宋体"/>
                      <w:b w:val="0"/>
                      <w:bCs w:val="0"/>
                      <w:color w:val="auto"/>
                      <w:kern w:val="0"/>
                      <w:sz w:val="21"/>
                      <w:szCs w:val="21"/>
                      <w:lang w:val="en-US" w:eastAsia="zh-CN" w:bidi="ar-SA"/>
                    </w:rPr>
                    <w:t>；洗砂</w:t>
                  </w:r>
                  <w:r>
                    <w:rPr>
                      <w:rFonts w:hint="eastAsia" w:ascii="Times New Roman" w:hAnsi="Times New Roman" w:eastAsia="宋体" w:cs="宋体"/>
                      <w:b w:val="0"/>
                      <w:bCs w:val="0"/>
                      <w:color w:val="auto"/>
                      <w:kern w:val="0"/>
                      <w:sz w:val="21"/>
                      <w:szCs w:val="21"/>
                      <w:lang w:val="en-US" w:eastAsia="zh-CN" w:bidi="ar-SA"/>
                    </w:rPr>
                    <w:t>废水</w:t>
                  </w:r>
                  <w:r>
                    <w:rPr>
                      <w:rFonts w:hint="eastAsia" w:cs="宋体"/>
                      <w:b w:val="0"/>
                      <w:bCs w:val="0"/>
                      <w:color w:val="auto"/>
                      <w:kern w:val="0"/>
                      <w:sz w:val="21"/>
                      <w:szCs w:val="21"/>
                      <w:lang w:val="en-US" w:eastAsia="zh-CN" w:bidi="ar-SA"/>
                    </w:rPr>
                    <w:t>、降尘废水、车辆冲洗废水和初期雨水</w:t>
                  </w:r>
                  <w:r>
                    <w:rPr>
                      <w:rFonts w:hint="eastAsia" w:ascii="Times New Roman" w:hAnsi="Times New Roman" w:eastAsia="宋体" w:cs="宋体"/>
                      <w:b w:val="0"/>
                      <w:bCs w:val="0"/>
                      <w:color w:val="auto"/>
                      <w:kern w:val="0"/>
                      <w:sz w:val="21"/>
                      <w:szCs w:val="21"/>
                      <w:lang w:val="en-US" w:eastAsia="zh-CN" w:bidi="ar-SA"/>
                    </w:rPr>
                    <w:t>经絮凝沉淀+压滤处理后回用于生产</w:t>
                  </w:r>
                  <w:r>
                    <w:rPr>
                      <w:rFonts w:hint="eastAsia" w:cs="宋体"/>
                      <w:b w:val="0"/>
                      <w:bCs w:val="0"/>
                      <w:color w:val="000000"/>
                      <w:kern w:val="0"/>
                      <w:sz w:val="21"/>
                      <w:szCs w:val="21"/>
                      <w:lang w:val="en-US" w:eastAsia="zh-CN" w:bidi="ar"/>
                    </w:rPr>
                    <w:t>。</w:t>
                  </w:r>
                </w:p>
                <w:p w14:paraId="359D45C6">
                  <w:pPr>
                    <w:pStyle w:val="99"/>
                    <w:keepNext w:val="0"/>
                    <w:keepLines w:val="0"/>
                    <w:suppressLineNumbers w:val="0"/>
                    <w:spacing w:before="0" w:beforeAutospacing="0" w:after="0" w:afterAutospacing="0"/>
                    <w:ind w:left="0" w:right="0"/>
                    <w:rPr>
                      <w:rFonts w:hint="default" w:ascii="Times New Roman" w:hAnsi="Times New Roman" w:eastAsia="宋体" w:cs="Times New Roman"/>
                      <w:bCs/>
                      <w:sz w:val="21"/>
                      <w:szCs w:val="21"/>
                      <w:vertAlign w:val="baseline"/>
                      <w:lang w:val="en-US"/>
                    </w:rPr>
                  </w:pPr>
                  <w:r>
                    <w:rPr>
                      <w:rFonts w:hint="eastAsia" w:ascii="Times New Roman" w:hAnsi="Times New Roman" w:eastAsia="宋体" w:cs="宋体"/>
                      <w:b w:val="0"/>
                      <w:bCs w:val="0"/>
                      <w:color w:val="000000"/>
                      <w:kern w:val="0"/>
                      <w:sz w:val="21"/>
                      <w:szCs w:val="21"/>
                      <w:lang w:val="en-US" w:eastAsia="zh-CN" w:bidi="ar"/>
                    </w:rPr>
                    <w:t>本项目执行大气污染物特别排放限值</w:t>
                  </w:r>
                </w:p>
              </w:tc>
              <w:tc>
                <w:tcPr>
                  <w:tcW w:w="555" w:type="pct"/>
                  <w:tcBorders>
                    <w:tl2br w:val="nil"/>
                    <w:tr2bl w:val="nil"/>
                  </w:tcBorders>
                  <w:noWrap w:val="0"/>
                  <w:vAlign w:val="center"/>
                </w:tcPr>
                <w:p w14:paraId="6D4EA957">
                  <w:pPr>
                    <w:pStyle w:val="99"/>
                    <w:keepNext w:val="0"/>
                    <w:keepLines w:val="0"/>
                    <w:suppressLineNumbers w:val="0"/>
                    <w:spacing w:before="0" w:beforeAutospacing="0" w:after="0" w:afterAutospacing="0"/>
                    <w:ind w:left="0" w:right="0"/>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符合</w:t>
                  </w:r>
                </w:p>
              </w:tc>
            </w:tr>
          </w:tbl>
          <w:p w14:paraId="750B8CBA">
            <w:pPr>
              <w:pStyle w:val="11"/>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jc w:val="both"/>
              <w:textAlignment w:val="auto"/>
              <w:rPr>
                <w:rFonts w:hint="eastAsia"/>
                <w:lang w:eastAsia="zh-CN"/>
              </w:rPr>
            </w:pPr>
            <w:r>
              <w:rPr>
                <w:rFonts w:hint="default" w:ascii="Times New Roman" w:hAnsi="Times New Roman" w:eastAsia="宋体" w:cs="Times New Roman"/>
                <w:bCs/>
                <w:color w:val="auto"/>
                <w:sz w:val="24"/>
              </w:rPr>
              <w:t>本建设项目与</w:t>
            </w:r>
            <w:r>
              <w:rPr>
                <w:rFonts w:hint="eastAsia" w:ascii="Times New Roman" w:hAnsi="Times New Roman" w:eastAsia="宋体" w:cs="Times New Roman"/>
                <w:bCs/>
                <w:color w:val="auto"/>
                <w:sz w:val="24"/>
              </w:rPr>
              <w:t>区域</w:t>
            </w:r>
            <w:r>
              <w:rPr>
                <w:rFonts w:hint="default" w:ascii="Times New Roman" w:hAnsi="Times New Roman" w:eastAsia="宋体" w:cs="Times New Roman"/>
                <w:bCs/>
                <w:color w:val="auto"/>
                <w:sz w:val="24"/>
              </w:rPr>
              <w:t>“</w:t>
            </w:r>
            <w:r>
              <w:rPr>
                <w:rFonts w:hint="eastAsia" w:ascii="Times New Roman" w:hAnsi="Times New Roman" w:eastAsia="宋体" w:cs="Times New Roman"/>
                <w:bCs/>
                <w:color w:val="auto"/>
                <w:sz w:val="24"/>
              </w:rPr>
              <w:t>生态环境准入清单</w:t>
            </w:r>
            <w:r>
              <w:rPr>
                <w:rFonts w:hint="default" w:ascii="Times New Roman" w:hAnsi="Times New Roman" w:eastAsia="宋体" w:cs="Times New Roman"/>
                <w:bCs/>
                <w:color w:val="auto"/>
                <w:sz w:val="24"/>
              </w:rPr>
              <w:t>”相关要求符合性分析见下表：</w:t>
            </w:r>
          </w:p>
        </w:tc>
      </w:tr>
    </w:tbl>
    <w:p w14:paraId="45A89C72">
      <w:pPr>
        <w:autoSpaceDE w:val="0"/>
        <w:autoSpaceDN w:val="0"/>
        <w:adjustRightInd w:val="0"/>
        <w:snapToGrid w:val="0"/>
        <w:jc w:val="center"/>
        <w:rPr>
          <w:rFonts w:hint="eastAsia" w:ascii="Times New Roman" w:hAnsi="Times New Roman" w:eastAsia="宋体" w:cs="宋体"/>
          <w:kern w:val="0"/>
          <w:sz w:val="24"/>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01FFBD44">
      <w:pPr>
        <w:pStyle w:val="47"/>
        <w:ind w:firstLine="482"/>
        <w:rPr>
          <w:rFonts w:ascii="Times New Roman" w:hAnsi="Times New Roman" w:eastAsia="宋体" w:cs="Times New Roman"/>
          <w:b/>
          <w:bCs/>
          <w:color w:val="auto"/>
          <w:szCs w:val="24"/>
        </w:rPr>
      </w:pPr>
    </w:p>
    <w:p w14:paraId="3636497C">
      <w:pPr>
        <w:pStyle w:val="47"/>
        <w:spacing w:line="240" w:lineRule="auto"/>
        <w:ind w:firstLine="422"/>
        <w:jc w:val="center"/>
        <w:rPr>
          <w:rFonts w:hint="eastAsia" w:ascii="Times New Roman" w:hAnsi="Times New Roman" w:eastAsia="宋体" w:cs="Times New Roman"/>
          <w:b/>
          <w:bCs/>
          <w:color w:val="auto"/>
          <w:sz w:val="21"/>
          <w:szCs w:val="21"/>
        </w:rPr>
      </w:pPr>
      <w:r>
        <w:rPr>
          <w:rFonts w:hint="eastAsia" w:ascii="Times New Roman" w:hAnsi="Times New Roman" w:eastAsia="宋体"/>
          <w:b/>
          <w:bCs/>
          <w:color w:val="auto"/>
          <w:sz w:val="21"/>
          <w:szCs w:val="21"/>
        </w:rPr>
        <w:t>表1-</w:t>
      </w:r>
      <w:r>
        <w:rPr>
          <w:rFonts w:hint="eastAsia"/>
          <w:b/>
          <w:bCs/>
          <w:color w:val="auto"/>
          <w:sz w:val="21"/>
          <w:szCs w:val="21"/>
          <w:lang w:val="en-US" w:eastAsia="zh-CN"/>
        </w:rPr>
        <w:t>3</w:t>
      </w:r>
      <w:r>
        <w:rPr>
          <w:rFonts w:hint="eastAsia" w:ascii="Times New Roman" w:hAnsi="Times New Roman" w:eastAsia="宋体"/>
          <w:b/>
          <w:bCs/>
          <w:color w:val="auto"/>
          <w:sz w:val="21"/>
          <w:szCs w:val="21"/>
        </w:rPr>
        <w:t xml:space="preserve">  </w:t>
      </w:r>
      <w:r>
        <w:rPr>
          <w:rFonts w:ascii="Times New Roman" w:hAnsi="Times New Roman" w:eastAsia="宋体" w:cs="Times New Roman"/>
          <w:b/>
          <w:bCs/>
          <w:color w:val="auto"/>
          <w:sz w:val="21"/>
          <w:szCs w:val="21"/>
        </w:rPr>
        <w:t>项目与</w:t>
      </w:r>
      <w:r>
        <w:rPr>
          <w:rFonts w:hint="eastAsia" w:ascii="Times New Roman" w:hAnsi="Times New Roman" w:eastAsia="宋体" w:cs="Times New Roman"/>
          <w:b/>
          <w:bCs/>
          <w:color w:val="auto"/>
          <w:sz w:val="21"/>
          <w:szCs w:val="21"/>
        </w:rPr>
        <w:t>生态环境准入清单</w:t>
      </w:r>
      <w:r>
        <w:rPr>
          <w:rFonts w:ascii="Times New Roman" w:hAnsi="Times New Roman" w:eastAsia="宋体" w:cs="Times New Roman"/>
          <w:b/>
          <w:bCs/>
          <w:color w:val="auto"/>
          <w:sz w:val="21"/>
          <w:szCs w:val="21"/>
        </w:rPr>
        <w:t>符合性分析</w:t>
      </w:r>
      <w:r>
        <w:rPr>
          <w:rFonts w:hint="eastAsia" w:ascii="Times New Roman" w:hAnsi="Times New Roman" w:eastAsia="宋体" w:cs="Times New Roman"/>
          <w:b/>
          <w:bCs/>
          <w:color w:val="auto"/>
          <w:sz w:val="21"/>
          <w:szCs w:val="21"/>
        </w:rPr>
        <w:t>一览表</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
        <w:gridCol w:w="1131"/>
        <w:gridCol w:w="852"/>
        <w:gridCol w:w="1490"/>
        <w:gridCol w:w="5467"/>
        <w:gridCol w:w="2829"/>
        <w:gridCol w:w="926"/>
      </w:tblGrid>
      <w:tr w14:paraId="0E5D2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622" w:type="pct"/>
            <w:gridSpan w:val="4"/>
            <w:noWrap w:val="0"/>
            <w:vAlign w:val="center"/>
          </w:tcPr>
          <w:p w14:paraId="4AFA1E49">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管控类型</w:t>
            </w:r>
          </w:p>
        </w:tc>
        <w:tc>
          <w:tcPr>
            <w:tcW w:w="2002" w:type="pct"/>
            <w:vMerge w:val="restart"/>
            <w:noWrap w:val="0"/>
            <w:vAlign w:val="center"/>
          </w:tcPr>
          <w:p w14:paraId="64B0DEE9">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对应管控要求</w:t>
            </w:r>
          </w:p>
        </w:tc>
        <w:tc>
          <w:tcPr>
            <w:tcW w:w="1036" w:type="pct"/>
            <w:vMerge w:val="restart"/>
            <w:noWrap w:val="0"/>
            <w:vAlign w:val="center"/>
          </w:tcPr>
          <w:p w14:paraId="6E9B0962">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本项目对应情况介绍</w:t>
            </w:r>
          </w:p>
        </w:tc>
        <w:tc>
          <w:tcPr>
            <w:tcW w:w="339" w:type="pct"/>
            <w:vMerge w:val="restart"/>
            <w:noWrap w:val="0"/>
            <w:vAlign w:val="center"/>
          </w:tcPr>
          <w:p w14:paraId="144A5C7A">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符合性</w:t>
            </w:r>
          </w:p>
        </w:tc>
      </w:tr>
      <w:tr w14:paraId="36324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 w:type="pct"/>
            <w:noWrap w:val="0"/>
            <w:vAlign w:val="center"/>
          </w:tcPr>
          <w:p w14:paraId="0EE4A21B">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编码</w:t>
            </w:r>
          </w:p>
        </w:tc>
        <w:tc>
          <w:tcPr>
            <w:tcW w:w="414" w:type="pct"/>
            <w:noWrap w:val="0"/>
            <w:vAlign w:val="center"/>
          </w:tcPr>
          <w:p w14:paraId="04087B68">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名称</w:t>
            </w:r>
          </w:p>
        </w:tc>
        <w:tc>
          <w:tcPr>
            <w:tcW w:w="857" w:type="pct"/>
            <w:gridSpan w:val="2"/>
            <w:noWrap w:val="0"/>
            <w:vAlign w:val="center"/>
          </w:tcPr>
          <w:p w14:paraId="677C4FF3">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分类</w:t>
            </w:r>
          </w:p>
        </w:tc>
        <w:tc>
          <w:tcPr>
            <w:tcW w:w="2002" w:type="pct"/>
            <w:vMerge w:val="continue"/>
            <w:noWrap w:val="0"/>
            <w:vAlign w:val="center"/>
          </w:tcPr>
          <w:p w14:paraId="451211C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1036" w:type="pct"/>
            <w:vMerge w:val="continue"/>
            <w:noWrap w:val="0"/>
            <w:vAlign w:val="center"/>
          </w:tcPr>
          <w:p w14:paraId="2BDF633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339" w:type="pct"/>
            <w:vMerge w:val="continue"/>
            <w:noWrap w:val="0"/>
            <w:vAlign w:val="center"/>
          </w:tcPr>
          <w:p w14:paraId="1896327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r>
      <w:tr w14:paraId="34CE8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2" w:hRule="atLeast"/>
        </w:trPr>
        <w:tc>
          <w:tcPr>
            <w:tcW w:w="350" w:type="pct"/>
            <w:vMerge w:val="restart"/>
            <w:noWrap w:val="0"/>
            <w:vAlign w:val="center"/>
          </w:tcPr>
          <w:p w14:paraId="56DC2E3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ZH51162330001</w:t>
            </w:r>
          </w:p>
        </w:tc>
        <w:tc>
          <w:tcPr>
            <w:tcW w:w="414" w:type="pct"/>
            <w:vMerge w:val="restart"/>
            <w:noWrap w:val="0"/>
            <w:vAlign w:val="center"/>
          </w:tcPr>
          <w:p w14:paraId="708A21B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邻水县一般管控单元</w:t>
            </w:r>
          </w:p>
        </w:tc>
        <w:tc>
          <w:tcPr>
            <w:tcW w:w="312" w:type="pct"/>
            <w:vMerge w:val="restart"/>
            <w:noWrap w:val="0"/>
            <w:vAlign w:val="center"/>
          </w:tcPr>
          <w:p w14:paraId="20B42CE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普适性清单管控要求</w:t>
            </w:r>
          </w:p>
        </w:tc>
        <w:tc>
          <w:tcPr>
            <w:tcW w:w="545" w:type="pct"/>
            <w:vMerge w:val="restart"/>
            <w:noWrap w:val="0"/>
            <w:vAlign w:val="center"/>
          </w:tcPr>
          <w:p w14:paraId="48561C5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空间布局约束</w:t>
            </w:r>
          </w:p>
        </w:tc>
        <w:tc>
          <w:tcPr>
            <w:tcW w:w="2002" w:type="pct"/>
            <w:noWrap w:val="0"/>
            <w:vAlign w:val="center"/>
          </w:tcPr>
          <w:p w14:paraId="03CCC83C">
            <w:pPr>
              <w:pStyle w:val="87"/>
              <w:keepNext w:val="0"/>
              <w:keepLines w:val="0"/>
              <w:suppressLineNumbers w:val="0"/>
              <w:spacing w:before="0" w:beforeAutospacing="0" w:after="0" w:afterAutospacing="0" w:line="240" w:lineRule="auto"/>
              <w:ind w:left="0" w:right="0" w:firstLine="0" w:firstLineChars="0"/>
              <w:rPr>
                <w:rFonts w:hint="eastAsia" w:ascii="Times New Roman" w:hAnsi="Times New Roman" w:eastAsia="宋体" w:cs="Times New Roman"/>
                <w:b/>
                <w:color w:val="auto"/>
                <w:kern w:val="0"/>
                <w:sz w:val="21"/>
              </w:rPr>
            </w:pPr>
            <w:r>
              <w:rPr>
                <w:rFonts w:hint="eastAsia" w:ascii="Times New Roman" w:hAnsi="Times New Roman" w:eastAsia="宋体" w:cs="Times New Roman"/>
                <w:b/>
                <w:color w:val="auto"/>
                <w:kern w:val="0"/>
                <w:sz w:val="21"/>
              </w:rPr>
              <w:t>禁止开发建设活动的要求：</w:t>
            </w:r>
          </w:p>
          <w:p w14:paraId="4A10A849">
            <w:pPr>
              <w:pStyle w:val="87"/>
              <w:keepNext w:val="0"/>
              <w:keepLines w:val="0"/>
              <w:widowControl w:val="0"/>
              <w:suppressLineNumbers w:val="0"/>
              <w:spacing w:before="0" w:beforeAutospacing="0" w:after="0" w:afterAutospacing="0" w:line="240" w:lineRule="auto"/>
              <w:ind w:left="0" w:right="0" w:firstLine="0" w:firstLineChars="0"/>
              <w:jc w:val="both"/>
              <w:rPr>
                <w:rStyle w:val="27"/>
                <w:rFonts w:hint="eastAsia" w:ascii="宋体" w:hAnsi="宋体" w:eastAsia="宋体" w:cs="宋体"/>
                <w:color w:val="000000"/>
                <w:kern w:val="0"/>
                <w:sz w:val="21"/>
                <w:szCs w:val="21"/>
                <w:lang w:val="en-US" w:eastAsia="zh-CN" w:bidi="ar-SA"/>
              </w:rPr>
            </w:pPr>
            <w:r>
              <w:rPr>
                <w:rStyle w:val="27"/>
                <w:rFonts w:hint="eastAsia" w:ascii="宋体" w:hAnsi="宋体" w:eastAsia="宋体" w:cs="宋体"/>
                <w:color w:val="000000"/>
                <w:kern w:val="0"/>
                <w:sz w:val="21"/>
                <w:szCs w:val="21"/>
                <w:lang w:val="en-US" w:eastAsia="zh-CN" w:bidi="ar-SA"/>
              </w:rPr>
              <w:t>1.禁止在长江干支流岸线一公里范围内新建、扩建化工园区和化工项目；禁止在长江干流岸线三公里范围内和重要支流岸线一公里范围内新建、改建、扩建尾矿库、冶炼渣库、磷石膏库，以提升安全、生态环境保护水平为目的的改建除外。</w:t>
            </w:r>
          </w:p>
          <w:p w14:paraId="26DD5975">
            <w:pPr>
              <w:pStyle w:val="87"/>
              <w:keepNext w:val="0"/>
              <w:keepLines w:val="0"/>
              <w:widowControl w:val="0"/>
              <w:suppressLineNumbers w:val="0"/>
              <w:spacing w:before="0" w:beforeAutospacing="0" w:after="0" w:afterAutospacing="0" w:line="240" w:lineRule="auto"/>
              <w:ind w:left="0" w:right="0" w:firstLine="0" w:firstLineChars="0"/>
              <w:jc w:val="both"/>
              <w:rPr>
                <w:rStyle w:val="27"/>
                <w:rFonts w:hint="eastAsia" w:ascii="宋体" w:hAnsi="宋体" w:eastAsia="宋体" w:cs="宋体"/>
                <w:color w:val="000000"/>
                <w:kern w:val="0"/>
                <w:sz w:val="21"/>
                <w:szCs w:val="21"/>
                <w:lang w:val="en-US" w:eastAsia="zh-CN" w:bidi="ar-SA"/>
              </w:rPr>
            </w:pPr>
            <w:r>
              <w:rPr>
                <w:rStyle w:val="27"/>
                <w:rFonts w:hint="eastAsia" w:ascii="宋体" w:hAnsi="宋体" w:eastAsia="宋体" w:cs="宋体"/>
                <w:color w:val="000000"/>
                <w:kern w:val="0"/>
                <w:sz w:val="21"/>
                <w:szCs w:val="21"/>
                <w:lang w:val="en-US" w:eastAsia="zh-CN" w:bidi="ar-SA"/>
              </w:rPr>
              <w:t>2.禁止在法律法规规定的禁采区内新建矿山；禁止土法采、选、冶严重污染环境的矿产资源。</w:t>
            </w:r>
          </w:p>
          <w:p w14:paraId="2A945D2A">
            <w:pPr>
              <w:pStyle w:val="87"/>
              <w:keepNext w:val="0"/>
              <w:keepLines w:val="0"/>
              <w:widowControl w:val="0"/>
              <w:suppressLineNumbers w:val="0"/>
              <w:spacing w:before="0" w:beforeAutospacing="0" w:after="0" w:afterAutospacing="0" w:line="240" w:lineRule="auto"/>
              <w:ind w:left="0" w:right="0" w:firstLine="0" w:firstLineChars="0"/>
              <w:jc w:val="both"/>
              <w:rPr>
                <w:rStyle w:val="27"/>
                <w:rFonts w:hint="eastAsia" w:ascii="宋体" w:hAnsi="宋体" w:eastAsia="宋体" w:cs="宋体"/>
                <w:color w:val="000000"/>
                <w:kern w:val="0"/>
                <w:sz w:val="21"/>
                <w:szCs w:val="21"/>
                <w:lang w:val="en-US" w:eastAsia="zh-CN" w:bidi="ar-SA"/>
              </w:rPr>
            </w:pPr>
            <w:r>
              <w:rPr>
                <w:rStyle w:val="27"/>
                <w:rFonts w:hint="eastAsia" w:ascii="宋体" w:hAnsi="宋体" w:eastAsia="宋体" w:cs="宋体"/>
                <w:color w:val="000000"/>
                <w:kern w:val="0"/>
                <w:sz w:val="21"/>
                <w:szCs w:val="21"/>
                <w:lang w:val="en-US" w:eastAsia="zh-CN" w:bidi="ar-SA"/>
              </w:rPr>
              <w:t>3.涉及永久基本农田的区域，除法律规定的重点建设项目选址确实无法避让外，其他任何建设不得占用。</w:t>
            </w:r>
          </w:p>
          <w:p w14:paraId="73DFD55A">
            <w:pPr>
              <w:pStyle w:val="87"/>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color w:val="auto"/>
              </w:rPr>
            </w:pPr>
            <w:r>
              <w:rPr>
                <w:rStyle w:val="27"/>
                <w:rFonts w:hint="eastAsia" w:ascii="宋体" w:hAnsi="宋体" w:eastAsia="宋体" w:cs="宋体"/>
                <w:color w:val="000000"/>
                <w:kern w:val="0"/>
                <w:sz w:val="21"/>
                <w:szCs w:val="21"/>
                <w:lang w:val="en-US" w:eastAsia="zh-CN" w:bidi="ar-SA"/>
              </w:rPr>
              <w:t>4.禁止在永久基本农田集中区域和其他需要特别保护的区域选址建设尾矿库、冶炼渣库、磷石膏库。</w:t>
            </w:r>
          </w:p>
        </w:tc>
        <w:tc>
          <w:tcPr>
            <w:tcW w:w="1036" w:type="pct"/>
            <w:noWrap w:val="0"/>
            <w:vAlign w:val="center"/>
          </w:tcPr>
          <w:p w14:paraId="5AB1883B">
            <w:pPr>
              <w:keepNext w:val="0"/>
              <w:keepLines w:val="0"/>
              <w:widowControl/>
              <w:suppressLineNumbers w:val="0"/>
              <w:spacing w:before="0" w:beforeAutospacing="0" w:after="0" w:afterAutospacing="0"/>
              <w:ind w:left="0" w:right="0"/>
              <w:jc w:val="left"/>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1.本项目为其他非金属矿物制品制造、固体废物治理，项目建设地点位于邻水县石滓镇晒金村8组；</w:t>
            </w:r>
          </w:p>
          <w:p w14:paraId="27D6B907">
            <w:pPr>
              <w:keepNext w:val="0"/>
              <w:keepLines w:val="0"/>
              <w:widowControl/>
              <w:suppressLineNumbers w:val="0"/>
              <w:spacing w:before="0" w:beforeAutospacing="0" w:after="0" w:afterAutospacing="0"/>
              <w:ind w:left="0" w:right="0"/>
              <w:jc w:val="left"/>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2.不涉及；</w:t>
            </w:r>
          </w:p>
          <w:p w14:paraId="64EC7E3D">
            <w:pPr>
              <w:keepNext w:val="0"/>
              <w:keepLines w:val="0"/>
              <w:widowControl/>
              <w:suppressLineNumbers w:val="0"/>
              <w:spacing w:before="0" w:beforeAutospacing="0" w:after="0" w:afterAutospacing="0"/>
              <w:ind w:left="0" w:right="0"/>
              <w:jc w:val="left"/>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3.项目建设用地为</w:t>
            </w:r>
            <w:r>
              <w:rPr>
                <w:rFonts w:hint="eastAsia" w:cs="宋体"/>
                <w:b w:val="0"/>
                <w:bCs w:val="0"/>
                <w:color w:val="000000"/>
                <w:kern w:val="0"/>
                <w:sz w:val="21"/>
                <w:szCs w:val="21"/>
                <w:lang w:val="en-US" w:eastAsia="zh-CN" w:bidi="ar"/>
              </w:rPr>
              <w:t>闲置的工矿用地</w:t>
            </w:r>
            <w:r>
              <w:rPr>
                <w:rFonts w:hint="eastAsia" w:ascii="Times New Roman" w:hAnsi="Times New Roman" w:eastAsia="宋体" w:cs="宋体"/>
                <w:b w:val="0"/>
                <w:bCs w:val="0"/>
                <w:color w:val="000000"/>
                <w:kern w:val="0"/>
                <w:sz w:val="21"/>
                <w:szCs w:val="21"/>
                <w:lang w:val="en-US" w:eastAsia="zh-CN" w:bidi="ar"/>
              </w:rPr>
              <w:t>，不涉及永久基本农田；</w:t>
            </w:r>
          </w:p>
          <w:p w14:paraId="7C1169BB">
            <w:pPr>
              <w:keepNext w:val="0"/>
              <w:keepLines w:val="0"/>
              <w:widowControl/>
              <w:suppressLineNumbers w:val="0"/>
              <w:spacing w:before="0" w:beforeAutospacing="0" w:after="0" w:afterAutospacing="0"/>
              <w:ind w:left="0" w:right="0"/>
              <w:jc w:val="left"/>
              <w:rPr>
                <w:rFonts w:hint="default"/>
                <w:lang w:val="en-US" w:eastAsia="zh-CN"/>
              </w:rPr>
            </w:pPr>
            <w:r>
              <w:rPr>
                <w:rFonts w:hint="eastAsia" w:ascii="Times New Roman" w:hAnsi="Times New Roman" w:eastAsia="宋体" w:cs="宋体"/>
                <w:b w:val="0"/>
                <w:bCs w:val="0"/>
                <w:color w:val="000000"/>
                <w:kern w:val="0"/>
                <w:sz w:val="21"/>
                <w:szCs w:val="21"/>
                <w:lang w:val="en-US" w:eastAsia="zh-CN" w:bidi="ar"/>
              </w:rPr>
              <w:t>4.不涉及</w:t>
            </w:r>
          </w:p>
        </w:tc>
        <w:tc>
          <w:tcPr>
            <w:tcW w:w="339" w:type="pct"/>
            <w:vMerge w:val="restart"/>
            <w:noWrap w:val="0"/>
            <w:vAlign w:val="center"/>
          </w:tcPr>
          <w:p w14:paraId="3C3C87A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14:paraId="716E8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350" w:type="pct"/>
            <w:vMerge w:val="continue"/>
            <w:noWrap w:val="0"/>
            <w:vAlign w:val="center"/>
          </w:tcPr>
          <w:p w14:paraId="00BA0E7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p>
        </w:tc>
        <w:tc>
          <w:tcPr>
            <w:tcW w:w="414" w:type="pct"/>
            <w:vMerge w:val="continue"/>
            <w:noWrap w:val="0"/>
            <w:vAlign w:val="center"/>
          </w:tcPr>
          <w:p w14:paraId="3484586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p>
        </w:tc>
        <w:tc>
          <w:tcPr>
            <w:tcW w:w="312" w:type="pct"/>
            <w:vMerge w:val="continue"/>
            <w:noWrap w:val="0"/>
            <w:vAlign w:val="center"/>
          </w:tcPr>
          <w:p w14:paraId="22B1F7F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p>
        </w:tc>
        <w:tc>
          <w:tcPr>
            <w:tcW w:w="545" w:type="pct"/>
            <w:vMerge w:val="continue"/>
            <w:noWrap w:val="0"/>
            <w:vAlign w:val="center"/>
          </w:tcPr>
          <w:p w14:paraId="24ABC3F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p>
        </w:tc>
        <w:tc>
          <w:tcPr>
            <w:tcW w:w="2002" w:type="pct"/>
            <w:noWrap w:val="0"/>
            <w:vAlign w:val="center"/>
          </w:tcPr>
          <w:p w14:paraId="7F7AF3E1">
            <w:pPr>
              <w:keepNext w:val="0"/>
              <w:keepLines w:val="0"/>
              <w:widowControl/>
              <w:suppressLineNumbers w:val="0"/>
              <w:spacing w:before="0" w:beforeAutospacing="0" w:after="0" w:afterAutospacing="0" w:line="240" w:lineRule="auto"/>
              <w:ind w:left="0" w:right="0"/>
              <w:rPr>
                <w:rFonts w:hint="eastAsia" w:ascii="Times New Roman" w:hAnsi="Times New Roman" w:eastAsia="宋体" w:cs="Times New Roman"/>
                <w:b/>
                <w:color w:val="auto"/>
                <w:kern w:val="0"/>
                <w:szCs w:val="21"/>
              </w:rPr>
            </w:pPr>
            <w:r>
              <w:rPr>
                <w:rFonts w:hint="eastAsia" w:ascii="Times New Roman" w:hAnsi="Times New Roman" w:eastAsia="宋体" w:cs="Times New Roman"/>
                <w:b/>
                <w:color w:val="auto"/>
                <w:kern w:val="0"/>
                <w:szCs w:val="21"/>
              </w:rPr>
              <w:t>限制开发建设活动的要求：</w:t>
            </w:r>
          </w:p>
          <w:p w14:paraId="37CFC0E3">
            <w:pPr>
              <w:pStyle w:val="87"/>
              <w:keepNext w:val="0"/>
              <w:keepLines w:val="0"/>
              <w:widowControl w:val="0"/>
              <w:suppressLineNumbers w:val="0"/>
              <w:spacing w:before="0" w:beforeAutospacing="0" w:after="0" w:afterAutospacing="0" w:line="240" w:lineRule="auto"/>
              <w:ind w:left="0" w:right="0" w:firstLine="0" w:firstLineChars="0"/>
              <w:jc w:val="both"/>
              <w:rPr>
                <w:rStyle w:val="27"/>
                <w:rFonts w:hint="eastAsia" w:ascii="宋体" w:hAnsi="宋体" w:eastAsia="宋体" w:cs="宋体"/>
                <w:color w:val="000000"/>
                <w:kern w:val="0"/>
                <w:sz w:val="21"/>
                <w:szCs w:val="21"/>
                <w:lang w:val="en-US" w:eastAsia="zh-CN" w:bidi="ar-SA"/>
              </w:rPr>
            </w:pPr>
            <w:r>
              <w:rPr>
                <w:rStyle w:val="27"/>
                <w:rFonts w:hint="eastAsia" w:ascii="宋体" w:hAnsi="宋体" w:eastAsia="宋体" w:cs="宋体"/>
                <w:color w:val="000000"/>
                <w:kern w:val="0"/>
                <w:sz w:val="21"/>
                <w:szCs w:val="21"/>
                <w:lang w:val="en-US" w:eastAsia="zh-CN" w:bidi="ar-SA"/>
              </w:rPr>
              <w:t>1.涉及法定保护地，严格按照国家及地方法律法规、管理办法等相关要求进行控制。配套旅游、基础设施等建设项目，在符合规划和相关保护要求的前提下，应实施生态避让、减缓影响及生态恢复措施。</w:t>
            </w:r>
          </w:p>
          <w:p w14:paraId="1F856748">
            <w:pPr>
              <w:pStyle w:val="87"/>
              <w:keepNext w:val="0"/>
              <w:keepLines w:val="0"/>
              <w:widowControl w:val="0"/>
              <w:suppressLineNumbers w:val="0"/>
              <w:spacing w:before="0" w:beforeAutospacing="0" w:after="0" w:afterAutospacing="0" w:line="240" w:lineRule="auto"/>
              <w:ind w:left="0" w:right="0" w:firstLine="0" w:firstLineChars="0"/>
              <w:jc w:val="both"/>
              <w:rPr>
                <w:rStyle w:val="27"/>
                <w:rFonts w:hint="eastAsia" w:ascii="宋体" w:hAnsi="宋体" w:eastAsia="宋体" w:cs="宋体"/>
                <w:color w:val="000000"/>
                <w:kern w:val="0"/>
                <w:sz w:val="21"/>
                <w:szCs w:val="21"/>
                <w:lang w:val="en-US" w:eastAsia="zh-CN" w:bidi="ar-SA"/>
              </w:rPr>
            </w:pPr>
            <w:r>
              <w:rPr>
                <w:rStyle w:val="27"/>
                <w:rFonts w:hint="eastAsia" w:ascii="宋体" w:hAnsi="宋体" w:eastAsia="宋体" w:cs="宋体"/>
                <w:color w:val="000000"/>
                <w:kern w:val="0"/>
                <w:sz w:val="21"/>
                <w:szCs w:val="21"/>
                <w:lang w:val="en-US" w:eastAsia="zh-CN" w:bidi="ar-SA"/>
              </w:rPr>
              <w:t>2.按照相关要求严控水泥新增产能。</w:t>
            </w:r>
          </w:p>
          <w:p w14:paraId="2EEBFB8F">
            <w:pPr>
              <w:pStyle w:val="87"/>
              <w:keepNext w:val="0"/>
              <w:keepLines w:val="0"/>
              <w:widowControl w:val="0"/>
              <w:suppressLineNumbers w:val="0"/>
              <w:spacing w:before="0" w:beforeAutospacing="0" w:after="0" w:afterAutospacing="0" w:line="240" w:lineRule="auto"/>
              <w:ind w:left="0" w:right="0" w:firstLine="0" w:firstLineChars="0"/>
              <w:jc w:val="both"/>
              <w:rPr>
                <w:rStyle w:val="27"/>
                <w:rFonts w:hint="eastAsia" w:ascii="宋体" w:hAnsi="宋体" w:eastAsia="宋体" w:cs="宋体"/>
                <w:color w:val="000000"/>
                <w:kern w:val="0"/>
                <w:sz w:val="21"/>
                <w:szCs w:val="21"/>
                <w:lang w:val="en-US" w:eastAsia="zh-CN" w:bidi="ar-SA"/>
              </w:rPr>
            </w:pPr>
            <w:r>
              <w:rPr>
                <w:rStyle w:val="27"/>
                <w:rFonts w:hint="eastAsia" w:ascii="宋体" w:hAnsi="宋体" w:eastAsia="宋体" w:cs="宋体"/>
                <w:color w:val="000000"/>
                <w:kern w:val="0"/>
                <w:sz w:val="21"/>
                <w:szCs w:val="21"/>
                <w:lang w:val="en-US" w:eastAsia="zh-CN" w:bidi="ar-SA"/>
              </w:rPr>
              <w:t>3.已经划定的永久基本农田特别是城市周边永久基本农田不得随意占用和调整。重大建设项目、生态建设、灾毁等经国务院批准占用或依法认定减少永久基本农田的，按照中央文件要求，在原县域范围内补划永久基本农田。坚持“保护优先、布局优化、优进劣出、提升质量”的工作原则，坚持“制定方案、调查摸底、核实举证、论证审核、复核质检”的工作程序，按照永久基本农田划定有关要求，补划数量和质量相当的永久基本农田。</w:t>
            </w:r>
          </w:p>
          <w:p w14:paraId="4879C06B">
            <w:pPr>
              <w:pStyle w:val="87"/>
              <w:keepNext w:val="0"/>
              <w:keepLines w:val="0"/>
              <w:widowControl w:val="0"/>
              <w:suppressLineNumbers w:val="0"/>
              <w:spacing w:before="0" w:beforeAutospacing="0" w:after="0" w:afterAutospacing="0" w:line="240" w:lineRule="auto"/>
              <w:ind w:left="0" w:right="0" w:firstLine="0" w:firstLineChars="0"/>
              <w:jc w:val="both"/>
              <w:rPr>
                <w:rStyle w:val="27"/>
                <w:rFonts w:hint="eastAsia" w:ascii="宋体" w:hAnsi="宋体" w:eastAsia="宋体" w:cs="宋体"/>
                <w:color w:val="000000"/>
                <w:kern w:val="0"/>
                <w:sz w:val="21"/>
                <w:szCs w:val="21"/>
                <w:lang w:val="en-US" w:eastAsia="zh-CN" w:bidi="ar-SA"/>
              </w:rPr>
            </w:pPr>
            <w:r>
              <w:rPr>
                <w:rStyle w:val="27"/>
                <w:rFonts w:hint="eastAsia" w:ascii="宋体" w:hAnsi="宋体" w:eastAsia="宋体" w:cs="宋体"/>
                <w:color w:val="000000"/>
                <w:kern w:val="0"/>
                <w:sz w:val="21"/>
                <w:szCs w:val="21"/>
                <w:lang w:val="en-US" w:eastAsia="zh-CN" w:bidi="ar-SA"/>
              </w:rPr>
              <w:t>4.大气环境布局敏感重点管控区：（1）坚决遏制高耗能、高排放、低水平项目盲目发展，严格落实国家和四川省产业规划、产业政策、规划环评，以及产能置换、煤炭消费减量替代、区域污染物削减等要求，坚决叫停不符合要求的高耗能、高排放、低水平项目。（2）提升高耗能项目能耗准入标准，能耗、物耗要达到清洁生产先进水平。严禁新增钢铁、焦化、炼油、电解铝、水泥、平板玻璃（不含光伏玻璃）等产能。</w:t>
            </w:r>
          </w:p>
          <w:p w14:paraId="7C1411A8">
            <w:pPr>
              <w:pStyle w:val="87"/>
              <w:keepNext w:val="0"/>
              <w:keepLines w:val="0"/>
              <w:widowControl w:val="0"/>
              <w:suppressLineNumbers w:val="0"/>
              <w:spacing w:before="0" w:beforeAutospacing="0" w:after="0" w:afterAutospacing="0" w:line="240" w:lineRule="auto"/>
              <w:ind w:left="0" w:right="0" w:firstLine="0" w:firstLineChars="0"/>
              <w:jc w:val="both"/>
              <w:rPr>
                <w:rStyle w:val="27"/>
                <w:rFonts w:hint="eastAsia" w:ascii="宋体" w:hAnsi="宋体" w:eastAsia="宋体" w:cs="宋体"/>
                <w:color w:val="000000"/>
                <w:kern w:val="0"/>
                <w:sz w:val="21"/>
                <w:szCs w:val="21"/>
                <w:lang w:val="en-US" w:eastAsia="zh-CN" w:bidi="ar-SA"/>
              </w:rPr>
            </w:pPr>
            <w:r>
              <w:rPr>
                <w:rStyle w:val="27"/>
                <w:rFonts w:hint="eastAsia" w:ascii="宋体" w:hAnsi="宋体" w:eastAsia="宋体" w:cs="宋体"/>
                <w:color w:val="000000"/>
                <w:kern w:val="0"/>
                <w:sz w:val="21"/>
                <w:szCs w:val="21"/>
                <w:lang w:val="en-US" w:eastAsia="zh-CN" w:bidi="ar-SA"/>
              </w:rPr>
              <w:t>5.大气弱扩散重点管控区：强化落后产能退出机制，对能耗、环保、安全、技术达不到标准，生产不合格或淘汰类产品的企业和产能，依法予以关闭淘汰，推动重污染企业搬迁入园或依法关闭。对长江及重要支流沿线存在重大环境安全隐患的生产企业，加快推进就地改造异地迁建、关闭退出。开展差别化环境管理，对能耗、物耗、污染物排放等指标提出最严格管控要求，倒逼竞争乏力的产能退出。支持现有钢铁、水泥、焦化等废气排放量大的产业向有刚性需求、具有资源优势、环境容量允许的地区转移布局。</w:t>
            </w:r>
          </w:p>
          <w:p w14:paraId="51DEF1AD">
            <w:pPr>
              <w:pStyle w:val="87"/>
              <w:keepNext w:val="0"/>
              <w:keepLines w:val="0"/>
              <w:widowControl w:val="0"/>
              <w:suppressLineNumbers w:val="0"/>
              <w:spacing w:before="0" w:beforeAutospacing="0" w:after="0" w:afterAutospacing="0" w:line="240" w:lineRule="auto"/>
              <w:ind w:left="0" w:right="0" w:firstLine="0" w:firstLineChars="0"/>
              <w:jc w:val="both"/>
              <w:rPr>
                <w:rFonts w:hint="eastAsia" w:ascii="Times New Roman" w:hAnsi="Times New Roman" w:eastAsia="宋体" w:cs="Times New Roman"/>
                <w:b/>
                <w:color w:val="auto"/>
                <w:kern w:val="0"/>
                <w:szCs w:val="21"/>
              </w:rPr>
            </w:pPr>
            <w:r>
              <w:rPr>
                <w:rStyle w:val="27"/>
                <w:rFonts w:hint="eastAsia" w:ascii="宋体" w:hAnsi="宋体" w:eastAsia="宋体" w:cs="宋体"/>
                <w:color w:val="000000"/>
                <w:kern w:val="0"/>
                <w:sz w:val="21"/>
                <w:szCs w:val="21"/>
                <w:lang w:val="en-US" w:eastAsia="zh-CN" w:bidi="ar-SA"/>
              </w:rPr>
              <w:t>6.水环境农业污染重点管控区：（1）稳步推进建制镇污水处理设施建设，适当预留发展空间，宜集中则集中，宜分散则分散。农村生活污水处理设施排水执行《农村生活污水处理设施水污染物排放标准》（DB 51 2626-2019）要求。（2）深入推进化肥减量增效。鼓励以循环利用与生态净化相结合的方式控制种植业污染，农企合作推进测土配方施肥。</w:t>
            </w:r>
          </w:p>
        </w:tc>
        <w:tc>
          <w:tcPr>
            <w:tcW w:w="1036" w:type="pct"/>
            <w:noWrap w:val="0"/>
            <w:vAlign w:val="center"/>
          </w:tcPr>
          <w:p w14:paraId="37CD30D1">
            <w:pPr>
              <w:keepNext w:val="0"/>
              <w:keepLines w:val="0"/>
              <w:pageBreakBefore w:val="0"/>
              <w:widowControl/>
              <w:suppressLineNumbers w:val="0"/>
              <w:kinsoku/>
              <w:wordWrap/>
              <w:topLinePunct w:val="0"/>
              <w:autoSpaceDE/>
              <w:autoSpaceDN/>
              <w:bidi w:val="0"/>
              <w:adjustRightInd/>
              <w:spacing w:before="0" w:beforeAutospacing="0" w:after="0" w:afterAutospacing="0" w:line="240" w:lineRule="auto"/>
              <w:ind w:left="0" w:right="0" w:firstLine="0"/>
              <w:jc w:val="center"/>
              <w:textAlignment w:val="auto"/>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1.项目建设用地为</w:t>
            </w:r>
            <w:r>
              <w:rPr>
                <w:rFonts w:hint="eastAsia" w:cs="宋体"/>
                <w:b w:val="0"/>
                <w:bCs w:val="0"/>
                <w:color w:val="000000"/>
                <w:kern w:val="0"/>
                <w:sz w:val="21"/>
                <w:szCs w:val="21"/>
                <w:lang w:val="en-US" w:eastAsia="zh-CN" w:bidi="ar"/>
              </w:rPr>
              <w:t>闲置的工矿用地</w:t>
            </w:r>
            <w:r>
              <w:rPr>
                <w:rFonts w:hint="eastAsia" w:ascii="Times New Roman" w:hAnsi="Times New Roman" w:eastAsia="宋体" w:cs="宋体"/>
                <w:b w:val="0"/>
                <w:bCs w:val="0"/>
                <w:color w:val="000000"/>
                <w:kern w:val="0"/>
                <w:sz w:val="21"/>
                <w:szCs w:val="21"/>
                <w:lang w:val="en-US" w:eastAsia="zh-CN" w:bidi="ar"/>
              </w:rPr>
              <w:t>，不涉及法定保护地；</w:t>
            </w:r>
          </w:p>
          <w:p w14:paraId="3A99AE30">
            <w:pPr>
              <w:pStyle w:val="6"/>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left"/>
              <w:textAlignment w:val="auto"/>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2.不涉及；</w:t>
            </w:r>
          </w:p>
          <w:p w14:paraId="617AE9C0">
            <w:pPr>
              <w:keepNext w:val="0"/>
              <w:keepLines w:val="0"/>
              <w:pageBreakBefore w:val="0"/>
              <w:widowControl/>
              <w:suppressLineNumbers w:val="0"/>
              <w:kinsoku/>
              <w:wordWrap/>
              <w:topLinePunct w:val="0"/>
              <w:autoSpaceDE/>
              <w:autoSpaceDN/>
              <w:bidi w:val="0"/>
              <w:adjustRightInd/>
              <w:spacing w:before="0" w:beforeAutospacing="0" w:after="0" w:afterAutospacing="0" w:line="240" w:lineRule="auto"/>
              <w:ind w:left="0" w:right="0" w:firstLine="0"/>
              <w:jc w:val="left"/>
              <w:textAlignment w:val="auto"/>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3.项目建设用地为</w:t>
            </w:r>
            <w:r>
              <w:rPr>
                <w:rFonts w:hint="eastAsia" w:cs="宋体"/>
                <w:b w:val="0"/>
                <w:bCs w:val="0"/>
                <w:color w:val="000000"/>
                <w:kern w:val="0"/>
                <w:sz w:val="21"/>
                <w:szCs w:val="21"/>
                <w:lang w:val="en-US" w:eastAsia="zh-CN" w:bidi="ar"/>
              </w:rPr>
              <w:t>闲置的工矿用地</w:t>
            </w:r>
            <w:r>
              <w:rPr>
                <w:rFonts w:hint="eastAsia" w:ascii="Times New Roman" w:hAnsi="Times New Roman" w:eastAsia="宋体" w:cs="宋体"/>
                <w:b w:val="0"/>
                <w:bCs w:val="0"/>
                <w:color w:val="000000"/>
                <w:kern w:val="0"/>
                <w:sz w:val="21"/>
                <w:szCs w:val="21"/>
                <w:lang w:val="en-US" w:eastAsia="zh-CN" w:bidi="ar"/>
              </w:rPr>
              <w:t>，不涉及永久基本农田；</w:t>
            </w:r>
          </w:p>
          <w:p w14:paraId="654696D0">
            <w:pPr>
              <w:keepNext w:val="0"/>
              <w:keepLines w:val="0"/>
              <w:pageBreakBefore w:val="0"/>
              <w:widowControl/>
              <w:suppressLineNumbers w:val="0"/>
              <w:kinsoku/>
              <w:wordWrap/>
              <w:topLinePunct w:val="0"/>
              <w:autoSpaceDE/>
              <w:autoSpaceDN/>
              <w:bidi w:val="0"/>
              <w:adjustRightInd/>
              <w:spacing w:before="0" w:beforeAutospacing="0" w:after="0" w:afterAutospacing="0" w:line="240" w:lineRule="auto"/>
              <w:ind w:left="0" w:right="0" w:firstLine="0"/>
              <w:jc w:val="left"/>
              <w:textAlignment w:val="auto"/>
              <w:rPr>
                <w:rFonts w:hint="eastAsia" w:ascii="Times New Roman" w:hAnsi="Times New Roman" w:eastAsia="宋体" w:cs="宋体"/>
                <w:b w:val="0"/>
                <w:bCs w:val="0"/>
                <w:color w:val="000000"/>
                <w:kern w:val="0"/>
                <w:sz w:val="21"/>
                <w:szCs w:val="21"/>
                <w:lang w:val="en-US" w:eastAsia="zh-CN" w:bidi="ar"/>
              </w:rPr>
            </w:pPr>
            <w:r>
              <w:rPr>
                <w:rFonts w:hint="eastAsia"/>
                <w:lang w:val="en-US" w:eastAsia="zh-CN"/>
              </w:rPr>
              <w:t>4.本项目不属于“两高一低”项目；</w:t>
            </w:r>
          </w:p>
          <w:p w14:paraId="52D3CEFB">
            <w:pPr>
              <w:keepNext w:val="0"/>
              <w:keepLines w:val="0"/>
              <w:pageBreakBefore w:val="0"/>
              <w:widowControl/>
              <w:suppressLineNumbers w:val="0"/>
              <w:kinsoku/>
              <w:wordWrap/>
              <w:topLinePunct w:val="0"/>
              <w:autoSpaceDE/>
              <w:autoSpaceDN/>
              <w:bidi w:val="0"/>
              <w:adjustRightInd/>
              <w:spacing w:before="0" w:beforeAutospacing="0" w:after="0" w:afterAutospacing="0" w:line="240" w:lineRule="auto"/>
              <w:ind w:left="0" w:right="0" w:firstLine="0"/>
              <w:jc w:val="left"/>
              <w:textAlignment w:val="auto"/>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5.本项目大气污染物经采取有效治理措施后能实现达标排放；</w:t>
            </w:r>
          </w:p>
          <w:p w14:paraId="58A185C6">
            <w:pPr>
              <w:pStyle w:val="6"/>
              <w:keepLines w:val="0"/>
              <w:pageBreakBefore w:val="0"/>
              <w:suppressLineNumbers w:val="0"/>
              <w:kinsoku/>
              <w:wordWrap/>
              <w:topLinePunct w:val="0"/>
              <w:autoSpaceDE/>
              <w:autoSpaceDN/>
              <w:bidi w:val="0"/>
              <w:adjustRightInd/>
              <w:spacing w:beforeAutospacing="0" w:afterAutospacing="0" w:line="240" w:lineRule="auto"/>
              <w:ind w:left="0" w:right="0" w:firstLine="0"/>
              <w:jc w:val="both"/>
              <w:textAlignment w:val="auto"/>
              <w:rPr>
                <w:rFonts w:hint="default"/>
                <w:lang w:val="en-US" w:eastAsia="zh-CN"/>
              </w:rPr>
            </w:pPr>
            <w:r>
              <w:rPr>
                <w:rFonts w:hint="eastAsia" w:ascii="Times New Roman" w:hAnsi="Times New Roman" w:eastAsia="宋体" w:cs="宋体"/>
                <w:b w:val="0"/>
                <w:bCs w:val="0"/>
                <w:color w:val="000000"/>
                <w:kern w:val="0"/>
                <w:sz w:val="21"/>
                <w:szCs w:val="21"/>
                <w:lang w:val="en-US" w:eastAsia="zh-CN" w:bidi="ar"/>
              </w:rPr>
              <w:t>6.</w:t>
            </w:r>
            <w:r>
              <w:rPr>
                <w:rFonts w:hint="eastAsia" w:ascii="Times New Roman" w:hAnsi="Times New Roman" w:eastAsia="宋体" w:cs="宋体"/>
                <w:b w:val="0"/>
                <w:bCs w:val="0"/>
                <w:color w:val="auto"/>
                <w:kern w:val="0"/>
                <w:sz w:val="21"/>
                <w:szCs w:val="21"/>
                <w:lang w:val="en-US" w:eastAsia="zh-CN" w:bidi="ar-SA"/>
              </w:rPr>
              <w:t>本项目生活污水经预处理池处理后定期由槽罐车转运至</w:t>
            </w:r>
            <w:r>
              <w:rPr>
                <w:rFonts w:hint="eastAsia" w:cs="宋体"/>
                <w:b w:val="0"/>
                <w:bCs w:val="0"/>
                <w:color w:val="auto"/>
                <w:kern w:val="0"/>
                <w:sz w:val="21"/>
                <w:szCs w:val="21"/>
                <w:lang w:val="en-US" w:eastAsia="zh-CN" w:bidi="ar-SA"/>
              </w:rPr>
              <w:t>邻水县大步口污水处理站</w:t>
            </w:r>
            <w:r>
              <w:rPr>
                <w:rFonts w:hint="eastAsia" w:ascii="Times New Roman" w:hAnsi="Times New Roman" w:eastAsia="宋体" w:cs="宋体"/>
                <w:b w:val="0"/>
                <w:bCs w:val="0"/>
                <w:color w:val="auto"/>
                <w:kern w:val="0"/>
                <w:sz w:val="21"/>
                <w:szCs w:val="21"/>
                <w:lang w:val="en-US" w:eastAsia="zh-CN" w:bidi="ar-SA"/>
              </w:rPr>
              <w:t>进行进一步处理后排入大洪河</w:t>
            </w:r>
            <w:r>
              <w:rPr>
                <w:rFonts w:hint="eastAsia" w:cs="宋体"/>
                <w:b w:val="0"/>
                <w:bCs w:val="0"/>
                <w:color w:val="auto"/>
                <w:kern w:val="0"/>
                <w:sz w:val="21"/>
                <w:szCs w:val="21"/>
                <w:lang w:val="en-US" w:eastAsia="zh-CN" w:bidi="ar-SA"/>
              </w:rPr>
              <w:t>；洗砂</w:t>
            </w:r>
            <w:r>
              <w:rPr>
                <w:rFonts w:hint="eastAsia" w:ascii="Times New Roman" w:hAnsi="Times New Roman" w:eastAsia="宋体" w:cs="宋体"/>
                <w:b w:val="0"/>
                <w:bCs w:val="0"/>
                <w:color w:val="auto"/>
                <w:kern w:val="0"/>
                <w:sz w:val="21"/>
                <w:szCs w:val="21"/>
                <w:lang w:val="en-US" w:eastAsia="zh-CN" w:bidi="ar-SA"/>
              </w:rPr>
              <w:t>废水</w:t>
            </w:r>
            <w:r>
              <w:rPr>
                <w:rFonts w:hint="eastAsia" w:cs="宋体"/>
                <w:b w:val="0"/>
                <w:bCs w:val="0"/>
                <w:color w:val="auto"/>
                <w:kern w:val="0"/>
                <w:sz w:val="21"/>
                <w:szCs w:val="21"/>
                <w:lang w:val="en-US" w:eastAsia="zh-CN" w:bidi="ar-SA"/>
              </w:rPr>
              <w:t>、降尘废水、车辆冲洗废水和初期雨水</w:t>
            </w:r>
            <w:r>
              <w:rPr>
                <w:rFonts w:hint="eastAsia" w:ascii="Times New Roman" w:hAnsi="Times New Roman" w:eastAsia="宋体" w:cs="宋体"/>
                <w:b w:val="0"/>
                <w:bCs w:val="0"/>
                <w:color w:val="auto"/>
                <w:kern w:val="0"/>
                <w:sz w:val="21"/>
                <w:szCs w:val="21"/>
                <w:lang w:val="en-US" w:eastAsia="zh-CN" w:bidi="ar-SA"/>
              </w:rPr>
              <w:t>经絮凝沉淀+压滤处理后回用于生产</w:t>
            </w:r>
            <w:r>
              <w:rPr>
                <w:rFonts w:hint="eastAsia" w:cs="宋体"/>
                <w:b w:val="0"/>
                <w:bCs w:val="0"/>
                <w:color w:val="000000"/>
                <w:kern w:val="0"/>
                <w:sz w:val="21"/>
                <w:szCs w:val="21"/>
                <w:lang w:val="en-US" w:eastAsia="zh-CN" w:bidi="ar"/>
              </w:rPr>
              <w:t>。</w:t>
            </w:r>
          </w:p>
        </w:tc>
        <w:tc>
          <w:tcPr>
            <w:tcW w:w="339" w:type="pct"/>
            <w:vMerge w:val="continue"/>
            <w:noWrap w:val="0"/>
            <w:vAlign w:val="center"/>
          </w:tcPr>
          <w:p w14:paraId="57637BDC">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color w:val="auto"/>
                <w:kern w:val="0"/>
                <w:szCs w:val="21"/>
              </w:rPr>
            </w:pPr>
          </w:p>
        </w:tc>
      </w:tr>
      <w:tr w14:paraId="3DA44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350" w:type="pct"/>
            <w:vMerge w:val="continue"/>
            <w:noWrap w:val="0"/>
            <w:vAlign w:val="center"/>
          </w:tcPr>
          <w:p w14:paraId="6BD4DE10">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color w:val="auto"/>
                <w:kern w:val="0"/>
                <w:szCs w:val="21"/>
              </w:rPr>
            </w:pPr>
          </w:p>
        </w:tc>
        <w:tc>
          <w:tcPr>
            <w:tcW w:w="414" w:type="pct"/>
            <w:vMerge w:val="continue"/>
            <w:noWrap w:val="0"/>
            <w:vAlign w:val="center"/>
          </w:tcPr>
          <w:p w14:paraId="08BBACCA">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color w:val="auto"/>
                <w:kern w:val="0"/>
                <w:szCs w:val="21"/>
              </w:rPr>
            </w:pPr>
          </w:p>
        </w:tc>
        <w:tc>
          <w:tcPr>
            <w:tcW w:w="312" w:type="pct"/>
            <w:vMerge w:val="continue"/>
            <w:noWrap w:val="0"/>
            <w:vAlign w:val="center"/>
          </w:tcPr>
          <w:p w14:paraId="73516A02">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color w:val="auto"/>
                <w:kern w:val="0"/>
                <w:szCs w:val="21"/>
              </w:rPr>
            </w:pPr>
          </w:p>
        </w:tc>
        <w:tc>
          <w:tcPr>
            <w:tcW w:w="545" w:type="pct"/>
            <w:vMerge w:val="continue"/>
            <w:noWrap w:val="0"/>
            <w:vAlign w:val="center"/>
          </w:tcPr>
          <w:p w14:paraId="312C8AEC">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color w:val="auto"/>
                <w:kern w:val="0"/>
                <w:szCs w:val="21"/>
              </w:rPr>
            </w:pPr>
          </w:p>
        </w:tc>
        <w:tc>
          <w:tcPr>
            <w:tcW w:w="2002" w:type="pct"/>
            <w:noWrap w:val="0"/>
            <w:vAlign w:val="center"/>
          </w:tcPr>
          <w:p w14:paraId="641EB7AF">
            <w:pPr>
              <w:keepNext w:val="0"/>
              <w:keepLines w:val="0"/>
              <w:widowControl/>
              <w:suppressLineNumbers w:val="0"/>
              <w:spacing w:before="0" w:beforeAutospacing="0" w:after="0" w:afterAutospacing="0" w:line="240" w:lineRule="auto"/>
              <w:ind w:left="0" w:right="0"/>
              <w:rPr>
                <w:rFonts w:hint="eastAsia" w:ascii="Times New Roman" w:hAnsi="Times New Roman" w:eastAsia="宋体" w:cs="Times New Roman"/>
                <w:b/>
                <w:color w:val="auto"/>
                <w:kern w:val="0"/>
                <w:szCs w:val="21"/>
              </w:rPr>
            </w:pPr>
            <w:r>
              <w:rPr>
                <w:rFonts w:hint="eastAsia" w:ascii="Times New Roman" w:hAnsi="Times New Roman" w:eastAsia="宋体" w:cs="Times New Roman"/>
                <w:b/>
                <w:color w:val="auto"/>
                <w:kern w:val="0"/>
                <w:szCs w:val="21"/>
              </w:rPr>
              <w:t>不符合空间布局要求活动的退出要求：</w:t>
            </w:r>
          </w:p>
          <w:p w14:paraId="4BDCB49A">
            <w:pPr>
              <w:pStyle w:val="87"/>
              <w:keepNext w:val="0"/>
              <w:keepLines w:val="0"/>
              <w:widowControl w:val="0"/>
              <w:suppressLineNumbers w:val="0"/>
              <w:spacing w:before="0" w:beforeAutospacing="0" w:after="0" w:afterAutospacing="0" w:line="240" w:lineRule="auto"/>
              <w:ind w:left="0" w:right="0" w:firstLine="0" w:firstLineChars="0"/>
              <w:jc w:val="both"/>
              <w:rPr>
                <w:rStyle w:val="27"/>
                <w:rFonts w:hint="eastAsia" w:ascii="宋体" w:hAnsi="宋体" w:eastAsia="宋体" w:cs="宋体"/>
                <w:color w:val="000000"/>
                <w:kern w:val="0"/>
                <w:sz w:val="21"/>
                <w:szCs w:val="21"/>
                <w:lang w:val="en-US" w:eastAsia="zh-CN" w:bidi="ar-SA"/>
              </w:rPr>
            </w:pPr>
            <w:r>
              <w:rPr>
                <w:rStyle w:val="27"/>
                <w:rFonts w:hint="eastAsia" w:ascii="宋体" w:hAnsi="宋体" w:eastAsia="宋体" w:cs="宋体"/>
                <w:color w:val="000000"/>
                <w:kern w:val="0"/>
                <w:sz w:val="21"/>
                <w:szCs w:val="21"/>
                <w:lang w:val="en-US" w:eastAsia="zh-CN" w:bidi="ar-SA"/>
              </w:rPr>
              <w:t>1.涉及法定保护地，现有不符合相关保护区法律法规和规划的项目，应限期整改或关闭。</w:t>
            </w:r>
          </w:p>
          <w:p w14:paraId="26BDCBE8">
            <w:pPr>
              <w:pStyle w:val="87"/>
              <w:keepNext w:val="0"/>
              <w:keepLines w:val="0"/>
              <w:widowControl w:val="0"/>
              <w:suppressLineNumbers w:val="0"/>
              <w:spacing w:before="0" w:beforeAutospacing="0" w:after="0" w:afterAutospacing="0" w:line="240" w:lineRule="auto"/>
              <w:ind w:left="0" w:right="0" w:firstLine="0" w:firstLineChars="0"/>
              <w:jc w:val="both"/>
              <w:rPr>
                <w:rStyle w:val="27"/>
                <w:rFonts w:hint="eastAsia" w:ascii="宋体" w:hAnsi="宋体" w:eastAsia="宋体" w:cs="宋体"/>
                <w:color w:val="000000"/>
                <w:kern w:val="0"/>
                <w:sz w:val="21"/>
                <w:szCs w:val="21"/>
                <w:lang w:val="en-US" w:eastAsia="zh-CN" w:bidi="ar-SA"/>
              </w:rPr>
            </w:pPr>
            <w:r>
              <w:rPr>
                <w:rStyle w:val="27"/>
                <w:rFonts w:hint="eastAsia" w:ascii="宋体" w:hAnsi="宋体" w:eastAsia="宋体" w:cs="宋体"/>
                <w:color w:val="000000"/>
                <w:kern w:val="0"/>
                <w:sz w:val="21"/>
                <w:szCs w:val="21"/>
                <w:lang w:val="en-US" w:eastAsia="zh-CN" w:bidi="ar-SA"/>
              </w:rPr>
              <w:t>2.全面取缔禁养区内规模化畜禽养殖场。</w:t>
            </w:r>
          </w:p>
          <w:p w14:paraId="2FC58875">
            <w:pPr>
              <w:pStyle w:val="87"/>
              <w:keepNext w:val="0"/>
              <w:keepLines w:val="0"/>
              <w:widowControl w:val="0"/>
              <w:suppressLineNumbers w:val="0"/>
              <w:spacing w:before="0" w:beforeAutospacing="0" w:after="0" w:afterAutospacing="0" w:line="240" w:lineRule="auto"/>
              <w:ind w:left="0" w:right="0" w:firstLine="0" w:firstLineChars="0"/>
              <w:jc w:val="both"/>
              <w:rPr>
                <w:rFonts w:hint="eastAsia" w:ascii="Times New Roman" w:hAnsi="Times New Roman" w:eastAsia="宋体" w:cs="Times New Roman"/>
                <w:b/>
                <w:color w:val="auto"/>
                <w:kern w:val="0"/>
                <w:szCs w:val="21"/>
              </w:rPr>
            </w:pPr>
            <w:r>
              <w:rPr>
                <w:rStyle w:val="27"/>
                <w:rFonts w:hint="eastAsia" w:ascii="宋体" w:hAnsi="宋体" w:eastAsia="宋体" w:cs="宋体"/>
                <w:color w:val="000000"/>
                <w:kern w:val="0"/>
                <w:sz w:val="21"/>
                <w:szCs w:val="21"/>
                <w:lang w:val="en-US" w:eastAsia="zh-CN" w:bidi="ar-SA"/>
              </w:rPr>
              <w:t>3.针对现有水泥企业，强化污染治理和污染物减排，依法依规整治或搬迁。</w:t>
            </w:r>
          </w:p>
        </w:tc>
        <w:tc>
          <w:tcPr>
            <w:tcW w:w="1036" w:type="pct"/>
            <w:noWrap w:val="0"/>
            <w:vAlign w:val="center"/>
          </w:tcPr>
          <w:p w14:paraId="3FF860B8">
            <w:pPr>
              <w:keepNext w:val="0"/>
              <w:keepLines w:val="0"/>
              <w:widowControl/>
              <w:suppressLineNumbers w:val="0"/>
              <w:spacing w:before="0" w:beforeAutospacing="0" w:after="0" w:afterAutospacing="0"/>
              <w:ind w:left="0" w:right="0"/>
              <w:jc w:val="left"/>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1.项目建设用地为</w:t>
            </w:r>
            <w:r>
              <w:rPr>
                <w:rFonts w:hint="eastAsia" w:cs="宋体"/>
                <w:b w:val="0"/>
                <w:bCs w:val="0"/>
                <w:color w:val="000000"/>
                <w:kern w:val="0"/>
                <w:sz w:val="21"/>
                <w:szCs w:val="21"/>
                <w:lang w:val="en-US" w:eastAsia="zh-CN" w:bidi="ar"/>
              </w:rPr>
              <w:t>闲置的工矿用地</w:t>
            </w:r>
            <w:r>
              <w:rPr>
                <w:rFonts w:hint="eastAsia" w:ascii="Times New Roman" w:hAnsi="Times New Roman" w:eastAsia="宋体" w:cs="宋体"/>
                <w:b w:val="0"/>
                <w:bCs w:val="0"/>
                <w:color w:val="000000"/>
                <w:kern w:val="0"/>
                <w:sz w:val="21"/>
                <w:szCs w:val="21"/>
                <w:lang w:val="en-US" w:eastAsia="zh-CN" w:bidi="ar"/>
              </w:rPr>
              <w:t>，不涉及法定保护地；</w:t>
            </w:r>
          </w:p>
          <w:p w14:paraId="5CE80AE3">
            <w:pPr>
              <w:keepNext w:val="0"/>
              <w:keepLines w:val="0"/>
              <w:widowControl/>
              <w:suppressLineNumbers w:val="0"/>
              <w:spacing w:before="0" w:beforeAutospacing="0" w:after="0" w:afterAutospacing="0"/>
              <w:ind w:left="0" w:right="0"/>
              <w:jc w:val="left"/>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2.不涉及；</w:t>
            </w:r>
          </w:p>
          <w:p w14:paraId="1E179544">
            <w:pPr>
              <w:keepNext w:val="0"/>
              <w:keepLines w:val="0"/>
              <w:widowControl/>
              <w:suppressLineNumbers w:val="0"/>
              <w:spacing w:before="0" w:beforeAutospacing="0" w:after="0" w:afterAutospacing="0"/>
              <w:ind w:left="0" w:right="0"/>
              <w:jc w:val="left"/>
              <w:rPr>
                <w:rFonts w:hint="default"/>
                <w:lang w:val="en-US" w:eastAsia="zh-CN"/>
              </w:rPr>
            </w:pPr>
            <w:r>
              <w:rPr>
                <w:rFonts w:hint="eastAsia" w:ascii="Times New Roman" w:hAnsi="Times New Roman" w:eastAsia="宋体" w:cs="宋体"/>
                <w:b w:val="0"/>
                <w:bCs w:val="0"/>
                <w:color w:val="000000"/>
                <w:kern w:val="0"/>
                <w:sz w:val="21"/>
                <w:szCs w:val="21"/>
                <w:lang w:val="en-US" w:eastAsia="zh-CN" w:bidi="ar"/>
              </w:rPr>
              <w:t>3.不涉及</w:t>
            </w:r>
          </w:p>
        </w:tc>
        <w:tc>
          <w:tcPr>
            <w:tcW w:w="339" w:type="pct"/>
            <w:vMerge w:val="continue"/>
            <w:noWrap w:val="0"/>
            <w:vAlign w:val="center"/>
          </w:tcPr>
          <w:p w14:paraId="5E9F334C">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color w:val="auto"/>
                <w:kern w:val="0"/>
                <w:szCs w:val="21"/>
              </w:rPr>
            </w:pPr>
          </w:p>
        </w:tc>
      </w:tr>
      <w:tr w14:paraId="30B44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trPr>
        <w:tc>
          <w:tcPr>
            <w:tcW w:w="350" w:type="pct"/>
            <w:vMerge w:val="continue"/>
            <w:noWrap w:val="0"/>
            <w:vAlign w:val="center"/>
          </w:tcPr>
          <w:p w14:paraId="0F6F038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414" w:type="pct"/>
            <w:vMerge w:val="continue"/>
            <w:noWrap w:val="0"/>
            <w:vAlign w:val="center"/>
          </w:tcPr>
          <w:p w14:paraId="5A8F68C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312" w:type="pct"/>
            <w:vMerge w:val="continue"/>
            <w:noWrap w:val="0"/>
            <w:vAlign w:val="center"/>
          </w:tcPr>
          <w:p w14:paraId="65CA697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545" w:type="pct"/>
            <w:vMerge w:val="restart"/>
            <w:noWrap w:val="0"/>
            <w:vAlign w:val="center"/>
          </w:tcPr>
          <w:p w14:paraId="3CC7203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污染物排放管控</w:t>
            </w:r>
          </w:p>
        </w:tc>
        <w:tc>
          <w:tcPr>
            <w:tcW w:w="2002" w:type="pct"/>
            <w:noWrap w:val="0"/>
            <w:vAlign w:val="center"/>
          </w:tcPr>
          <w:p w14:paraId="0964FD61">
            <w:pPr>
              <w:keepNext w:val="0"/>
              <w:keepLines w:val="0"/>
              <w:widowControl/>
              <w:suppressLineNumbers w:val="0"/>
              <w:spacing w:before="0" w:beforeAutospacing="0" w:after="0" w:afterAutospacing="0" w:line="240" w:lineRule="auto"/>
              <w:ind w:left="0" w:right="0"/>
              <w:rPr>
                <w:rFonts w:hint="eastAsia" w:ascii="Times New Roman" w:hAnsi="Times New Roman" w:eastAsia="宋体" w:cs="宋体"/>
                <w:b/>
                <w:bCs/>
                <w:color w:val="auto"/>
                <w:kern w:val="0"/>
                <w:szCs w:val="21"/>
              </w:rPr>
            </w:pPr>
            <w:r>
              <w:rPr>
                <w:rFonts w:hint="eastAsia" w:ascii="Times New Roman" w:hAnsi="Times New Roman" w:eastAsia="宋体" w:cs="宋体"/>
                <w:b/>
                <w:bCs/>
                <w:color w:val="auto"/>
                <w:kern w:val="0"/>
                <w:szCs w:val="21"/>
              </w:rPr>
              <w:t>现有源提标升级改造:</w:t>
            </w:r>
          </w:p>
          <w:p w14:paraId="6F7B0D39">
            <w:pPr>
              <w:pStyle w:val="87"/>
              <w:keepNext w:val="0"/>
              <w:keepLines w:val="0"/>
              <w:widowControl w:val="0"/>
              <w:suppressLineNumbers w:val="0"/>
              <w:spacing w:before="0" w:beforeAutospacing="0" w:after="0" w:afterAutospacing="0" w:line="240" w:lineRule="auto"/>
              <w:ind w:left="0" w:right="0" w:firstLine="0" w:firstLineChars="0"/>
              <w:jc w:val="both"/>
              <w:rPr>
                <w:rStyle w:val="27"/>
                <w:rFonts w:hint="eastAsia" w:ascii="宋体" w:hAnsi="宋体" w:eastAsia="宋体" w:cs="宋体"/>
                <w:color w:val="000000"/>
                <w:kern w:val="0"/>
                <w:sz w:val="21"/>
                <w:szCs w:val="21"/>
                <w:lang w:val="en-US" w:eastAsia="zh-CN" w:bidi="ar-SA"/>
              </w:rPr>
            </w:pPr>
            <w:r>
              <w:rPr>
                <w:rStyle w:val="27"/>
                <w:rFonts w:hint="eastAsia" w:ascii="宋体" w:hAnsi="宋体" w:eastAsia="宋体" w:cs="宋体"/>
                <w:color w:val="000000"/>
                <w:kern w:val="0"/>
                <w:sz w:val="21"/>
                <w:szCs w:val="21"/>
                <w:lang w:val="en-US" w:eastAsia="zh-CN" w:bidi="ar-SA"/>
              </w:rPr>
              <w:t>1.加快现有乡镇污水处理设施升级改造，按要求达《城镇污水处理厂污染物排放标准》一级A标后排放。</w:t>
            </w:r>
          </w:p>
          <w:p w14:paraId="67285DC0">
            <w:pPr>
              <w:pStyle w:val="87"/>
              <w:keepNext w:val="0"/>
              <w:keepLines w:val="0"/>
              <w:widowControl w:val="0"/>
              <w:suppressLineNumbers w:val="0"/>
              <w:spacing w:before="0" w:beforeAutospacing="0" w:after="0" w:afterAutospacing="0" w:line="240" w:lineRule="auto"/>
              <w:ind w:left="0" w:right="0" w:firstLine="0" w:firstLineChars="0"/>
              <w:jc w:val="both"/>
              <w:rPr>
                <w:rStyle w:val="27"/>
                <w:rFonts w:hint="eastAsia" w:ascii="宋体" w:hAnsi="宋体" w:eastAsia="宋体" w:cs="宋体"/>
                <w:color w:val="000000"/>
                <w:kern w:val="0"/>
                <w:sz w:val="21"/>
                <w:szCs w:val="21"/>
                <w:lang w:val="en-US" w:eastAsia="zh-CN" w:bidi="ar-SA"/>
              </w:rPr>
            </w:pPr>
            <w:r>
              <w:rPr>
                <w:rStyle w:val="27"/>
                <w:rFonts w:hint="eastAsia" w:ascii="宋体" w:hAnsi="宋体" w:eastAsia="宋体" w:cs="宋体"/>
                <w:color w:val="000000"/>
                <w:kern w:val="0"/>
                <w:sz w:val="21"/>
                <w:szCs w:val="21"/>
                <w:lang w:val="en-US" w:eastAsia="zh-CN" w:bidi="ar-SA"/>
              </w:rPr>
              <w:t>2.在矿产资源开发活动集中区域，废水执行重金属污染物排放特别限值。</w:t>
            </w:r>
          </w:p>
          <w:p w14:paraId="7A796637">
            <w:pPr>
              <w:pStyle w:val="87"/>
              <w:keepNext w:val="0"/>
              <w:keepLines w:val="0"/>
              <w:widowControl w:val="0"/>
              <w:suppressLineNumbers w:val="0"/>
              <w:spacing w:before="0" w:beforeAutospacing="0" w:after="0" w:afterAutospacing="0" w:line="240" w:lineRule="auto"/>
              <w:ind w:left="0" w:right="0" w:firstLine="0" w:firstLineChars="0"/>
              <w:jc w:val="both"/>
              <w:rPr>
                <w:rStyle w:val="27"/>
                <w:rFonts w:hint="eastAsia" w:ascii="宋体" w:hAnsi="宋体" w:eastAsia="宋体" w:cs="宋体"/>
                <w:color w:val="000000"/>
                <w:kern w:val="0"/>
                <w:sz w:val="21"/>
                <w:szCs w:val="21"/>
                <w:lang w:val="en-US" w:eastAsia="zh-CN" w:bidi="ar-SA"/>
              </w:rPr>
            </w:pPr>
            <w:r>
              <w:rPr>
                <w:rStyle w:val="27"/>
                <w:rFonts w:hint="eastAsia" w:ascii="宋体" w:hAnsi="宋体" w:eastAsia="宋体" w:cs="宋体"/>
                <w:color w:val="000000"/>
                <w:kern w:val="0"/>
                <w:sz w:val="21"/>
                <w:szCs w:val="21"/>
                <w:lang w:val="en-US" w:eastAsia="zh-CN" w:bidi="ar-SA"/>
              </w:rPr>
              <w:t>3.火电、水泥等行业按相关要求推进大气污染物超低排放和深度治理。</w:t>
            </w:r>
          </w:p>
          <w:p w14:paraId="048E3159">
            <w:pPr>
              <w:pStyle w:val="87"/>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宋体"/>
                <w:color w:val="auto"/>
                <w:kern w:val="0"/>
                <w:sz w:val="21"/>
              </w:rPr>
            </w:pPr>
            <w:r>
              <w:rPr>
                <w:rStyle w:val="27"/>
                <w:rFonts w:hint="eastAsia" w:ascii="宋体" w:hAnsi="宋体" w:eastAsia="宋体" w:cs="宋体"/>
                <w:color w:val="000000"/>
                <w:kern w:val="0"/>
                <w:sz w:val="21"/>
                <w:szCs w:val="21"/>
                <w:lang w:val="en-US" w:eastAsia="zh-CN" w:bidi="ar-SA"/>
              </w:rPr>
              <w:t>4.砖瓦行业实施脱硫、除尘升级改造，污染物排放达到《砖瓦工业大气污染物排放标准》相关要求。</w:t>
            </w:r>
          </w:p>
        </w:tc>
        <w:tc>
          <w:tcPr>
            <w:tcW w:w="1036" w:type="pct"/>
            <w:noWrap w:val="0"/>
            <w:vAlign w:val="center"/>
          </w:tcPr>
          <w:p w14:paraId="43EC770E">
            <w:pPr>
              <w:pStyle w:val="87"/>
              <w:keepNext w:val="0"/>
              <w:keepLines w:val="0"/>
              <w:suppressLineNumbers w:val="0"/>
              <w:spacing w:before="0" w:beforeAutospacing="0" w:after="0" w:afterAutospacing="0" w:line="240" w:lineRule="auto"/>
              <w:ind w:left="0" w:right="0" w:firstLine="0" w:firstLineChars="0"/>
              <w:rPr>
                <w:rFonts w:hint="eastAsia" w:eastAsia="宋体" w:cs="Times New Roman"/>
                <w:color w:val="auto"/>
                <w:sz w:val="21"/>
                <w:lang w:val="en-US" w:eastAsia="zh-CN"/>
              </w:rPr>
            </w:pPr>
            <w:r>
              <w:rPr>
                <w:rFonts w:hint="eastAsia" w:eastAsia="宋体" w:cs="Times New Roman"/>
                <w:color w:val="auto"/>
                <w:sz w:val="21"/>
                <w:lang w:val="en-US" w:eastAsia="zh-CN"/>
              </w:rPr>
              <w:t>1.不涉及；</w:t>
            </w:r>
          </w:p>
          <w:p w14:paraId="4522EFFF">
            <w:pPr>
              <w:pStyle w:val="87"/>
              <w:keepNext w:val="0"/>
              <w:keepLines w:val="0"/>
              <w:suppressLineNumbers w:val="0"/>
              <w:spacing w:before="0" w:beforeAutospacing="0" w:after="0" w:afterAutospacing="0" w:line="240" w:lineRule="auto"/>
              <w:ind w:left="0" w:right="0" w:firstLine="0" w:firstLineChars="0"/>
              <w:rPr>
                <w:rFonts w:hint="eastAsia" w:eastAsia="宋体" w:cs="Times New Roman"/>
                <w:color w:val="auto"/>
                <w:sz w:val="21"/>
                <w:lang w:val="en-US" w:eastAsia="zh-CN"/>
              </w:rPr>
            </w:pPr>
            <w:r>
              <w:rPr>
                <w:rFonts w:hint="eastAsia" w:eastAsia="宋体" w:cs="Times New Roman"/>
                <w:color w:val="auto"/>
                <w:sz w:val="21"/>
                <w:lang w:val="en-US" w:eastAsia="zh-CN"/>
              </w:rPr>
              <w:t>2.本项目不涉及废水排放；</w:t>
            </w:r>
          </w:p>
          <w:p w14:paraId="56DA74F3">
            <w:pPr>
              <w:pStyle w:val="87"/>
              <w:keepNext w:val="0"/>
              <w:keepLines w:val="0"/>
              <w:suppressLineNumbers w:val="0"/>
              <w:spacing w:before="0" w:beforeAutospacing="0" w:after="0" w:afterAutospacing="0" w:line="240" w:lineRule="auto"/>
              <w:ind w:left="0" w:right="0" w:firstLine="0" w:firstLineChars="0"/>
              <w:rPr>
                <w:rFonts w:hint="eastAsia" w:eastAsia="宋体" w:cs="Times New Roman"/>
                <w:color w:val="auto"/>
                <w:sz w:val="21"/>
                <w:lang w:val="en-US" w:eastAsia="zh-CN"/>
              </w:rPr>
            </w:pPr>
            <w:r>
              <w:rPr>
                <w:rFonts w:hint="eastAsia" w:eastAsia="宋体" w:cs="Times New Roman"/>
                <w:color w:val="auto"/>
                <w:sz w:val="21"/>
                <w:lang w:val="en-US" w:eastAsia="zh-CN"/>
              </w:rPr>
              <w:t>3.不涉及；</w:t>
            </w:r>
          </w:p>
          <w:p w14:paraId="33130033">
            <w:pPr>
              <w:pStyle w:val="87"/>
              <w:keepNext w:val="0"/>
              <w:keepLines w:val="0"/>
              <w:suppressLineNumbers w:val="0"/>
              <w:spacing w:before="0" w:beforeAutospacing="0" w:after="0" w:afterAutospacing="0" w:line="240" w:lineRule="auto"/>
              <w:ind w:left="0" w:right="0" w:firstLine="0" w:firstLineChars="0"/>
              <w:rPr>
                <w:rFonts w:hint="default" w:eastAsia="宋体" w:cs="Times New Roman"/>
                <w:color w:val="auto"/>
                <w:sz w:val="21"/>
                <w:lang w:val="en-US" w:eastAsia="zh-CN"/>
              </w:rPr>
            </w:pPr>
            <w:r>
              <w:rPr>
                <w:rFonts w:hint="eastAsia" w:eastAsia="宋体" w:cs="Times New Roman"/>
                <w:color w:val="auto"/>
                <w:sz w:val="21"/>
                <w:lang w:val="en-US" w:eastAsia="zh-CN"/>
              </w:rPr>
              <w:t>4.不涉及。</w:t>
            </w:r>
          </w:p>
          <w:p w14:paraId="4C6E9D2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Cs w:val="21"/>
              </w:rPr>
            </w:pPr>
          </w:p>
        </w:tc>
        <w:tc>
          <w:tcPr>
            <w:tcW w:w="339" w:type="pct"/>
            <w:vMerge w:val="restart"/>
            <w:noWrap w:val="0"/>
            <w:vAlign w:val="center"/>
          </w:tcPr>
          <w:p w14:paraId="2B9E5C9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14:paraId="276AA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350" w:type="pct"/>
            <w:vMerge w:val="continue"/>
            <w:noWrap w:val="0"/>
            <w:vAlign w:val="center"/>
          </w:tcPr>
          <w:p w14:paraId="1A04A20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p>
        </w:tc>
        <w:tc>
          <w:tcPr>
            <w:tcW w:w="414" w:type="pct"/>
            <w:vMerge w:val="continue"/>
            <w:noWrap w:val="0"/>
            <w:vAlign w:val="center"/>
          </w:tcPr>
          <w:p w14:paraId="35730D6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p>
        </w:tc>
        <w:tc>
          <w:tcPr>
            <w:tcW w:w="312" w:type="pct"/>
            <w:vMerge w:val="continue"/>
            <w:noWrap w:val="0"/>
            <w:vAlign w:val="center"/>
          </w:tcPr>
          <w:p w14:paraId="48AD1FE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p>
        </w:tc>
        <w:tc>
          <w:tcPr>
            <w:tcW w:w="545" w:type="pct"/>
            <w:vMerge w:val="continue"/>
            <w:noWrap w:val="0"/>
            <w:vAlign w:val="center"/>
          </w:tcPr>
          <w:p w14:paraId="1E7D7BB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p>
        </w:tc>
        <w:tc>
          <w:tcPr>
            <w:tcW w:w="2002" w:type="pct"/>
            <w:noWrap w:val="0"/>
            <w:vAlign w:val="center"/>
          </w:tcPr>
          <w:p w14:paraId="1B81803F">
            <w:pPr>
              <w:pStyle w:val="87"/>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宋体"/>
                <w:b/>
                <w:bCs/>
                <w:color w:val="auto"/>
                <w:kern w:val="0"/>
                <w:sz w:val="21"/>
              </w:rPr>
            </w:pPr>
            <w:r>
              <w:rPr>
                <w:rFonts w:hint="eastAsia" w:ascii="Times New Roman" w:hAnsi="Times New Roman" w:eastAsia="宋体" w:cs="宋体"/>
                <w:b/>
                <w:bCs/>
                <w:color w:val="auto"/>
                <w:kern w:val="0"/>
                <w:sz w:val="21"/>
              </w:rPr>
              <w:t>其他污染物排放管控要求:</w:t>
            </w:r>
          </w:p>
          <w:p w14:paraId="6B99D322">
            <w:pPr>
              <w:pStyle w:val="87"/>
              <w:keepNext w:val="0"/>
              <w:keepLines w:val="0"/>
              <w:widowControl w:val="0"/>
              <w:suppressLineNumbers w:val="0"/>
              <w:spacing w:before="0" w:beforeAutospacing="0" w:after="0" w:afterAutospacing="0" w:line="240" w:lineRule="auto"/>
              <w:ind w:left="0" w:right="0" w:firstLine="0" w:firstLineChars="0"/>
              <w:jc w:val="both"/>
              <w:rPr>
                <w:rStyle w:val="27"/>
                <w:rFonts w:hint="eastAsia" w:ascii="宋体" w:hAnsi="宋体" w:eastAsia="宋体" w:cs="宋体"/>
                <w:color w:val="000000"/>
                <w:kern w:val="0"/>
                <w:sz w:val="21"/>
                <w:szCs w:val="21"/>
                <w:lang w:val="en-US" w:eastAsia="zh-CN" w:bidi="ar-SA"/>
              </w:rPr>
            </w:pPr>
            <w:r>
              <w:rPr>
                <w:rStyle w:val="27"/>
                <w:rFonts w:hint="eastAsia" w:ascii="宋体" w:hAnsi="宋体" w:eastAsia="宋体" w:cs="宋体"/>
                <w:color w:val="000000"/>
                <w:kern w:val="0"/>
                <w:sz w:val="21"/>
                <w:szCs w:val="21"/>
                <w:lang w:val="en-US" w:eastAsia="zh-CN" w:bidi="ar-SA"/>
              </w:rPr>
              <w:t>1.新增源等量或倍量替代：（1）上一年度水环境质量未完成目标的，新建排放水污染的建设项目按照总量管控要求进行倍量削减替代。（2）上一年度空气质量年平均浓度不达标的城市，建设项目新增相关污染物按照总量管控要求进行倍量削减替代。（3）大气环境重点管控区内，新增大气污染物排放的建设项目实施总量削减替代。</w:t>
            </w:r>
          </w:p>
          <w:p w14:paraId="78CE5028">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宋体"/>
                <w:color w:val="auto"/>
                <w:kern w:val="0"/>
                <w:szCs w:val="21"/>
              </w:rPr>
            </w:pPr>
            <w:r>
              <w:rPr>
                <w:rStyle w:val="27"/>
                <w:rFonts w:hint="eastAsia" w:ascii="宋体" w:hAnsi="宋体" w:eastAsia="宋体" w:cs="宋体"/>
                <w:color w:val="000000"/>
                <w:kern w:val="0"/>
                <w:sz w:val="21"/>
                <w:szCs w:val="21"/>
                <w:lang w:val="en-US" w:eastAsia="zh-CN" w:bidi="ar-SA"/>
              </w:rPr>
              <w:t>2.污染物排放绩效水平准入要求：（1）2022年，广安市70%的行政村农村生活污水得到有效治理，乡人民政府所 在地（乡集镇）实现污水处理设施全覆盖。长江流域县级以上地方人民政府应当统筹长江流域城乡污水集中处理设施及配套管网建设，并保障其正常运行，提高城乡污水收集处理能力。（2）大中型矿山达到绿色矿山标准，引导小型矿山按照绿色矿山标准规范发展；加强矿山采选废水的处理和综合利用工作，选矿废水全部综合利用，不外排，采矿废水应尽量回用。（3）新建、改建、扩建规模化畜禽养殖场（小区）要实施雨污分流、粪便污水资源化利用。（4）到2025年，规模化畜禽养殖场粪污处理设施装备配套率达到 100%。畜禽粪污综合利用率达 95%以上，规模养殖场粪污处理设施装备配套率达到 100%。（5）畜禽粪污基本实现资源化利用；散养密集区要实行畜禽粪便污水分户收集、集中处理利用。（6）屠宰项目必须配套污水处理设施或进入城市污水管网。（7）到2025年底，农村生活垃圾处理率达90%。（8）到2025年主要农作物化肥、农药使用量实现零增长。测土配方施肥技术推广覆盖率达到95%。畜禽养殖废弃物综合利用率达到75%，养殖废弃物综合利用率达到80%。农作物秸秆综合利用率达到90%。控制农村面源污染，采取灌排分离等措施控制农田氮磷流失。（9）到2025年，废旧农膜回收利用率达90%以上。（10）大气环境重点管控区内加强“高架源”污染治理，深化施工扬尘监管，严格落实“六必须、六不准”管控要求，强化道路施工管控，提高道路清扫机械化和精细化作业水平。（11）严格实施船舶发动机第一阶段国家排放标准。（12）严禁新建不达标船舶进入运输市场。</w:t>
            </w:r>
          </w:p>
        </w:tc>
        <w:tc>
          <w:tcPr>
            <w:tcW w:w="1036" w:type="pct"/>
            <w:noWrap w:val="0"/>
            <w:vAlign w:val="center"/>
          </w:tcPr>
          <w:p w14:paraId="10A294F8">
            <w:pPr>
              <w:keepNext w:val="0"/>
              <w:keepLines w:val="0"/>
              <w:widowControl/>
              <w:suppressLineNumbers w:val="0"/>
              <w:spacing w:before="0" w:beforeAutospacing="0" w:after="0" w:afterAutospacing="0"/>
              <w:ind w:left="0" w:right="0"/>
              <w:jc w:val="left"/>
              <w:rPr>
                <w:rFonts w:hint="eastAsia" w:cs="宋体"/>
                <w:color w:val="auto"/>
                <w:kern w:val="0"/>
                <w:szCs w:val="21"/>
                <w:lang w:val="en-US" w:eastAsia="zh-CN"/>
              </w:rPr>
            </w:pPr>
            <w:r>
              <w:rPr>
                <w:rFonts w:hint="eastAsia" w:cs="宋体"/>
                <w:color w:val="auto"/>
                <w:kern w:val="0"/>
                <w:szCs w:val="21"/>
                <w:lang w:val="en-US" w:eastAsia="zh-CN"/>
              </w:rPr>
              <w:t>1.本项目建成后不新增总量控制指标；</w:t>
            </w:r>
          </w:p>
          <w:p w14:paraId="164CEA7A">
            <w:pPr>
              <w:pStyle w:val="6"/>
              <w:keepLines w:val="0"/>
              <w:suppressLineNumbers w:val="0"/>
              <w:spacing w:beforeAutospacing="0" w:afterAutospacing="0"/>
              <w:ind w:left="0" w:leftChars="0" w:right="0" w:firstLine="0" w:firstLineChars="0"/>
              <w:jc w:val="both"/>
              <w:rPr>
                <w:rFonts w:hint="default"/>
                <w:lang w:val="en-US" w:eastAsia="zh-CN"/>
              </w:rPr>
            </w:pPr>
            <w:r>
              <w:rPr>
                <w:rFonts w:hint="eastAsia" w:ascii="Times New Roman" w:hAnsi="Times New Roman" w:eastAsia="宋体" w:cs="宋体"/>
                <w:b w:val="0"/>
                <w:bCs w:val="0"/>
                <w:color w:val="auto"/>
                <w:kern w:val="0"/>
                <w:sz w:val="21"/>
                <w:szCs w:val="21"/>
                <w:lang w:val="en-US" w:eastAsia="zh-CN" w:bidi="ar-SA"/>
              </w:rPr>
              <w:t>2.本项目生活污水经预处理池处理后定期由槽罐车转运至</w:t>
            </w:r>
            <w:r>
              <w:rPr>
                <w:rFonts w:hint="eastAsia" w:cs="宋体"/>
                <w:b w:val="0"/>
                <w:bCs w:val="0"/>
                <w:color w:val="auto"/>
                <w:kern w:val="0"/>
                <w:sz w:val="21"/>
                <w:szCs w:val="21"/>
                <w:lang w:val="en-US" w:eastAsia="zh-CN" w:bidi="ar-SA"/>
              </w:rPr>
              <w:t>邻水县大步口污水处理站</w:t>
            </w:r>
            <w:r>
              <w:rPr>
                <w:rFonts w:hint="eastAsia" w:ascii="Times New Roman" w:hAnsi="Times New Roman" w:eastAsia="宋体" w:cs="宋体"/>
                <w:b w:val="0"/>
                <w:bCs w:val="0"/>
                <w:color w:val="auto"/>
                <w:kern w:val="0"/>
                <w:sz w:val="21"/>
                <w:szCs w:val="21"/>
                <w:lang w:val="en-US" w:eastAsia="zh-CN" w:bidi="ar-SA"/>
              </w:rPr>
              <w:t>进行进一步处理后排入大洪河</w:t>
            </w:r>
            <w:r>
              <w:rPr>
                <w:rFonts w:hint="eastAsia" w:cs="宋体"/>
                <w:b w:val="0"/>
                <w:bCs w:val="0"/>
                <w:color w:val="auto"/>
                <w:kern w:val="0"/>
                <w:sz w:val="21"/>
                <w:szCs w:val="21"/>
                <w:lang w:val="en-US" w:eastAsia="zh-CN" w:bidi="ar-SA"/>
              </w:rPr>
              <w:t>；洗砂</w:t>
            </w:r>
            <w:r>
              <w:rPr>
                <w:rFonts w:hint="eastAsia" w:ascii="Times New Roman" w:hAnsi="Times New Roman" w:eastAsia="宋体" w:cs="宋体"/>
                <w:b w:val="0"/>
                <w:bCs w:val="0"/>
                <w:color w:val="auto"/>
                <w:kern w:val="0"/>
                <w:sz w:val="21"/>
                <w:szCs w:val="21"/>
                <w:lang w:val="en-US" w:eastAsia="zh-CN" w:bidi="ar-SA"/>
              </w:rPr>
              <w:t>废水</w:t>
            </w:r>
            <w:r>
              <w:rPr>
                <w:rFonts w:hint="eastAsia" w:cs="宋体"/>
                <w:b w:val="0"/>
                <w:bCs w:val="0"/>
                <w:color w:val="auto"/>
                <w:kern w:val="0"/>
                <w:sz w:val="21"/>
                <w:szCs w:val="21"/>
                <w:lang w:val="en-US" w:eastAsia="zh-CN" w:bidi="ar-SA"/>
              </w:rPr>
              <w:t>、降尘废水、车辆冲洗废水和初期雨水</w:t>
            </w:r>
            <w:r>
              <w:rPr>
                <w:rFonts w:hint="eastAsia" w:ascii="Times New Roman" w:hAnsi="Times New Roman" w:eastAsia="宋体" w:cs="宋体"/>
                <w:b w:val="0"/>
                <w:bCs w:val="0"/>
                <w:color w:val="auto"/>
                <w:kern w:val="0"/>
                <w:sz w:val="21"/>
                <w:szCs w:val="21"/>
                <w:lang w:val="en-US" w:eastAsia="zh-CN" w:bidi="ar-SA"/>
              </w:rPr>
              <w:t>经絮凝沉淀+压滤处理后回用于生产</w:t>
            </w:r>
            <w:r>
              <w:rPr>
                <w:rFonts w:hint="eastAsia" w:cs="宋体"/>
                <w:b w:val="0"/>
                <w:bCs w:val="0"/>
                <w:color w:val="000000"/>
                <w:kern w:val="0"/>
                <w:sz w:val="21"/>
                <w:szCs w:val="21"/>
                <w:lang w:val="en-US" w:eastAsia="zh-CN" w:bidi="ar"/>
              </w:rPr>
              <w:t>。</w:t>
            </w:r>
          </w:p>
        </w:tc>
        <w:tc>
          <w:tcPr>
            <w:tcW w:w="339" w:type="pct"/>
            <w:vMerge w:val="continue"/>
            <w:noWrap w:val="0"/>
            <w:vAlign w:val="center"/>
          </w:tcPr>
          <w:p w14:paraId="599F912C">
            <w:pPr>
              <w:keepNext w:val="0"/>
              <w:keepLines w:val="0"/>
              <w:widowControl/>
              <w:suppressLineNumbers w:val="0"/>
              <w:spacing w:before="0" w:beforeAutospacing="0" w:after="0" w:afterAutospacing="0"/>
              <w:ind w:left="0" w:right="0"/>
              <w:jc w:val="center"/>
              <w:rPr>
                <w:rFonts w:hint="default" w:ascii="Times New Roman" w:hAnsi="Times New Roman" w:eastAsia="宋体" w:cs="宋体"/>
                <w:color w:val="auto"/>
                <w:kern w:val="0"/>
                <w:szCs w:val="21"/>
              </w:rPr>
            </w:pPr>
          </w:p>
        </w:tc>
      </w:tr>
      <w:tr w14:paraId="22AE8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4" w:hRule="atLeast"/>
        </w:trPr>
        <w:tc>
          <w:tcPr>
            <w:tcW w:w="350" w:type="pct"/>
            <w:vMerge w:val="continue"/>
            <w:noWrap w:val="0"/>
            <w:vAlign w:val="center"/>
          </w:tcPr>
          <w:p w14:paraId="51B65B8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414" w:type="pct"/>
            <w:vMerge w:val="continue"/>
            <w:noWrap w:val="0"/>
            <w:vAlign w:val="center"/>
          </w:tcPr>
          <w:p w14:paraId="327E606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312" w:type="pct"/>
            <w:vMerge w:val="continue"/>
            <w:noWrap w:val="0"/>
            <w:vAlign w:val="center"/>
          </w:tcPr>
          <w:p w14:paraId="15C8957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545" w:type="pct"/>
            <w:vMerge w:val="restart"/>
            <w:noWrap w:val="0"/>
            <w:vAlign w:val="center"/>
          </w:tcPr>
          <w:p w14:paraId="557C0187">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环境风险</w:t>
            </w:r>
            <w:r>
              <w:rPr>
                <w:rFonts w:hint="eastAsia" w:cs="Times New Roman"/>
                <w:color w:val="auto"/>
                <w:szCs w:val="21"/>
                <w:lang w:val="en-US" w:eastAsia="zh-CN"/>
              </w:rPr>
              <w:t>防控</w:t>
            </w:r>
          </w:p>
        </w:tc>
        <w:tc>
          <w:tcPr>
            <w:tcW w:w="2002" w:type="pct"/>
            <w:noWrap w:val="0"/>
            <w:vAlign w:val="center"/>
          </w:tcPr>
          <w:p w14:paraId="721D901E">
            <w:pPr>
              <w:keepNext w:val="0"/>
              <w:keepLines w:val="0"/>
              <w:widowControl/>
              <w:suppressLineNumbers w:val="0"/>
              <w:spacing w:before="0" w:beforeAutospacing="0" w:after="0" w:afterAutospacing="0" w:line="240" w:lineRule="auto"/>
              <w:ind w:left="0" w:right="0"/>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联防联控要求：</w:t>
            </w:r>
          </w:p>
          <w:p w14:paraId="78C22136">
            <w:pPr>
              <w:pStyle w:val="87"/>
              <w:keepNext w:val="0"/>
              <w:keepLines w:val="0"/>
              <w:widowControl w:val="0"/>
              <w:suppressLineNumbers w:val="0"/>
              <w:spacing w:before="0" w:beforeAutospacing="0" w:after="0" w:afterAutospacing="0" w:line="240" w:lineRule="auto"/>
              <w:ind w:left="0" w:right="0" w:firstLine="0" w:firstLineChars="0"/>
              <w:jc w:val="both"/>
              <w:rPr>
                <w:rStyle w:val="27"/>
                <w:rFonts w:hint="eastAsia" w:ascii="宋体" w:hAnsi="宋体" w:eastAsia="宋体" w:cs="宋体"/>
                <w:color w:val="000000"/>
                <w:kern w:val="0"/>
                <w:sz w:val="21"/>
                <w:szCs w:val="21"/>
                <w:lang w:val="en-US" w:eastAsia="zh-CN" w:bidi="ar-SA"/>
              </w:rPr>
            </w:pPr>
            <w:r>
              <w:rPr>
                <w:rStyle w:val="27"/>
                <w:rFonts w:hint="eastAsia" w:ascii="宋体" w:hAnsi="宋体" w:eastAsia="宋体" w:cs="宋体"/>
                <w:color w:val="000000"/>
                <w:kern w:val="0"/>
                <w:sz w:val="21"/>
                <w:szCs w:val="21"/>
                <w:lang w:val="en-US" w:eastAsia="zh-CN" w:bidi="ar-SA"/>
              </w:rPr>
              <w:t>1.严格落实《关于建立跨省流域上下游突发水污染事件联防联控机制的指导意见》。</w:t>
            </w:r>
          </w:p>
          <w:p w14:paraId="34E4746A">
            <w:pPr>
              <w:pStyle w:val="87"/>
              <w:keepNext w:val="0"/>
              <w:keepLines w:val="0"/>
              <w:widowControl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olor w:val="auto"/>
                <w:kern w:val="0"/>
              </w:rPr>
            </w:pPr>
            <w:r>
              <w:rPr>
                <w:rStyle w:val="27"/>
                <w:rFonts w:hint="eastAsia" w:ascii="宋体" w:hAnsi="宋体" w:eastAsia="宋体" w:cs="宋体"/>
                <w:color w:val="000000"/>
                <w:kern w:val="0"/>
                <w:sz w:val="21"/>
                <w:szCs w:val="21"/>
                <w:lang w:val="en-US" w:eastAsia="zh-CN" w:bidi="ar-SA"/>
              </w:rPr>
              <w:t>2.强化川东北、渝广区域大气污染联防联控。</w:t>
            </w:r>
          </w:p>
        </w:tc>
        <w:tc>
          <w:tcPr>
            <w:tcW w:w="1036" w:type="pct"/>
            <w:noWrap w:val="0"/>
            <w:vAlign w:val="center"/>
          </w:tcPr>
          <w:p w14:paraId="01594A3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评价要求建设单位在项目建成后及时编制突发环境事件预案并与所在地区突发事件应急预案进行联动</w:t>
            </w:r>
          </w:p>
        </w:tc>
        <w:tc>
          <w:tcPr>
            <w:tcW w:w="339" w:type="pct"/>
            <w:noWrap w:val="0"/>
            <w:vAlign w:val="center"/>
          </w:tcPr>
          <w:p w14:paraId="66DD7BA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14:paraId="28854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50" w:type="pct"/>
            <w:vMerge w:val="continue"/>
            <w:noWrap w:val="0"/>
            <w:vAlign w:val="center"/>
          </w:tcPr>
          <w:p w14:paraId="7D51CB35">
            <w:pPr>
              <w:keepNext w:val="0"/>
              <w:keepLines w:val="0"/>
              <w:widowControl/>
              <w:suppressLineNumbers w:val="0"/>
              <w:spacing w:before="0" w:beforeAutospacing="0" w:after="0" w:afterAutospacing="0"/>
              <w:ind w:left="0" w:right="0"/>
              <w:jc w:val="center"/>
              <w:rPr>
                <w:rFonts w:hint="default"/>
              </w:rPr>
            </w:pPr>
          </w:p>
        </w:tc>
        <w:tc>
          <w:tcPr>
            <w:tcW w:w="414" w:type="pct"/>
            <w:vMerge w:val="continue"/>
            <w:noWrap w:val="0"/>
            <w:vAlign w:val="center"/>
          </w:tcPr>
          <w:p w14:paraId="3F3E2FF3">
            <w:pPr>
              <w:keepNext w:val="0"/>
              <w:keepLines w:val="0"/>
              <w:widowControl/>
              <w:suppressLineNumbers w:val="0"/>
              <w:spacing w:before="0" w:beforeAutospacing="0" w:after="0" w:afterAutospacing="0"/>
              <w:ind w:left="0" w:right="0"/>
              <w:jc w:val="center"/>
              <w:rPr>
                <w:rFonts w:hint="default"/>
              </w:rPr>
            </w:pPr>
          </w:p>
        </w:tc>
        <w:tc>
          <w:tcPr>
            <w:tcW w:w="312" w:type="pct"/>
            <w:vMerge w:val="continue"/>
            <w:noWrap w:val="0"/>
            <w:vAlign w:val="center"/>
          </w:tcPr>
          <w:p w14:paraId="17488DAA">
            <w:pPr>
              <w:keepNext w:val="0"/>
              <w:keepLines w:val="0"/>
              <w:widowControl/>
              <w:suppressLineNumbers w:val="0"/>
              <w:spacing w:before="0" w:beforeAutospacing="0" w:after="0" w:afterAutospacing="0"/>
              <w:ind w:left="0" w:right="0"/>
              <w:jc w:val="center"/>
              <w:rPr>
                <w:rFonts w:hint="default"/>
              </w:rPr>
            </w:pPr>
          </w:p>
        </w:tc>
        <w:tc>
          <w:tcPr>
            <w:tcW w:w="545" w:type="pct"/>
            <w:vMerge w:val="continue"/>
            <w:noWrap w:val="0"/>
            <w:vAlign w:val="center"/>
          </w:tcPr>
          <w:p w14:paraId="065926F1">
            <w:pPr>
              <w:keepNext w:val="0"/>
              <w:keepLines w:val="0"/>
              <w:widowControl/>
              <w:suppressLineNumbers w:val="0"/>
              <w:spacing w:before="0" w:beforeAutospacing="0" w:after="0" w:afterAutospacing="0"/>
              <w:ind w:left="0" w:right="0"/>
              <w:jc w:val="center"/>
              <w:rPr>
                <w:rFonts w:hint="default"/>
              </w:rPr>
            </w:pPr>
          </w:p>
        </w:tc>
        <w:tc>
          <w:tcPr>
            <w:tcW w:w="2002" w:type="pct"/>
            <w:noWrap w:val="0"/>
            <w:vAlign w:val="center"/>
          </w:tcPr>
          <w:p w14:paraId="6992AB94">
            <w:pPr>
              <w:pStyle w:val="87"/>
              <w:keepNext w:val="0"/>
              <w:keepLines w:val="0"/>
              <w:widowControl w:val="0"/>
              <w:suppressLineNumbers w:val="0"/>
              <w:spacing w:before="0" w:beforeAutospacing="0" w:after="0" w:afterAutospacing="0" w:line="240" w:lineRule="auto"/>
              <w:ind w:left="0" w:right="0" w:firstLine="0" w:firstLineChars="0"/>
              <w:jc w:val="both"/>
              <w:rPr>
                <w:rStyle w:val="27"/>
                <w:rFonts w:hint="eastAsia" w:ascii="宋体" w:hAnsi="宋体" w:eastAsia="宋体" w:cs="宋体"/>
                <w:color w:val="000000"/>
                <w:kern w:val="0"/>
                <w:sz w:val="21"/>
                <w:szCs w:val="21"/>
                <w:lang w:val="en-US" w:eastAsia="zh-CN" w:bidi="ar-SA"/>
              </w:rPr>
            </w:pPr>
            <w:r>
              <w:rPr>
                <w:rStyle w:val="27"/>
                <w:rFonts w:hint="eastAsia" w:ascii="宋体" w:hAnsi="宋体" w:eastAsia="宋体" w:cs="宋体"/>
                <w:color w:val="000000"/>
                <w:kern w:val="0"/>
                <w:sz w:val="21"/>
                <w:szCs w:val="21"/>
                <w:lang w:val="en-US" w:eastAsia="zh-CN" w:bidi="ar-SA"/>
              </w:rPr>
              <w:t>其他环境风险防控要求：</w:t>
            </w:r>
          </w:p>
          <w:p w14:paraId="04793150">
            <w:pPr>
              <w:pStyle w:val="87"/>
              <w:keepNext w:val="0"/>
              <w:keepLines w:val="0"/>
              <w:widowControl w:val="0"/>
              <w:suppressLineNumbers w:val="0"/>
              <w:spacing w:before="0" w:beforeAutospacing="0" w:after="0" w:afterAutospacing="0" w:line="240" w:lineRule="auto"/>
              <w:ind w:left="0" w:right="0" w:firstLine="0" w:firstLineChars="0"/>
              <w:jc w:val="both"/>
              <w:rPr>
                <w:rStyle w:val="27"/>
                <w:rFonts w:hint="eastAsia" w:ascii="宋体" w:hAnsi="宋体" w:eastAsia="宋体" w:cs="宋体"/>
                <w:color w:val="000000"/>
                <w:kern w:val="0"/>
                <w:sz w:val="21"/>
                <w:szCs w:val="21"/>
                <w:lang w:val="en-US" w:eastAsia="zh-CN" w:bidi="ar-SA"/>
              </w:rPr>
            </w:pPr>
            <w:r>
              <w:rPr>
                <w:rStyle w:val="27"/>
                <w:rFonts w:hint="eastAsia" w:ascii="宋体" w:hAnsi="宋体" w:eastAsia="宋体" w:cs="宋体"/>
                <w:color w:val="000000"/>
                <w:kern w:val="0"/>
                <w:sz w:val="21"/>
                <w:szCs w:val="21"/>
                <w:lang w:val="en-US" w:eastAsia="zh-CN" w:bidi="ar-SA"/>
              </w:rPr>
              <w:t>1.企业环境风险防控要求：（1）工业企业退出用地，须经评估、修复满足相应用地功能后，方可改变用途。（2）加强“散乱污”企业环境风险防控。</w:t>
            </w:r>
          </w:p>
          <w:p w14:paraId="016316AE">
            <w:pPr>
              <w:pStyle w:val="87"/>
              <w:keepNext w:val="0"/>
              <w:keepLines w:val="0"/>
              <w:widowControl w:val="0"/>
              <w:suppressLineNumbers w:val="0"/>
              <w:spacing w:before="0" w:beforeAutospacing="0" w:after="0" w:afterAutospacing="0" w:line="240" w:lineRule="auto"/>
              <w:ind w:left="0" w:right="0" w:firstLine="0" w:firstLineChars="0"/>
              <w:jc w:val="both"/>
              <w:rPr>
                <w:rStyle w:val="27"/>
                <w:rFonts w:hint="eastAsia" w:ascii="宋体" w:hAnsi="宋体" w:eastAsia="宋体" w:cs="宋体"/>
                <w:color w:val="000000"/>
                <w:kern w:val="0"/>
                <w:sz w:val="21"/>
                <w:szCs w:val="21"/>
                <w:lang w:val="en-US" w:eastAsia="zh-CN" w:bidi="ar-SA"/>
              </w:rPr>
            </w:pPr>
            <w:r>
              <w:rPr>
                <w:rStyle w:val="27"/>
                <w:rFonts w:hint="eastAsia" w:ascii="宋体" w:hAnsi="宋体" w:eastAsia="宋体" w:cs="宋体"/>
                <w:color w:val="000000"/>
                <w:kern w:val="0"/>
                <w:sz w:val="21"/>
                <w:szCs w:val="21"/>
                <w:lang w:val="en-US" w:eastAsia="zh-CN" w:bidi="ar-SA"/>
              </w:rPr>
              <w:t>2.用地环境风险防控要求：严禁将城镇生活垃圾、污泥、工业废物直接用作肥料，禁止处理不达标的污泥进入耕地；禁止在农用地排放、倾倒、使用污泥、清淤底泥、尾矿（渣）等可能对土壤造成污染的固体废物。</w:t>
            </w:r>
          </w:p>
        </w:tc>
        <w:tc>
          <w:tcPr>
            <w:tcW w:w="1036" w:type="pct"/>
            <w:noWrap w:val="0"/>
            <w:vAlign w:val="center"/>
          </w:tcPr>
          <w:p w14:paraId="083D5170">
            <w:pPr>
              <w:keepNext w:val="0"/>
              <w:keepLines w:val="0"/>
              <w:widowControl/>
              <w:suppressLineNumbers w:val="0"/>
              <w:spacing w:before="0" w:beforeAutospacing="0" w:after="0" w:afterAutospacing="0"/>
              <w:ind w:left="0" w:right="0"/>
              <w:jc w:val="center"/>
              <w:rPr>
                <w:rFonts w:hint="eastAsia" w:cs="Times New Roman"/>
                <w:color w:val="auto"/>
                <w:kern w:val="0"/>
                <w:szCs w:val="21"/>
                <w:lang w:val="en-US" w:eastAsia="zh-CN"/>
              </w:rPr>
            </w:pPr>
            <w:r>
              <w:rPr>
                <w:rFonts w:hint="eastAsia" w:ascii="Times New Roman" w:hAnsi="Times New Roman" w:eastAsia="宋体" w:cs="宋体"/>
                <w:b w:val="0"/>
                <w:bCs w:val="0"/>
                <w:color w:val="000000"/>
                <w:kern w:val="0"/>
                <w:sz w:val="21"/>
                <w:szCs w:val="21"/>
                <w:lang w:val="en-US" w:eastAsia="zh-CN" w:bidi="ar"/>
              </w:rPr>
              <w:t>1.项目建设用地为</w:t>
            </w:r>
            <w:r>
              <w:rPr>
                <w:rFonts w:hint="eastAsia" w:cs="宋体"/>
                <w:b w:val="0"/>
                <w:bCs w:val="0"/>
                <w:color w:val="000000"/>
                <w:kern w:val="0"/>
                <w:sz w:val="21"/>
                <w:szCs w:val="21"/>
                <w:lang w:val="en-US" w:eastAsia="zh-CN" w:bidi="ar"/>
              </w:rPr>
              <w:t>闲置的工矿用地</w:t>
            </w:r>
            <w:r>
              <w:rPr>
                <w:rFonts w:hint="eastAsia" w:ascii="Times New Roman" w:hAnsi="Times New Roman" w:eastAsia="宋体" w:cs="宋体"/>
                <w:b w:val="0"/>
                <w:bCs w:val="0"/>
                <w:color w:val="000000"/>
                <w:kern w:val="0"/>
                <w:sz w:val="21"/>
                <w:szCs w:val="21"/>
                <w:lang w:val="en-US" w:eastAsia="zh-CN" w:bidi="ar"/>
              </w:rPr>
              <w:t>；项目采取了有效的治理措施能确保污染物达标排放，</w:t>
            </w:r>
            <w:r>
              <w:rPr>
                <w:rFonts w:hint="eastAsia" w:cs="Times New Roman"/>
                <w:color w:val="auto"/>
                <w:kern w:val="0"/>
                <w:szCs w:val="21"/>
                <w:lang w:val="en-US" w:eastAsia="zh-CN"/>
              </w:rPr>
              <w:t>评价要求建设单位在项目建成后及时编制突发环境事件预案；</w:t>
            </w:r>
          </w:p>
          <w:p w14:paraId="22517CF1">
            <w:pPr>
              <w:pStyle w:val="6"/>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firstLine="0" w:firstLineChars="0"/>
              <w:jc w:val="left"/>
              <w:textAlignment w:val="auto"/>
              <w:rPr>
                <w:rFonts w:hint="default"/>
                <w:lang w:val="en-US" w:eastAsia="zh-CN"/>
              </w:rPr>
            </w:pPr>
            <w:r>
              <w:rPr>
                <w:rFonts w:hint="eastAsia" w:ascii="Times New Roman" w:hAnsi="Times New Roman" w:eastAsia="宋体" w:cs="宋体"/>
                <w:b w:val="0"/>
                <w:bCs w:val="0"/>
                <w:color w:val="000000"/>
                <w:kern w:val="0"/>
                <w:sz w:val="21"/>
                <w:szCs w:val="21"/>
                <w:lang w:val="en-US" w:eastAsia="zh-CN" w:bidi="ar"/>
              </w:rPr>
              <w:t>2.本项目固废做到了分类收集、分类处置，无二次污染风险。</w:t>
            </w:r>
          </w:p>
        </w:tc>
        <w:tc>
          <w:tcPr>
            <w:tcW w:w="339" w:type="pct"/>
            <w:noWrap w:val="0"/>
            <w:vAlign w:val="center"/>
          </w:tcPr>
          <w:p w14:paraId="0D3063E3">
            <w:pPr>
              <w:keepNext w:val="0"/>
              <w:keepLines w:val="0"/>
              <w:widowControl/>
              <w:suppressLineNumbers w:val="0"/>
              <w:spacing w:before="0" w:beforeAutospacing="0" w:after="0" w:afterAutospacing="0"/>
              <w:ind w:left="0" w:right="0"/>
              <w:jc w:val="center"/>
              <w:rPr>
                <w:rStyle w:val="27"/>
                <w:rFonts w:hint="eastAsia" w:ascii="宋体" w:hAnsi="宋体" w:eastAsia="宋体" w:cs="宋体"/>
                <w:color w:val="000000"/>
                <w:kern w:val="0"/>
                <w:sz w:val="21"/>
                <w:szCs w:val="21"/>
                <w:lang w:val="en-US" w:eastAsia="zh-CN" w:bidi="ar-SA"/>
              </w:rPr>
            </w:pPr>
            <w:r>
              <w:rPr>
                <w:rFonts w:hint="default" w:ascii="Times New Roman" w:hAnsi="Times New Roman" w:eastAsia="宋体" w:cs="Times New Roman"/>
                <w:color w:val="auto"/>
                <w:szCs w:val="21"/>
              </w:rPr>
              <w:t>符合</w:t>
            </w:r>
          </w:p>
        </w:tc>
      </w:tr>
      <w:tr w14:paraId="37492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350" w:type="pct"/>
            <w:vMerge w:val="continue"/>
            <w:noWrap w:val="0"/>
            <w:vAlign w:val="center"/>
          </w:tcPr>
          <w:p w14:paraId="07004C5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414" w:type="pct"/>
            <w:vMerge w:val="continue"/>
            <w:noWrap w:val="0"/>
            <w:vAlign w:val="center"/>
          </w:tcPr>
          <w:p w14:paraId="070A118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312" w:type="pct"/>
            <w:vMerge w:val="continue"/>
            <w:noWrap w:val="0"/>
            <w:vAlign w:val="center"/>
          </w:tcPr>
          <w:p w14:paraId="105C618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545" w:type="pct"/>
            <w:vMerge w:val="restart"/>
            <w:noWrap w:val="0"/>
            <w:vAlign w:val="center"/>
          </w:tcPr>
          <w:p w14:paraId="6D1847D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资源开发利用效率</w:t>
            </w:r>
          </w:p>
        </w:tc>
        <w:tc>
          <w:tcPr>
            <w:tcW w:w="2002" w:type="pct"/>
            <w:noWrap w:val="0"/>
            <w:vAlign w:val="center"/>
          </w:tcPr>
          <w:p w14:paraId="462427E7">
            <w:pPr>
              <w:pStyle w:val="87"/>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宋体"/>
                <w:b/>
                <w:bCs/>
                <w:color w:val="auto"/>
                <w:kern w:val="0"/>
                <w:sz w:val="21"/>
              </w:rPr>
            </w:pPr>
            <w:r>
              <w:rPr>
                <w:rFonts w:hint="eastAsia" w:ascii="Times New Roman" w:hAnsi="Times New Roman" w:eastAsia="宋体" w:cs="宋体"/>
                <w:b/>
                <w:bCs/>
                <w:color w:val="auto"/>
                <w:kern w:val="0"/>
                <w:sz w:val="21"/>
              </w:rPr>
              <w:t>水资源利用总量要求:</w:t>
            </w:r>
          </w:p>
          <w:p w14:paraId="4760267E">
            <w:pPr>
              <w:pStyle w:val="87"/>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color w:val="auto"/>
                <w:kern w:val="0"/>
              </w:rPr>
            </w:pPr>
            <w:r>
              <w:rPr>
                <w:rStyle w:val="27"/>
                <w:rFonts w:hint="eastAsia" w:ascii="宋体" w:hAnsi="宋体" w:eastAsia="宋体" w:cs="宋体"/>
                <w:color w:val="000000"/>
                <w:kern w:val="0"/>
                <w:sz w:val="21"/>
                <w:szCs w:val="21"/>
                <w:lang w:val="en-US" w:eastAsia="zh-CN" w:bidi="ar-SA"/>
              </w:rPr>
              <w:t>到2030年，农田灌溉水利用系数提高到0.60。</w:t>
            </w:r>
          </w:p>
        </w:tc>
        <w:tc>
          <w:tcPr>
            <w:tcW w:w="1036" w:type="pct"/>
            <w:noWrap w:val="0"/>
            <w:vAlign w:val="center"/>
          </w:tcPr>
          <w:p w14:paraId="17D35B13">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不涉及</w:t>
            </w:r>
          </w:p>
        </w:tc>
        <w:tc>
          <w:tcPr>
            <w:tcW w:w="339" w:type="pct"/>
            <w:noWrap w:val="0"/>
            <w:vAlign w:val="center"/>
          </w:tcPr>
          <w:p w14:paraId="16A7F1F9">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符合</w:t>
            </w:r>
          </w:p>
        </w:tc>
      </w:tr>
      <w:tr w14:paraId="3C4A7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350" w:type="pct"/>
            <w:vMerge w:val="continue"/>
            <w:noWrap w:val="0"/>
            <w:vAlign w:val="center"/>
          </w:tcPr>
          <w:p w14:paraId="56B80C7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p>
        </w:tc>
        <w:tc>
          <w:tcPr>
            <w:tcW w:w="414" w:type="pct"/>
            <w:vMerge w:val="continue"/>
            <w:noWrap w:val="0"/>
            <w:vAlign w:val="center"/>
          </w:tcPr>
          <w:p w14:paraId="21B34DA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p>
        </w:tc>
        <w:tc>
          <w:tcPr>
            <w:tcW w:w="312" w:type="pct"/>
            <w:vMerge w:val="continue"/>
            <w:noWrap w:val="0"/>
            <w:vAlign w:val="center"/>
          </w:tcPr>
          <w:p w14:paraId="0F8E30C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p>
        </w:tc>
        <w:tc>
          <w:tcPr>
            <w:tcW w:w="545" w:type="pct"/>
            <w:vMerge w:val="continue"/>
            <w:noWrap w:val="0"/>
            <w:vAlign w:val="center"/>
          </w:tcPr>
          <w:p w14:paraId="26695D8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p>
        </w:tc>
        <w:tc>
          <w:tcPr>
            <w:tcW w:w="2002" w:type="pct"/>
            <w:noWrap w:val="0"/>
            <w:vAlign w:val="center"/>
          </w:tcPr>
          <w:p w14:paraId="19921E87">
            <w:pPr>
              <w:pStyle w:val="87"/>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宋体"/>
                <w:b/>
                <w:bCs/>
                <w:color w:val="auto"/>
                <w:kern w:val="0"/>
                <w:sz w:val="21"/>
              </w:rPr>
            </w:pPr>
            <w:r>
              <w:rPr>
                <w:rFonts w:hint="eastAsia" w:ascii="Times New Roman" w:hAnsi="Times New Roman" w:eastAsia="宋体" w:cs="宋体"/>
                <w:b/>
                <w:bCs/>
                <w:color w:val="auto"/>
                <w:kern w:val="0"/>
                <w:sz w:val="21"/>
              </w:rPr>
              <w:t>地下水开采要求:</w:t>
            </w:r>
          </w:p>
          <w:p w14:paraId="375D1942">
            <w:pPr>
              <w:pStyle w:val="87"/>
              <w:keepNext w:val="0"/>
              <w:keepLines w:val="0"/>
              <w:suppressLineNumbers w:val="0"/>
              <w:spacing w:before="0" w:beforeAutospacing="0" w:after="0" w:afterAutospacing="0" w:line="240" w:lineRule="auto"/>
              <w:ind w:left="0" w:right="0" w:firstLine="0" w:firstLineChars="0"/>
              <w:rPr>
                <w:rFonts w:hint="eastAsia" w:ascii="Times New Roman" w:hAnsi="Times New Roman" w:eastAsia="宋体" w:cs="宋体"/>
                <w:color w:val="auto"/>
                <w:kern w:val="0"/>
                <w:sz w:val="21"/>
              </w:rPr>
            </w:pPr>
            <w:r>
              <w:rPr>
                <w:rFonts w:hint="eastAsia" w:ascii="Times New Roman" w:hAnsi="Times New Roman" w:eastAsia="宋体" w:cs="宋体"/>
                <w:color w:val="auto"/>
                <w:kern w:val="0"/>
                <w:sz w:val="21"/>
              </w:rPr>
              <w:t>全面建设节水型社会，达到合理高效用水。</w:t>
            </w:r>
          </w:p>
        </w:tc>
        <w:tc>
          <w:tcPr>
            <w:tcW w:w="1036" w:type="pct"/>
            <w:noWrap w:val="0"/>
            <w:vAlign w:val="center"/>
          </w:tcPr>
          <w:p w14:paraId="3B101C3E">
            <w:pPr>
              <w:keepNext w:val="0"/>
              <w:keepLines w:val="0"/>
              <w:widowControl/>
              <w:suppressLineNumbers w:val="0"/>
              <w:spacing w:before="0" w:beforeAutospacing="0" w:after="0" w:afterAutospacing="0"/>
              <w:ind w:left="0" w:right="0"/>
              <w:jc w:val="center"/>
              <w:rPr>
                <w:rFonts w:hint="default" w:ascii="Times New Roman" w:hAnsi="Times New Roman" w:eastAsia="宋体" w:cs="宋体"/>
                <w:color w:val="auto"/>
                <w:kern w:val="0"/>
                <w:szCs w:val="21"/>
                <w:lang w:val="en-US" w:eastAsia="zh-CN"/>
              </w:rPr>
            </w:pPr>
            <w:r>
              <w:rPr>
                <w:rFonts w:hint="eastAsia" w:cs="宋体"/>
                <w:color w:val="auto"/>
                <w:kern w:val="0"/>
                <w:szCs w:val="21"/>
                <w:lang w:val="en-US" w:eastAsia="zh-CN"/>
              </w:rPr>
              <w:t>本项目生产用水由地下水供给，项目生产过程产生的洗砂废水、车辆冲洗废水、降尘废水经废水处理设施处理后回用于生产，项目能实现</w:t>
            </w:r>
            <w:r>
              <w:rPr>
                <w:rFonts w:hint="eastAsia" w:ascii="Times New Roman" w:hAnsi="Times New Roman" w:eastAsia="宋体" w:cs="宋体"/>
                <w:color w:val="auto"/>
                <w:kern w:val="0"/>
                <w:sz w:val="21"/>
              </w:rPr>
              <w:t>合理高效用水</w:t>
            </w:r>
          </w:p>
        </w:tc>
        <w:tc>
          <w:tcPr>
            <w:tcW w:w="339" w:type="pct"/>
            <w:noWrap w:val="0"/>
            <w:vAlign w:val="center"/>
          </w:tcPr>
          <w:p w14:paraId="51B47962">
            <w:pPr>
              <w:keepNext w:val="0"/>
              <w:keepLines w:val="0"/>
              <w:widowControl/>
              <w:suppressLineNumbers w:val="0"/>
              <w:spacing w:before="0" w:beforeAutospacing="0" w:after="0" w:afterAutospacing="0"/>
              <w:ind w:left="0" w:right="0"/>
              <w:jc w:val="center"/>
              <w:rPr>
                <w:rFonts w:hint="eastAsia" w:ascii="Times New Roman" w:hAnsi="Times New Roman" w:eastAsia="宋体" w:cs="宋体"/>
                <w:color w:val="auto"/>
                <w:kern w:val="0"/>
                <w:szCs w:val="21"/>
              </w:rPr>
            </w:pPr>
            <w:r>
              <w:rPr>
                <w:rFonts w:hint="eastAsia" w:cs="Times New Roman"/>
                <w:color w:val="auto"/>
                <w:szCs w:val="21"/>
                <w:lang w:val="en-US" w:eastAsia="zh-CN"/>
              </w:rPr>
              <w:t>符合</w:t>
            </w:r>
          </w:p>
        </w:tc>
      </w:tr>
      <w:tr w14:paraId="6CCC3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3" w:hRule="atLeast"/>
        </w:trPr>
        <w:tc>
          <w:tcPr>
            <w:tcW w:w="350" w:type="pct"/>
            <w:vMerge w:val="continue"/>
            <w:noWrap w:val="0"/>
            <w:vAlign w:val="center"/>
          </w:tcPr>
          <w:p w14:paraId="2884D712">
            <w:pPr>
              <w:keepNext w:val="0"/>
              <w:keepLines w:val="0"/>
              <w:widowControl/>
              <w:suppressLineNumbers w:val="0"/>
              <w:spacing w:before="0" w:beforeAutospacing="0" w:after="0" w:afterAutospacing="0"/>
              <w:ind w:left="0" w:right="0"/>
              <w:jc w:val="center"/>
              <w:rPr>
                <w:rFonts w:hint="eastAsia" w:ascii="Times New Roman" w:hAnsi="Times New Roman" w:eastAsia="宋体" w:cs="宋体"/>
                <w:color w:val="auto"/>
                <w:kern w:val="0"/>
                <w:szCs w:val="21"/>
              </w:rPr>
            </w:pPr>
          </w:p>
        </w:tc>
        <w:tc>
          <w:tcPr>
            <w:tcW w:w="414" w:type="pct"/>
            <w:vMerge w:val="continue"/>
            <w:noWrap w:val="0"/>
            <w:vAlign w:val="center"/>
          </w:tcPr>
          <w:p w14:paraId="45BA5B14">
            <w:pPr>
              <w:keepNext w:val="0"/>
              <w:keepLines w:val="0"/>
              <w:widowControl/>
              <w:suppressLineNumbers w:val="0"/>
              <w:spacing w:before="0" w:beforeAutospacing="0" w:after="0" w:afterAutospacing="0"/>
              <w:ind w:left="0" w:right="0"/>
              <w:jc w:val="center"/>
              <w:rPr>
                <w:rFonts w:hint="eastAsia" w:ascii="Times New Roman" w:hAnsi="Times New Roman" w:eastAsia="宋体" w:cs="宋体"/>
                <w:color w:val="auto"/>
                <w:kern w:val="0"/>
                <w:szCs w:val="21"/>
              </w:rPr>
            </w:pPr>
          </w:p>
        </w:tc>
        <w:tc>
          <w:tcPr>
            <w:tcW w:w="312" w:type="pct"/>
            <w:vMerge w:val="continue"/>
            <w:noWrap w:val="0"/>
            <w:vAlign w:val="center"/>
          </w:tcPr>
          <w:p w14:paraId="539CE3BE">
            <w:pPr>
              <w:keepNext w:val="0"/>
              <w:keepLines w:val="0"/>
              <w:widowControl/>
              <w:suppressLineNumbers w:val="0"/>
              <w:spacing w:before="0" w:beforeAutospacing="0" w:after="0" w:afterAutospacing="0"/>
              <w:ind w:left="0" w:right="0"/>
              <w:jc w:val="center"/>
              <w:rPr>
                <w:rFonts w:hint="eastAsia" w:ascii="Times New Roman" w:hAnsi="Times New Roman" w:eastAsia="宋体" w:cs="宋体"/>
                <w:color w:val="auto"/>
                <w:kern w:val="0"/>
                <w:szCs w:val="21"/>
              </w:rPr>
            </w:pPr>
          </w:p>
        </w:tc>
        <w:tc>
          <w:tcPr>
            <w:tcW w:w="545" w:type="pct"/>
            <w:vMerge w:val="continue"/>
            <w:noWrap w:val="0"/>
            <w:vAlign w:val="center"/>
          </w:tcPr>
          <w:p w14:paraId="126B381F">
            <w:pPr>
              <w:keepNext w:val="0"/>
              <w:keepLines w:val="0"/>
              <w:widowControl/>
              <w:suppressLineNumbers w:val="0"/>
              <w:spacing w:before="0" w:beforeAutospacing="0" w:after="0" w:afterAutospacing="0"/>
              <w:ind w:left="0" w:right="0"/>
              <w:jc w:val="center"/>
              <w:rPr>
                <w:rFonts w:hint="eastAsia" w:ascii="Times New Roman" w:hAnsi="Times New Roman" w:eastAsia="宋体" w:cs="宋体"/>
                <w:color w:val="auto"/>
                <w:kern w:val="0"/>
                <w:szCs w:val="21"/>
              </w:rPr>
            </w:pPr>
          </w:p>
        </w:tc>
        <w:tc>
          <w:tcPr>
            <w:tcW w:w="2002" w:type="pct"/>
            <w:noWrap w:val="0"/>
            <w:vAlign w:val="center"/>
          </w:tcPr>
          <w:p w14:paraId="4D5E7C9A">
            <w:pPr>
              <w:pStyle w:val="87"/>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宋体"/>
                <w:b/>
                <w:bCs/>
                <w:color w:val="auto"/>
                <w:kern w:val="0"/>
                <w:sz w:val="21"/>
              </w:rPr>
            </w:pPr>
            <w:r>
              <w:rPr>
                <w:rFonts w:hint="eastAsia" w:ascii="Times New Roman" w:hAnsi="Times New Roman" w:eastAsia="宋体" w:cs="宋体"/>
                <w:b/>
                <w:bCs/>
                <w:color w:val="auto"/>
                <w:kern w:val="0"/>
                <w:sz w:val="21"/>
              </w:rPr>
              <w:t>能源利用总量及效率要求:</w:t>
            </w:r>
          </w:p>
          <w:p w14:paraId="368CE8F8">
            <w:pPr>
              <w:pStyle w:val="87"/>
              <w:keepNext w:val="0"/>
              <w:keepLines w:val="0"/>
              <w:widowControl w:val="0"/>
              <w:suppressLineNumbers w:val="0"/>
              <w:spacing w:before="0" w:beforeAutospacing="0" w:after="0" w:afterAutospacing="0" w:line="240" w:lineRule="auto"/>
              <w:ind w:left="0" w:right="0" w:firstLine="0" w:firstLineChars="0"/>
              <w:jc w:val="both"/>
              <w:rPr>
                <w:rStyle w:val="27"/>
                <w:rFonts w:hint="eastAsia" w:ascii="宋体" w:hAnsi="宋体" w:eastAsia="宋体" w:cs="宋体"/>
                <w:color w:val="000000"/>
                <w:kern w:val="0"/>
                <w:sz w:val="21"/>
                <w:szCs w:val="21"/>
                <w:lang w:val="en-US" w:eastAsia="zh-CN" w:bidi="ar-SA"/>
              </w:rPr>
            </w:pPr>
            <w:r>
              <w:rPr>
                <w:rStyle w:val="27"/>
                <w:rFonts w:hint="eastAsia" w:ascii="宋体" w:hAnsi="宋体" w:eastAsia="宋体" w:cs="宋体"/>
                <w:color w:val="000000"/>
                <w:kern w:val="0"/>
                <w:sz w:val="21"/>
                <w:szCs w:val="21"/>
                <w:lang w:val="en-US" w:eastAsia="zh-CN" w:bidi="ar-SA"/>
              </w:rPr>
              <w:t>1.推进清洁能源的推广使用，全面推进散煤清洁化整治；禁止劣质散煤使用；禁止新建每小时10蒸吨以下的燃煤锅炉及其他燃煤设施。鼓励燃煤锅炉、生物质锅炉实施节能和超低排放改造，燃气锅炉实施低氮改造。</w:t>
            </w:r>
          </w:p>
          <w:p w14:paraId="3299B8B5">
            <w:pPr>
              <w:pStyle w:val="87"/>
              <w:keepNext w:val="0"/>
              <w:keepLines w:val="0"/>
              <w:widowControl w:val="0"/>
              <w:suppressLineNumbers w:val="0"/>
              <w:spacing w:before="0" w:beforeAutospacing="0" w:after="0" w:afterAutospacing="0" w:line="240" w:lineRule="auto"/>
              <w:ind w:left="0" w:right="0" w:firstLine="0" w:firstLineChars="0"/>
              <w:jc w:val="both"/>
              <w:rPr>
                <w:rFonts w:hint="eastAsia" w:ascii="Times New Roman" w:hAnsi="Times New Roman" w:eastAsia="宋体" w:cs="宋体"/>
                <w:color w:val="auto"/>
                <w:kern w:val="0"/>
                <w:szCs w:val="21"/>
              </w:rPr>
            </w:pPr>
            <w:r>
              <w:rPr>
                <w:rStyle w:val="27"/>
                <w:rFonts w:hint="eastAsia" w:ascii="宋体" w:hAnsi="宋体" w:eastAsia="宋体" w:cs="宋体"/>
                <w:color w:val="000000"/>
                <w:kern w:val="0"/>
                <w:sz w:val="21"/>
                <w:szCs w:val="21"/>
                <w:lang w:val="en-US" w:eastAsia="zh-CN" w:bidi="ar-SA"/>
              </w:rPr>
              <w:t>2.禁止焚烧秸秆和垃圾，到2025年，秸秆综合利用率达到90%。</w:t>
            </w:r>
          </w:p>
        </w:tc>
        <w:tc>
          <w:tcPr>
            <w:tcW w:w="1036" w:type="pct"/>
            <w:noWrap w:val="0"/>
            <w:vAlign w:val="center"/>
          </w:tcPr>
          <w:p w14:paraId="44AFB77E">
            <w:pPr>
              <w:keepNext w:val="0"/>
              <w:keepLines w:val="0"/>
              <w:widowControl/>
              <w:suppressLineNumbers w:val="0"/>
              <w:spacing w:before="0" w:beforeAutospacing="0" w:after="0" w:afterAutospacing="0"/>
              <w:ind w:left="0" w:right="0"/>
              <w:jc w:val="center"/>
              <w:rPr>
                <w:rFonts w:hint="eastAsia" w:ascii="Times New Roman" w:hAnsi="Times New Roman" w:eastAsia="宋体" w:cs="宋体"/>
                <w:color w:val="auto"/>
                <w:kern w:val="0"/>
                <w:szCs w:val="21"/>
                <w:lang w:val="en-US" w:eastAsia="zh-CN"/>
              </w:rPr>
            </w:pPr>
            <w:r>
              <w:rPr>
                <w:rFonts w:hint="eastAsia" w:cs="宋体"/>
                <w:color w:val="auto"/>
                <w:kern w:val="0"/>
                <w:szCs w:val="21"/>
                <w:lang w:val="en-US" w:eastAsia="zh-CN"/>
              </w:rPr>
              <w:t>不涉及</w:t>
            </w:r>
          </w:p>
        </w:tc>
        <w:tc>
          <w:tcPr>
            <w:tcW w:w="339" w:type="pct"/>
            <w:noWrap w:val="0"/>
            <w:vAlign w:val="center"/>
          </w:tcPr>
          <w:p w14:paraId="38986A1F">
            <w:pPr>
              <w:keepNext w:val="0"/>
              <w:keepLines w:val="0"/>
              <w:widowControl/>
              <w:suppressLineNumbers w:val="0"/>
              <w:spacing w:before="0" w:beforeAutospacing="0" w:after="0" w:afterAutospacing="0"/>
              <w:ind w:left="0" w:right="0"/>
              <w:jc w:val="center"/>
              <w:rPr>
                <w:rFonts w:hint="eastAsia" w:ascii="Times New Roman" w:hAnsi="Times New Roman" w:eastAsia="宋体" w:cs="宋体"/>
                <w:color w:val="auto"/>
                <w:kern w:val="0"/>
                <w:szCs w:val="21"/>
              </w:rPr>
            </w:pPr>
            <w:r>
              <w:rPr>
                <w:rFonts w:hint="eastAsia" w:cs="Times New Roman"/>
                <w:color w:val="auto"/>
                <w:szCs w:val="21"/>
                <w:lang w:val="en-US" w:eastAsia="zh-CN"/>
              </w:rPr>
              <w:t>符合</w:t>
            </w:r>
          </w:p>
        </w:tc>
      </w:tr>
      <w:tr w14:paraId="56D59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350" w:type="pct"/>
            <w:vMerge w:val="continue"/>
            <w:noWrap w:val="0"/>
            <w:vAlign w:val="center"/>
          </w:tcPr>
          <w:p w14:paraId="062D2F13">
            <w:pPr>
              <w:keepNext w:val="0"/>
              <w:keepLines w:val="0"/>
              <w:widowControl/>
              <w:suppressLineNumbers w:val="0"/>
              <w:spacing w:before="0" w:beforeAutospacing="0" w:after="0" w:afterAutospacing="0"/>
              <w:ind w:left="0" w:right="0"/>
              <w:jc w:val="center"/>
              <w:rPr>
                <w:rFonts w:hint="eastAsia" w:ascii="Times New Roman" w:hAnsi="Times New Roman" w:eastAsia="宋体" w:cs="宋体"/>
                <w:color w:val="auto"/>
                <w:kern w:val="0"/>
                <w:szCs w:val="21"/>
              </w:rPr>
            </w:pPr>
          </w:p>
        </w:tc>
        <w:tc>
          <w:tcPr>
            <w:tcW w:w="414" w:type="pct"/>
            <w:vMerge w:val="continue"/>
            <w:noWrap w:val="0"/>
            <w:vAlign w:val="center"/>
          </w:tcPr>
          <w:p w14:paraId="5C2F7778">
            <w:pPr>
              <w:keepNext w:val="0"/>
              <w:keepLines w:val="0"/>
              <w:widowControl/>
              <w:suppressLineNumbers w:val="0"/>
              <w:spacing w:before="0" w:beforeAutospacing="0" w:after="0" w:afterAutospacing="0"/>
              <w:ind w:left="0" w:right="0"/>
              <w:jc w:val="center"/>
              <w:rPr>
                <w:rFonts w:hint="eastAsia" w:ascii="Times New Roman" w:hAnsi="Times New Roman" w:eastAsia="宋体" w:cs="宋体"/>
                <w:color w:val="auto"/>
                <w:kern w:val="0"/>
                <w:szCs w:val="21"/>
              </w:rPr>
            </w:pPr>
          </w:p>
        </w:tc>
        <w:tc>
          <w:tcPr>
            <w:tcW w:w="312" w:type="pct"/>
            <w:vMerge w:val="continue"/>
            <w:noWrap w:val="0"/>
            <w:vAlign w:val="center"/>
          </w:tcPr>
          <w:p w14:paraId="2DD6CC6E">
            <w:pPr>
              <w:keepNext w:val="0"/>
              <w:keepLines w:val="0"/>
              <w:widowControl/>
              <w:suppressLineNumbers w:val="0"/>
              <w:spacing w:before="0" w:beforeAutospacing="0" w:after="0" w:afterAutospacing="0"/>
              <w:ind w:left="0" w:right="0"/>
              <w:jc w:val="center"/>
              <w:rPr>
                <w:rFonts w:hint="eastAsia" w:ascii="Times New Roman" w:hAnsi="Times New Roman" w:eastAsia="宋体" w:cs="宋体"/>
                <w:color w:val="auto"/>
                <w:kern w:val="0"/>
                <w:szCs w:val="21"/>
              </w:rPr>
            </w:pPr>
          </w:p>
        </w:tc>
        <w:tc>
          <w:tcPr>
            <w:tcW w:w="545" w:type="pct"/>
            <w:vMerge w:val="continue"/>
            <w:noWrap w:val="0"/>
            <w:vAlign w:val="center"/>
          </w:tcPr>
          <w:p w14:paraId="4B2F80AA">
            <w:pPr>
              <w:pStyle w:val="87"/>
              <w:keepNext w:val="0"/>
              <w:keepLines w:val="0"/>
              <w:suppressLineNumbers w:val="0"/>
              <w:spacing w:before="0" w:beforeAutospacing="0" w:after="0" w:afterAutospacing="0"/>
              <w:ind w:left="0" w:right="0" w:firstLine="0" w:firstLineChars="0"/>
              <w:rPr>
                <w:rFonts w:hint="eastAsia" w:ascii="Times New Roman" w:hAnsi="Times New Roman" w:eastAsia="宋体" w:cs="宋体"/>
                <w:color w:val="auto"/>
                <w:kern w:val="0"/>
                <w:sz w:val="21"/>
              </w:rPr>
            </w:pPr>
          </w:p>
        </w:tc>
        <w:tc>
          <w:tcPr>
            <w:tcW w:w="2002" w:type="pct"/>
            <w:noWrap w:val="0"/>
            <w:vAlign w:val="center"/>
          </w:tcPr>
          <w:p w14:paraId="601F9EA7">
            <w:pPr>
              <w:pStyle w:val="87"/>
              <w:keepNext w:val="0"/>
              <w:keepLines w:val="0"/>
              <w:widowControl w:val="0"/>
              <w:suppressLineNumbers w:val="0"/>
              <w:spacing w:before="0" w:beforeAutospacing="0" w:after="0" w:afterAutospacing="0" w:line="240" w:lineRule="auto"/>
              <w:ind w:left="0" w:right="0" w:firstLine="0" w:firstLineChars="0"/>
              <w:jc w:val="both"/>
              <w:rPr>
                <w:rStyle w:val="27"/>
                <w:rFonts w:hint="eastAsia" w:ascii="宋体" w:hAnsi="宋体" w:eastAsia="宋体" w:cs="宋体"/>
                <w:b/>
                <w:bCs/>
                <w:color w:val="000000"/>
                <w:kern w:val="0"/>
                <w:sz w:val="21"/>
                <w:szCs w:val="21"/>
                <w:lang w:val="en-US" w:eastAsia="zh-CN" w:bidi="ar-SA"/>
              </w:rPr>
            </w:pPr>
            <w:r>
              <w:rPr>
                <w:rStyle w:val="27"/>
                <w:rFonts w:hint="eastAsia" w:ascii="宋体" w:hAnsi="宋体" w:eastAsia="宋体" w:cs="宋体"/>
                <w:b/>
                <w:bCs/>
                <w:color w:val="000000"/>
                <w:kern w:val="0"/>
                <w:sz w:val="21"/>
                <w:szCs w:val="21"/>
                <w:lang w:val="en-US" w:eastAsia="zh-CN" w:bidi="ar-SA"/>
              </w:rPr>
              <w:t>邻水县禁燃区管控要求：</w:t>
            </w:r>
          </w:p>
          <w:p w14:paraId="00279433">
            <w:pPr>
              <w:pStyle w:val="87"/>
              <w:keepNext w:val="0"/>
              <w:keepLines w:val="0"/>
              <w:widowControl w:val="0"/>
              <w:suppressLineNumbers w:val="0"/>
              <w:spacing w:before="0" w:beforeAutospacing="0" w:after="0" w:afterAutospacing="0" w:line="240" w:lineRule="auto"/>
              <w:ind w:left="0" w:right="0" w:firstLine="0" w:firstLineChars="0"/>
              <w:jc w:val="both"/>
              <w:rPr>
                <w:rStyle w:val="27"/>
                <w:rFonts w:hint="eastAsia" w:ascii="宋体" w:hAnsi="宋体" w:eastAsia="宋体" w:cs="宋体"/>
                <w:color w:val="000000"/>
                <w:kern w:val="0"/>
                <w:sz w:val="21"/>
                <w:szCs w:val="21"/>
                <w:lang w:val="en-US" w:eastAsia="zh-CN" w:bidi="ar-SA"/>
              </w:rPr>
            </w:pPr>
            <w:r>
              <w:rPr>
                <w:rStyle w:val="27"/>
                <w:rFonts w:hint="eastAsia" w:ascii="宋体" w:hAnsi="宋体" w:eastAsia="宋体" w:cs="宋体"/>
                <w:color w:val="000000"/>
                <w:kern w:val="0"/>
                <w:sz w:val="21"/>
                <w:szCs w:val="21"/>
                <w:lang w:val="en-US" w:eastAsia="zh-CN" w:bidi="ar-SA"/>
              </w:rPr>
              <w:t>以下高污染燃料包括：原（散）煤、洗选煤、蜂 窝煤、焦炭、木炭、煤矸石、煤泥、煤焦油、重油、渣油等燃料， 以及各种可燃废物和直接燃用的生物质燃料。</w:t>
            </w:r>
          </w:p>
          <w:p w14:paraId="7E5037F3">
            <w:pPr>
              <w:pStyle w:val="87"/>
              <w:keepNext w:val="0"/>
              <w:keepLines w:val="0"/>
              <w:widowControl w:val="0"/>
              <w:suppressLineNumbers w:val="0"/>
              <w:spacing w:before="0" w:beforeAutospacing="0" w:after="0" w:afterAutospacing="0" w:line="240" w:lineRule="auto"/>
              <w:ind w:left="0" w:right="0" w:firstLine="0" w:firstLineChars="0"/>
              <w:jc w:val="both"/>
              <w:rPr>
                <w:rStyle w:val="27"/>
                <w:rFonts w:hint="eastAsia" w:ascii="宋体" w:hAnsi="宋体" w:eastAsia="宋体" w:cs="宋体"/>
                <w:color w:val="000000"/>
                <w:kern w:val="0"/>
                <w:sz w:val="21"/>
                <w:szCs w:val="21"/>
                <w:lang w:val="en-US" w:eastAsia="zh-CN" w:bidi="ar-SA"/>
              </w:rPr>
            </w:pPr>
            <w:r>
              <w:rPr>
                <w:rStyle w:val="27"/>
                <w:rFonts w:hint="eastAsia" w:ascii="宋体" w:hAnsi="宋体" w:eastAsia="宋体" w:cs="宋体"/>
                <w:color w:val="000000"/>
                <w:kern w:val="0"/>
                <w:sz w:val="21"/>
                <w:szCs w:val="21"/>
                <w:lang w:val="en-US" w:eastAsia="zh-CN" w:bidi="ar-SA"/>
              </w:rPr>
              <w:t>①禁燃区内使用高污染燃料的10蒸吨/小时及以下的燃煤锅 炉及各类炉窑、炉灶等燃烧设施的单位，应当在2016年12月31日前规定期限前改用天然气、液化石油气、电或者其他清洁能源； 逾期未改用的，不得继续使用。</w:t>
            </w:r>
          </w:p>
          <w:p w14:paraId="3082CD36">
            <w:pPr>
              <w:pStyle w:val="87"/>
              <w:keepNext w:val="0"/>
              <w:keepLines w:val="0"/>
              <w:widowControl w:val="0"/>
              <w:suppressLineNumbers w:val="0"/>
              <w:spacing w:before="0" w:beforeAutospacing="0" w:after="0" w:afterAutospacing="0" w:line="240" w:lineRule="auto"/>
              <w:ind w:left="0" w:right="0" w:firstLine="0" w:firstLineChars="0"/>
              <w:jc w:val="both"/>
              <w:rPr>
                <w:rFonts w:hint="eastAsia" w:ascii="Times New Roman" w:hAnsi="Times New Roman" w:eastAsia="宋体" w:cs="宋体"/>
                <w:color w:val="auto"/>
                <w:kern w:val="0"/>
                <w:sz w:val="21"/>
              </w:rPr>
            </w:pPr>
            <w:r>
              <w:rPr>
                <w:rStyle w:val="27"/>
                <w:rFonts w:hint="eastAsia" w:ascii="宋体" w:hAnsi="宋体" w:eastAsia="宋体" w:cs="宋体"/>
                <w:color w:val="000000"/>
                <w:kern w:val="0"/>
                <w:sz w:val="21"/>
                <w:szCs w:val="21"/>
                <w:lang w:val="en-US" w:eastAsia="zh-CN" w:bidi="ar-SA"/>
              </w:rPr>
              <w:t>②锅炉改造应当符合特种设备安全技术规范要求，大气污染物 排放执行《锅炉大气污染物排放标准》（GB13271-2014），并取得具有资质检验机构出具的合格报告。</w:t>
            </w:r>
          </w:p>
        </w:tc>
        <w:tc>
          <w:tcPr>
            <w:tcW w:w="1036" w:type="pct"/>
            <w:noWrap w:val="0"/>
            <w:vAlign w:val="center"/>
          </w:tcPr>
          <w:p w14:paraId="0ADD7F9B">
            <w:pPr>
              <w:keepNext w:val="0"/>
              <w:keepLines w:val="0"/>
              <w:widowControl/>
              <w:suppressLineNumbers w:val="0"/>
              <w:spacing w:before="0" w:beforeAutospacing="0" w:after="0" w:afterAutospacing="0"/>
              <w:ind w:left="0" w:right="0"/>
              <w:jc w:val="center"/>
              <w:rPr>
                <w:rFonts w:hint="eastAsia" w:ascii="Times New Roman" w:hAnsi="Times New Roman" w:eastAsia="宋体" w:cs="宋体"/>
                <w:color w:val="auto"/>
                <w:kern w:val="0"/>
                <w:szCs w:val="21"/>
                <w:lang w:eastAsia="zh-CN"/>
              </w:rPr>
            </w:pPr>
            <w:r>
              <w:rPr>
                <w:rFonts w:hint="eastAsia" w:cs="宋体"/>
                <w:color w:val="auto"/>
                <w:kern w:val="0"/>
                <w:szCs w:val="21"/>
                <w:lang w:val="en-US" w:eastAsia="zh-CN"/>
              </w:rPr>
              <w:t>不涉及</w:t>
            </w:r>
          </w:p>
        </w:tc>
        <w:tc>
          <w:tcPr>
            <w:tcW w:w="339" w:type="pct"/>
            <w:noWrap w:val="0"/>
            <w:vAlign w:val="center"/>
          </w:tcPr>
          <w:p w14:paraId="53AAD859">
            <w:pPr>
              <w:keepNext w:val="0"/>
              <w:keepLines w:val="0"/>
              <w:widowControl/>
              <w:suppressLineNumbers w:val="0"/>
              <w:spacing w:before="0" w:beforeAutospacing="0" w:after="0" w:afterAutospacing="0"/>
              <w:ind w:left="0" w:right="0"/>
              <w:jc w:val="center"/>
              <w:rPr>
                <w:rFonts w:hint="default" w:ascii="Times New Roman" w:hAnsi="Times New Roman" w:eastAsia="宋体" w:cs="宋体"/>
                <w:color w:val="auto"/>
                <w:kern w:val="0"/>
                <w:szCs w:val="21"/>
              </w:rPr>
            </w:pPr>
            <w:r>
              <w:rPr>
                <w:rFonts w:hint="eastAsia" w:ascii="Times New Roman" w:hAnsi="Times New Roman" w:eastAsia="宋体" w:cs="宋体"/>
                <w:color w:val="auto"/>
                <w:kern w:val="0"/>
                <w:szCs w:val="21"/>
              </w:rPr>
              <w:t>符合</w:t>
            </w:r>
          </w:p>
        </w:tc>
      </w:tr>
      <w:tr w14:paraId="4FEAD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 w:type="pct"/>
            <w:vMerge w:val="restart"/>
            <w:noWrap w:val="0"/>
            <w:vAlign w:val="center"/>
          </w:tcPr>
          <w:p w14:paraId="6137351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YS5116233210001</w:t>
            </w:r>
          </w:p>
        </w:tc>
        <w:tc>
          <w:tcPr>
            <w:tcW w:w="414" w:type="pct"/>
            <w:vMerge w:val="restart"/>
            <w:noWrap w:val="0"/>
            <w:vAlign w:val="center"/>
          </w:tcPr>
          <w:p w14:paraId="5354732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kern w:val="0"/>
                <w:szCs w:val="21"/>
              </w:rPr>
              <w:t>大洪河-邻水县-黎家乡崔家岩村-控制单元</w:t>
            </w:r>
          </w:p>
        </w:tc>
        <w:tc>
          <w:tcPr>
            <w:tcW w:w="312" w:type="pct"/>
            <w:vMerge w:val="restart"/>
            <w:noWrap w:val="0"/>
            <w:vAlign w:val="center"/>
          </w:tcPr>
          <w:p w14:paraId="3EC72E7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单元级清单管控要求</w:t>
            </w:r>
          </w:p>
        </w:tc>
        <w:tc>
          <w:tcPr>
            <w:tcW w:w="545" w:type="pct"/>
            <w:noWrap w:val="0"/>
            <w:vAlign w:val="center"/>
          </w:tcPr>
          <w:p w14:paraId="6668E7A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空间布局约束</w:t>
            </w:r>
          </w:p>
        </w:tc>
        <w:tc>
          <w:tcPr>
            <w:tcW w:w="2002" w:type="pct"/>
            <w:noWrap w:val="0"/>
            <w:vAlign w:val="center"/>
          </w:tcPr>
          <w:p w14:paraId="65CCC0A8">
            <w:pPr>
              <w:pStyle w:val="8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7"/>
                <w:rFonts w:hint="default" w:ascii="宋体" w:hAnsi="宋体" w:eastAsia="宋体" w:cs="Times New Roman"/>
                <w:b/>
                <w:bCs/>
                <w:kern w:val="2"/>
                <w:sz w:val="21"/>
                <w:szCs w:val="21"/>
                <w:lang w:val="en-US" w:eastAsia="zh-CN" w:bidi="ar-SA"/>
              </w:rPr>
            </w:pPr>
            <w:r>
              <w:rPr>
                <w:rStyle w:val="27"/>
                <w:rFonts w:hint="eastAsia" w:ascii="宋体" w:hAnsi="宋体" w:eastAsia="宋体" w:cs="Times New Roman"/>
                <w:b/>
                <w:bCs/>
                <w:kern w:val="2"/>
                <w:sz w:val="21"/>
                <w:szCs w:val="21"/>
                <w:lang w:val="en-US" w:eastAsia="zh-CN" w:bidi="ar-SA"/>
              </w:rPr>
              <w:t>禁止开发建设活动的要求：</w:t>
            </w:r>
          </w:p>
          <w:p w14:paraId="143367D6">
            <w:pPr>
              <w:pStyle w:val="87"/>
              <w:keepNext w:val="0"/>
              <w:keepLines w:val="0"/>
              <w:widowControl/>
              <w:suppressLineNumbers w:val="0"/>
              <w:shd w:val="clear" w:color="auto" w:fill="FFFFFF"/>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1"/>
              </w:rPr>
            </w:pPr>
            <w:r>
              <w:rPr>
                <w:rStyle w:val="27"/>
                <w:rFonts w:hint="eastAsia" w:ascii="宋体" w:hAnsi="宋体" w:eastAsia="宋体" w:cs="Times New Roman"/>
                <w:kern w:val="2"/>
                <w:sz w:val="21"/>
                <w:szCs w:val="21"/>
                <w:lang w:val="en-US" w:eastAsia="zh-CN" w:bidi="ar-SA"/>
              </w:rPr>
              <w:t>不再新建、改扩建开采规模在50万吨/年以下的磷矿，不再新建露天磷矿</w:t>
            </w:r>
          </w:p>
        </w:tc>
        <w:tc>
          <w:tcPr>
            <w:tcW w:w="1036" w:type="pct"/>
            <w:noWrap w:val="0"/>
            <w:vAlign w:val="center"/>
          </w:tcPr>
          <w:p w14:paraId="79D365F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eastAsia" w:cs="宋体"/>
                <w:color w:val="auto"/>
                <w:kern w:val="0"/>
                <w:szCs w:val="21"/>
                <w:lang w:val="en-US" w:eastAsia="zh-CN"/>
              </w:rPr>
              <w:t>不涉及</w:t>
            </w:r>
          </w:p>
        </w:tc>
        <w:tc>
          <w:tcPr>
            <w:tcW w:w="339" w:type="pct"/>
            <w:noWrap w:val="0"/>
            <w:vAlign w:val="center"/>
          </w:tcPr>
          <w:p w14:paraId="533FB9F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14:paraId="011BB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 w:type="pct"/>
            <w:vMerge w:val="continue"/>
            <w:noWrap w:val="0"/>
            <w:vAlign w:val="center"/>
          </w:tcPr>
          <w:p w14:paraId="64CC6AB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414" w:type="pct"/>
            <w:vMerge w:val="continue"/>
            <w:noWrap w:val="0"/>
            <w:vAlign w:val="center"/>
          </w:tcPr>
          <w:p w14:paraId="7E3F599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312" w:type="pct"/>
            <w:vMerge w:val="continue"/>
            <w:noWrap w:val="0"/>
            <w:vAlign w:val="center"/>
          </w:tcPr>
          <w:p w14:paraId="5BE249F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545" w:type="pct"/>
            <w:vMerge w:val="restart"/>
            <w:noWrap w:val="0"/>
            <w:vAlign w:val="center"/>
          </w:tcPr>
          <w:p w14:paraId="28D4E58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污染物排放管控</w:t>
            </w:r>
          </w:p>
        </w:tc>
        <w:tc>
          <w:tcPr>
            <w:tcW w:w="2002" w:type="pct"/>
            <w:noWrap w:val="0"/>
            <w:vAlign w:val="center"/>
          </w:tcPr>
          <w:p w14:paraId="43486824">
            <w:pPr>
              <w:pStyle w:val="8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7"/>
                <w:rFonts w:hint="default" w:ascii="宋体" w:hAnsi="宋体" w:eastAsia="宋体" w:cs="Times New Roman"/>
                <w:kern w:val="2"/>
                <w:sz w:val="21"/>
                <w:szCs w:val="21"/>
                <w:lang w:val="en-US" w:eastAsia="zh-CN" w:bidi="ar-SA"/>
              </w:rPr>
            </w:pPr>
            <w:r>
              <w:rPr>
                <w:rStyle w:val="27"/>
                <w:rFonts w:hint="eastAsia" w:ascii="宋体" w:hAnsi="宋体" w:eastAsia="宋体" w:cs="Times New Roman"/>
                <w:kern w:val="2"/>
                <w:sz w:val="21"/>
                <w:szCs w:val="21"/>
                <w:lang w:val="en-US" w:eastAsia="zh-CN" w:bidi="ar-SA"/>
              </w:rPr>
              <w:t>城镇污水污染控制措施要求</w:t>
            </w:r>
          </w:p>
          <w:p w14:paraId="33D38592">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szCs w:val="21"/>
              </w:rPr>
            </w:pPr>
            <w:r>
              <w:rPr>
                <w:rStyle w:val="27"/>
                <w:rFonts w:hint="eastAsia" w:ascii="宋体" w:hAnsi="宋体" w:eastAsia="宋体" w:cs="Times New Roman"/>
                <w:kern w:val="2"/>
                <w:sz w:val="21"/>
                <w:szCs w:val="21"/>
                <w:lang w:val="en-US" w:eastAsia="zh-CN" w:bidi="ar-SA"/>
              </w:rPr>
              <w:t>1、持续推进环保基础设施补短板，完善污水收集处理系统。2、保障乡镇污水收集处理设施顺畅运行。3、推进污水直排口排查与整治，落实“一口一策”整改措施。</w:t>
            </w:r>
          </w:p>
        </w:tc>
        <w:tc>
          <w:tcPr>
            <w:tcW w:w="1036" w:type="pct"/>
            <w:noWrap w:val="0"/>
            <w:vAlign w:val="center"/>
          </w:tcPr>
          <w:p w14:paraId="5988548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宋体"/>
                <w:b w:val="0"/>
                <w:bCs w:val="0"/>
                <w:color w:val="auto"/>
                <w:kern w:val="0"/>
                <w:sz w:val="21"/>
                <w:szCs w:val="21"/>
                <w:lang w:val="en-US" w:eastAsia="zh-CN" w:bidi="ar-SA"/>
              </w:rPr>
              <w:t>本项目生活污水经预处理池处理后定期由槽罐车转运至</w:t>
            </w:r>
            <w:r>
              <w:rPr>
                <w:rFonts w:hint="eastAsia" w:cs="宋体"/>
                <w:b w:val="0"/>
                <w:bCs w:val="0"/>
                <w:color w:val="auto"/>
                <w:kern w:val="0"/>
                <w:sz w:val="21"/>
                <w:szCs w:val="21"/>
                <w:lang w:val="en-US" w:eastAsia="zh-CN" w:bidi="ar-SA"/>
              </w:rPr>
              <w:t>邻水县大步口污水处理站</w:t>
            </w:r>
            <w:r>
              <w:rPr>
                <w:rFonts w:hint="eastAsia" w:ascii="Times New Roman" w:hAnsi="Times New Roman" w:eastAsia="宋体" w:cs="宋体"/>
                <w:b w:val="0"/>
                <w:bCs w:val="0"/>
                <w:color w:val="auto"/>
                <w:kern w:val="0"/>
                <w:sz w:val="21"/>
                <w:szCs w:val="21"/>
                <w:lang w:val="en-US" w:eastAsia="zh-CN" w:bidi="ar-SA"/>
              </w:rPr>
              <w:t>进行进一步处理后排入大洪河</w:t>
            </w:r>
            <w:r>
              <w:rPr>
                <w:rFonts w:hint="eastAsia" w:cs="宋体"/>
                <w:b w:val="0"/>
                <w:bCs w:val="0"/>
                <w:color w:val="auto"/>
                <w:kern w:val="0"/>
                <w:sz w:val="21"/>
                <w:szCs w:val="21"/>
                <w:lang w:val="en-US" w:eastAsia="zh-CN" w:bidi="ar-SA"/>
              </w:rPr>
              <w:t>；洗砂</w:t>
            </w:r>
            <w:r>
              <w:rPr>
                <w:rFonts w:hint="eastAsia" w:ascii="Times New Roman" w:hAnsi="Times New Roman" w:eastAsia="宋体" w:cs="宋体"/>
                <w:b w:val="0"/>
                <w:bCs w:val="0"/>
                <w:color w:val="auto"/>
                <w:kern w:val="0"/>
                <w:sz w:val="21"/>
                <w:szCs w:val="21"/>
                <w:lang w:val="en-US" w:eastAsia="zh-CN" w:bidi="ar-SA"/>
              </w:rPr>
              <w:t>废水</w:t>
            </w:r>
            <w:r>
              <w:rPr>
                <w:rFonts w:hint="eastAsia" w:cs="宋体"/>
                <w:b w:val="0"/>
                <w:bCs w:val="0"/>
                <w:color w:val="auto"/>
                <w:kern w:val="0"/>
                <w:sz w:val="21"/>
                <w:szCs w:val="21"/>
                <w:lang w:val="en-US" w:eastAsia="zh-CN" w:bidi="ar-SA"/>
              </w:rPr>
              <w:t>、降尘废水、车辆冲洗废水和初期雨水</w:t>
            </w:r>
            <w:r>
              <w:rPr>
                <w:rFonts w:hint="eastAsia" w:ascii="Times New Roman" w:hAnsi="Times New Roman" w:eastAsia="宋体" w:cs="宋体"/>
                <w:b w:val="0"/>
                <w:bCs w:val="0"/>
                <w:color w:val="auto"/>
                <w:kern w:val="0"/>
                <w:sz w:val="21"/>
                <w:szCs w:val="21"/>
                <w:lang w:val="en-US" w:eastAsia="zh-CN" w:bidi="ar-SA"/>
              </w:rPr>
              <w:t>经絮凝沉淀+压滤处理后回用于生产</w:t>
            </w:r>
            <w:r>
              <w:rPr>
                <w:rFonts w:hint="eastAsia" w:cs="宋体"/>
                <w:b w:val="0"/>
                <w:bCs w:val="0"/>
                <w:color w:val="000000"/>
                <w:kern w:val="0"/>
                <w:sz w:val="21"/>
                <w:szCs w:val="21"/>
                <w:lang w:val="en-US" w:eastAsia="zh-CN" w:bidi="ar"/>
              </w:rPr>
              <w:t>。</w:t>
            </w:r>
          </w:p>
        </w:tc>
        <w:tc>
          <w:tcPr>
            <w:tcW w:w="339" w:type="pct"/>
            <w:noWrap w:val="0"/>
            <w:vAlign w:val="center"/>
          </w:tcPr>
          <w:p w14:paraId="6C7D78D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14:paraId="0C8AF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350" w:type="pct"/>
            <w:vMerge w:val="continue"/>
            <w:noWrap w:val="0"/>
            <w:vAlign w:val="center"/>
          </w:tcPr>
          <w:p w14:paraId="19CCEC3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414" w:type="pct"/>
            <w:vMerge w:val="continue"/>
            <w:noWrap w:val="0"/>
            <w:vAlign w:val="center"/>
          </w:tcPr>
          <w:p w14:paraId="1F99D84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312" w:type="pct"/>
            <w:vMerge w:val="continue"/>
            <w:noWrap w:val="0"/>
            <w:vAlign w:val="center"/>
          </w:tcPr>
          <w:p w14:paraId="7A25965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545" w:type="pct"/>
            <w:vMerge w:val="continue"/>
            <w:noWrap w:val="0"/>
            <w:vAlign w:val="center"/>
          </w:tcPr>
          <w:p w14:paraId="1618CAE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2002" w:type="pct"/>
            <w:noWrap w:val="0"/>
            <w:vAlign w:val="center"/>
          </w:tcPr>
          <w:p w14:paraId="117215A4">
            <w:pPr>
              <w:pStyle w:val="8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7"/>
                <w:rFonts w:hint="eastAsia" w:ascii="宋体" w:hAnsi="宋体" w:eastAsia="宋体" w:cs="Times New Roman"/>
                <w:kern w:val="2"/>
                <w:sz w:val="21"/>
                <w:szCs w:val="21"/>
                <w:lang w:val="en-US" w:eastAsia="zh-CN" w:bidi="ar-SA"/>
              </w:rPr>
            </w:pPr>
            <w:r>
              <w:rPr>
                <w:rStyle w:val="27"/>
                <w:rFonts w:hint="eastAsia" w:ascii="宋体" w:hAnsi="宋体" w:eastAsia="宋体" w:cs="Times New Roman"/>
                <w:kern w:val="2"/>
                <w:sz w:val="21"/>
                <w:szCs w:val="21"/>
                <w:lang w:val="en-US" w:eastAsia="zh-CN" w:bidi="ar-SA"/>
              </w:rPr>
              <w:t>工业废水污染控制措施要求</w:t>
            </w:r>
          </w:p>
          <w:p w14:paraId="1319CC9D">
            <w:pPr>
              <w:keepNext w:val="0"/>
              <w:keepLines w:val="0"/>
              <w:widowControl/>
              <w:suppressLineNumbers w:val="0"/>
              <w:spacing w:before="0" w:beforeAutospacing="0" w:after="0" w:afterAutospacing="0" w:line="240" w:lineRule="auto"/>
              <w:ind w:left="0" w:right="0"/>
              <w:jc w:val="center"/>
              <w:rPr>
                <w:rStyle w:val="27"/>
                <w:rFonts w:hint="eastAsia" w:ascii="宋体" w:hAnsi="宋体" w:eastAsia="宋体" w:cs="Times New Roman"/>
                <w:kern w:val="2"/>
                <w:sz w:val="21"/>
                <w:szCs w:val="21"/>
                <w:lang w:val="en-US" w:eastAsia="zh-CN" w:bidi="ar-SA"/>
              </w:rPr>
            </w:pPr>
            <w:r>
              <w:rPr>
                <w:rStyle w:val="27"/>
                <w:rFonts w:hint="eastAsia" w:ascii="宋体" w:hAnsi="宋体" w:eastAsia="宋体" w:cs="Times New Roman"/>
                <w:kern w:val="2"/>
                <w:sz w:val="21"/>
                <w:szCs w:val="21"/>
                <w:lang w:val="en-US" w:eastAsia="zh-CN" w:bidi="ar-SA"/>
              </w:rPr>
              <w:t>1、落实主要污染物排放总量指标控制要求，加强入河排污口登记、审批和监督管理。</w:t>
            </w:r>
          </w:p>
          <w:p w14:paraId="0F4C48BE">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szCs w:val="21"/>
              </w:rPr>
            </w:pPr>
            <w:r>
              <w:rPr>
                <w:rStyle w:val="27"/>
                <w:rFonts w:hint="eastAsia" w:ascii="宋体" w:hAnsi="宋体" w:eastAsia="宋体" w:cs="Times New Roman"/>
                <w:kern w:val="2"/>
                <w:sz w:val="21"/>
                <w:szCs w:val="21"/>
                <w:lang w:val="en-US" w:eastAsia="zh-CN" w:bidi="ar-SA"/>
              </w:rPr>
              <w:t>2、强化流域内工业点源、规模化畜禽养殖场运行监管，避免偷排、漏排。</w:t>
            </w:r>
          </w:p>
        </w:tc>
        <w:tc>
          <w:tcPr>
            <w:tcW w:w="1036" w:type="pct"/>
            <w:noWrap w:val="0"/>
            <w:vAlign w:val="center"/>
          </w:tcPr>
          <w:p w14:paraId="17198DB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eastAsia" w:ascii="Times New Roman" w:hAnsi="Times New Roman" w:eastAsia="宋体" w:cs="宋体"/>
                <w:b w:val="0"/>
                <w:bCs w:val="0"/>
                <w:color w:val="auto"/>
                <w:kern w:val="0"/>
                <w:sz w:val="21"/>
                <w:szCs w:val="21"/>
                <w:lang w:val="en-US" w:eastAsia="zh-CN" w:bidi="ar-SA"/>
              </w:rPr>
              <w:t>本项目生活污水经预处理池处理后定期由槽罐车转运至</w:t>
            </w:r>
            <w:r>
              <w:rPr>
                <w:rFonts w:hint="eastAsia" w:cs="宋体"/>
                <w:b w:val="0"/>
                <w:bCs w:val="0"/>
                <w:color w:val="auto"/>
                <w:kern w:val="0"/>
                <w:sz w:val="21"/>
                <w:szCs w:val="21"/>
                <w:lang w:val="en-US" w:eastAsia="zh-CN" w:bidi="ar-SA"/>
              </w:rPr>
              <w:t>邻水县大步口污水处理站</w:t>
            </w:r>
            <w:r>
              <w:rPr>
                <w:rFonts w:hint="eastAsia" w:ascii="Times New Roman" w:hAnsi="Times New Roman" w:eastAsia="宋体" w:cs="宋体"/>
                <w:b w:val="0"/>
                <w:bCs w:val="0"/>
                <w:color w:val="auto"/>
                <w:kern w:val="0"/>
                <w:sz w:val="21"/>
                <w:szCs w:val="21"/>
                <w:lang w:val="en-US" w:eastAsia="zh-CN" w:bidi="ar-SA"/>
              </w:rPr>
              <w:t>进行进一步处理后排入大洪河</w:t>
            </w:r>
            <w:r>
              <w:rPr>
                <w:rFonts w:hint="eastAsia" w:cs="宋体"/>
                <w:b w:val="0"/>
                <w:bCs w:val="0"/>
                <w:color w:val="auto"/>
                <w:kern w:val="0"/>
                <w:sz w:val="21"/>
                <w:szCs w:val="21"/>
                <w:lang w:val="en-US" w:eastAsia="zh-CN" w:bidi="ar-SA"/>
              </w:rPr>
              <w:t>；洗砂</w:t>
            </w:r>
            <w:r>
              <w:rPr>
                <w:rFonts w:hint="eastAsia" w:ascii="Times New Roman" w:hAnsi="Times New Roman" w:eastAsia="宋体" w:cs="宋体"/>
                <w:b w:val="0"/>
                <w:bCs w:val="0"/>
                <w:color w:val="auto"/>
                <w:kern w:val="0"/>
                <w:sz w:val="21"/>
                <w:szCs w:val="21"/>
                <w:lang w:val="en-US" w:eastAsia="zh-CN" w:bidi="ar-SA"/>
              </w:rPr>
              <w:t>废水</w:t>
            </w:r>
            <w:r>
              <w:rPr>
                <w:rFonts w:hint="eastAsia" w:cs="宋体"/>
                <w:b w:val="0"/>
                <w:bCs w:val="0"/>
                <w:color w:val="auto"/>
                <w:kern w:val="0"/>
                <w:sz w:val="21"/>
                <w:szCs w:val="21"/>
                <w:lang w:val="en-US" w:eastAsia="zh-CN" w:bidi="ar-SA"/>
              </w:rPr>
              <w:t>、降尘废水、车辆冲洗废水和初期雨水</w:t>
            </w:r>
            <w:r>
              <w:rPr>
                <w:rFonts w:hint="eastAsia" w:ascii="Times New Roman" w:hAnsi="Times New Roman" w:eastAsia="宋体" w:cs="宋体"/>
                <w:b w:val="0"/>
                <w:bCs w:val="0"/>
                <w:color w:val="auto"/>
                <w:kern w:val="0"/>
                <w:sz w:val="21"/>
                <w:szCs w:val="21"/>
                <w:lang w:val="en-US" w:eastAsia="zh-CN" w:bidi="ar-SA"/>
              </w:rPr>
              <w:t>经絮凝沉淀+压滤处理后回用于生产</w:t>
            </w:r>
            <w:r>
              <w:rPr>
                <w:rFonts w:hint="eastAsia" w:cs="宋体"/>
                <w:b w:val="0"/>
                <w:bCs w:val="0"/>
                <w:color w:val="000000"/>
                <w:kern w:val="0"/>
                <w:sz w:val="21"/>
                <w:szCs w:val="21"/>
                <w:lang w:val="en-US" w:eastAsia="zh-CN" w:bidi="ar"/>
              </w:rPr>
              <w:t>。</w:t>
            </w:r>
          </w:p>
        </w:tc>
        <w:tc>
          <w:tcPr>
            <w:tcW w:w="339" w:type="pct"/>
            <w:noWrap w:val="0"/>
            <w:vAlign w:val="center"/>
          </w:tcPr>
          <w:p w14:paraId="588B33E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14:paraId="6946F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350" w:type="pct"/>
            <w:vMerge w:val="continue"/>
            <w:noWrap w:val="0"/>
            <w:vAlign w:val="center"/>
          </w:tcPr>
          <w:p w14:paraId="24786D51">
            <w:pPr>
              <w:keepNext w:val="0"/>
              <w:keepLines w:val="0"/>
              <w:suppressLineNumbers w:val="0"/>
              <w:spacing w:before="0" w:beforeAutospacing="0" w:after="0" w:afterAutospacing="0"/>
              <w:ind w:left="0" w:right="0"/>
              <w:jc w:val="center"/>
              <w:rPr>
                <w:rFonts w:hint="default"/>
              </w:rPr>
            </w:pPr>
          </w:p>
        </w:tc>
        <w:tc>
          <w:tcPr>
            <w:tcW w:w="414" w:type="pct"/>
            <w:vMerge w:val="continue"/>
            <w:noWrap w:val="0"/>
            <w:vAlign w:val="center"/>
          </w:tcPr>
          <w:p w14:paraId="56F25D77">
            <w:pPr>
              <w:keepNext w:val="0"/>
              <w:keepLines w:val="0"/>
              <w:suppressLineNumbers w:val="0"/>
              <w:spacing w:before="0" w:beforeAutospacing="0" w:after="0" w:afterAutospacing="0"/>
              <w:ind w:left="0" w:right="0"/>
              <w:jc w:val="center"/>
              <w:rPr>
                <w:rFonts w:hint="default"/>
              </w:rPr>
            </w:pPr>
          </w:p>
        </w:tc>
        <w:tc>
          <w:tcPr>
            <w:tcW w:w="312" w:type="pct"/>
            <w:vMerge w:val="continue"/>
            <w:noWrap w:val="0"/>
            <w:vAlign w:val="center"/>
          </w:tcPr>
          <w:p w14:paraId="29FC4DEA">
            <w:pPr>
              <w:keepNext w:val="0"/>
              <w:keepLines w:val="0"/>
              <w:suppressLineNumbers w:val="0"/>
              <w:spacing w:before="0" w:beforeAutospacing="0" w:after="0" w:afterAutospacing="0"/>
              <w:ind w:left="0" w:right="0"/>
              <w:jc w:val="center"/>
              <w:rPr>
                <w:rFonts w:hint="default"/>
              </w:rPr>
            </w:pPr>
          </w:p>
        </w:tc>
        <w:tc>
          <w:tcPr>
            <w:tcW w:w="545" w:type="pct"/>
            <w:vMerge w:val="continue"/>
            <w:noWrap w:val="0"/>
            <w:vAlign w:val="center"/>
          </w:tcPr>
          <w:p w14:paraId="4818E8E8">
            <w:pPr>
              <w:keepNext w:val="0"/>
              <w:keepLines w:val="0"/>
              <w:suppressLineNumbers w:val="0"/>
              <w:spacing w:before="0" w:beforeAutospacing="0" w:after="0" w:afterAutospacing="0"/>
              <w:ind w:left="0" w:right="0"/>
              <w:jc w:val="center"/>
              <w:rPr>
                <w:rFonts w:hint="default"/>
              </w:rPr>
            </w:pPr>
          </w:p>
        </w:tc>
        <w:tc>
          <w:tcPr>
            <w:tcW w:w="2002" w:type="pct"/>
            <w:noWrap w:val="0"/>
            <w:vAlign w:val="center"/>
          </w:tcPr>
          <w:p w14:paraId="0489F394">
            <w:pPr>
              <w:pStyle w:val="8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7"/>
                <w:rFonts w:hint="eastAsia" w:ascii="宋体" w:hAnsi="宋体" w:eastAsia="宋体" w:cs="Times New Roman"/>
                <w:kern w:val="2"/>
                <w:sz w:val="21"/>
                <w:szCs w:val="21"/>
                <w:lang w:val="en-US" w:eastAsia="zh-CN" w:bidi="ar-SA"/>
              </w:rPr>
            </w:pPr>
            <w:r>
              <w:rPr>
                <w:rStyle w:val="27"/>
                <w:rFonts w:hint="eastAsia" w:ascii="宋体" w:hAnsi="宋体" w:eastAsia="宋体" w:cs="Times New Roman"/>
                <w:kern w:val="2"/>
                <w:sz w:val="21"/>
                <w:szCs w:val="21"/>
                <w:lang w:val="en-US" w:eastAsia="zh-CN" w:bidi="ar-SA"/>
              </w:rPr>
              <w:t>农业面源水污染控制措施要求</w:t>
            </w:r>
          </w:p>
          <w:p w14:paraId="3DB31282">
            <w:pPr>
              <w:keepNext w:val="0"/>
              <w:keepLines w:val="0"/>
              <w:suppressLineNumbers w:val="0"/>
              <w:spacing w:before="0" w:beforeAutospacing="0" w:after="0" w:afterAutospacing="0" w:line="240" w:lineRule="auto"/>
              <w:ind w:left="0" w:right="0"/>
              <w:jc w:val="center"/>
              <w:rPr>
                <w:rStyle w:val="27"/>
                <w:rFonts w:hint="eastAsia" w:ascii="宋体" w:hAnsi="宋体" w:eastAsia="宋体" w:cs="Times New Roman"/>
                <w:kern w:val="2"/>
                <w:sz w:val="21"/>
                <w:szCs w:val="21"/>
                <w:lang w:val="en-US" w:eastAsia="zh-CN" w:bidi="ar-SA"/>
              </w:rPr>
            </w:pPr>
            <w:r>
              <w:rPr>
                <w:rStyle w:val="27"/>
                <w:rFonts w:hint="eastAsia" w:ascii="宋体" w:hAnsi="宋体" w:eastAsia="宋体" w:cs="Times New Roman"/>
                <w:kern w:val="2"/>
                <w:sz w:val="21"/>
                <w:szCs w:val="21"/>
                <w:lang w:val="en-US" w:eastAsia="zh-CN" w:bidi="ar-SA"/>
              </w:rPr>
              <w:t>1、推进农村污染治理，稳步农村污水处理设施建设，适当预留发展空间，宜集中则集中，宜分散则分散。大力推进农村生活垃圾就地分类减量 和资源化利用，因地制宜选择农村生活垃圾治理模式。严格做好“农家乐”、种植采摘园等范围内的生活及农产品产生污水及垃圾治理。2、以环境承载能力为约束，合理规划水产养殖空间及规模；推进水产生态健康养殖，加强渔业生产过程中抗菌药物使用管控。推进水产养殖治理，水产养殖废水应处理达到《四川省水产养殖业水污染物排放标准》后排放；实施池塘标准化改造，完善循环水和进排水处理设施；推进养殖尾水节水减排。3、以环境承载能力为约束，合理规划畜禽养殖空间及规模；推进畜禽粪污分类处置，根据排放去向或利用方式的不同执行相应的标准规范。不断提高畜禽养殖粪污资源化利用率及利用水平；设有污水排放口的规模化畜禽养殖场应当依法申领排污许可证。4、推进化肥、农药使用量“零增长”，逐步推进农田径流拦截及治理。</w:t>
            </w:r>
          </w:p>
        </w:tc>
        <w:tc>
          <w:tcPr>
            <w:tcW w:w="1036" w:type="pct"/>
            <w:noWrap w:val="0"/>
            <w:vAlign w:val="center"/>
          </w:tcPr>
          <w:p w14:paraId="1F6A3C6E">
            <w:pPr>
              <w:keepNext w:val="0"/>
              <w:keepLines w:val="0"/>
              <w:suppressLineNumbers w:val="0"/>
              <w:spacing w:before="0" w:beforeAutospacing="0" w:after="0" w:afterAutospacing="0"/>
              <w:ind w:left="0" w:right="0"/>
              <w:jc w:val="center"/>
              <w:rPr>
                <w:rStyle w:val="27"/>
                <w:rFonts w:hint="default" w:ascii="宋体" w:hAnsi="宋体" w:eastAsia="宋体" w:cs="Times New Roman"/>
                <w:kern w:val="2"/>
                <w:sz w:val="21"/>
                <w:szCs w:val="21"/>
                <w:lang w:val="en-US" w:eastAsia="zh-CN" w:bidi="ar-SA"/>
              </w:rPr>
            </w:pPr>
            <w:r>
              <w:rPr>
                <w:rStyle w:val="27"/>
                <w:rFonts w:hint="eastAsia" w:ascii="宋体" w:hAnsi="宋体" w:eastAsia="宋体" w:cs="Times New Roman"/>
                <w:kern w:val="2"/>
                <w:sz w:val="21"/>
                <w:szCs w:val="21"/>
                <w:lang w:val="en-US" w:eastAsia="zh-CN" w:bidi="ar-SA"/>
              </w:rPr>
              <w:t>不涉及</w:t>
            </w:r>
          </w:p>
        </w:tc>
        <w:tc>
          <w:tcPr>
            <w:tcW w:w="339" w:type="pct"/>
            <w:noWrap w:val="0"/>
            <w:vAlign w:val="center"/>
          </w:tcPr>
          <w:p w14:paraId="087601D7">
            <w:pPr>
              <w:keepNext w:val="0"/>
              <w:keepLines w:val="0"/>
              <w:suppressLineNumbers w:val="0"/>
              <w:spacing w:before="0" w:beforeAutospacing="0" w:after="0" w:afterAutospacing="0"/>
              <w:ind w:left="0" w:right="0"/>
              <w:jc w:val="center"/>
              <w:rPr>
                <w:rStyle w:val="27"/>
                <w:rFonts w:hint="eastAsia" w:ascii="宋体" w:hAnsi="宋体" w:eastAsia="宋体" w:cs="Times New Roman"/>
                <w:kern w:val="2"/>
                <w:sz w:val="21"/>
                <w:szCs w:val="21"/>
                <w:lang w:val="en-US" w:eastAsia="zh-CN" w:bidi="ar-SA"/>
              </w:rPr>
            </w:pPr>
            <w:r>
              <w:rPr>
                <w:rFonts w:hint="default" w:ascii="Times New Roman" w:hAnsi="Times New Roman" w:eastAsia="宋体" w:cs="Times New Roman"/>
                <w:color w:val="auto"/>
                <w:szCs w:val="21"/>
              </w:rPr>
              <w:t>符合</w:t>
            </w:r>
          </w:p>
        </w:tc>
      </w:tr>
      <w:tr w14:paraId="09D82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 w:type="pct"/>
            <w:vMerge w:val="continue"/>
            <w:noWrap w:val="0"/>
            <w:vAlign w:val="center"/>
          </w:tcPr>
          <w:p w14:paraId="1551392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414" w:type="pct"/>
            <w:vMerge w:val="continue"/>
            <w:noWrap w:val="0"/>
            <w:vAlign w:val="center"/>
          </w:tcPr>
          <w:p w14:paraId="55E09AC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312" w:type="pct"/>
            <w:vMerge w:val="continue"/>
            <w:noWrap w:val="0"/>
            <w:vAlign w:val="center"/>
          </w:tcPr>
          <w:p w14:paraId="77DC6F1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545" w:type="pct"/>
            <w:noWrap w:val="0"/>
            <w:vAlign w:val="center"/>
          </w:tcPr>
          <w:p w14:paraId="2CDA080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环境风险防控</w:t>
            </w:r>
          </w:p>
        </w:tc>
        <w:tc>
          <w:tcPr>
            <w:tcW w:w="2002" w:type="pct"/>
            <w:noWrap w:val="0"/>
            <w:vAlign w:val="center"/>
          </w:tcPr>
          <w:p w14:paraId="4AFF3E3A">
            <w:pPr>
              <w:keepNext w:val="0"/>
              <w:keepLines w:val="0"/>
              <w:widowControl/>
              <w:suppressLineNumbers w:val="0"/>
              <w:spacing w:before="0" w:beforeAutospacing="0" w:after="0" w:afterAutospacing="0" w:line="240" w:lineRule="auto"/>
              <w:ind w:left="0" w:right="0"/>
              <w:rPr>
                <w:rFonts w:hint="default" w:ascii="Times New Roman" w:hAnsi="Times New Roman" w:eastAsia="宋体" w:cs="Times New Roman"/>
                <w:color w:val="auto"/>
                <w:szCs w:val="21"/>
              </w:rPr>
            </w:pPr>
            <w:r>
              <w:rPr>
                <w:rStyle w:val="27"/>
                <w:rFonts w:hint="eastAsia" w:ascii="宋体" w:hAnsi="宋体" w:eastAsia="宋体" w:cs="Times New Roman"/>
                <w:kern w:val="2"/>
                <w:sz w:val="21"/>
                <w:szCs w:val="21"/>
                <w:lang w:val="en-US" w:eastAsia="zh-CN" w:bidi="ar-SA"/>
              </w:rPr>
              <w:t>进一步完善工业企业和矿山环境风险防范和管理体系建设，开展企业风险隐患排查与风险评估，增强企业的环境风险意识，守住环境安全底线。落实“一河一策一图”风险管理和应急响应方案，提升风险应急管理水平。</w:t>
            </w:r>
          </w:p>
        </w:tc>
        <w:tc>
          <w:tcPr>
            <w:tcW w:w="1036" w:type="pct"/>
            <w:noWrap w:val="0"/>
            <w:vAlign w:val="center"/>
          </w:tcPr>
          <w:p w14:paraId="5CBBB06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根据本项目环境风险影响分析结论，项目对外环境的环境风险影响处于可接受水平，风险防范措施及应急预案切实可行</w:t>
            </w:r>
          </w:p>
        </w:tc>
        <w:tc>
          <w:tcPr>
            <w:tcW w:w="339" w:type="pct"/>
            <w:noWrap w:val="0"/>
            <w:vAlign w:val="center"/>
          </w:tcPr>
          <w:p w14:paraId="4AB380A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14:paraId="528D4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 w:type="pct"/>
            <w:vMerge w:val="continue"/>
            <w:noWrap w:val="0"/>
            <w:vAlign w:val="center"/>
          </w:tcPr>
          <w:p w14:paraId="75DCA12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414" w:type="pct"/>
            <w:vMerge w:val="continue"/>
            <w:noWrap w:val="0"/>
            <w:vAlign w:val="center"/>
          </w:tcPr>
          <w:p w14:paraId="153EF14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312" w:type="pct"/>
            <w:vMerge w:val="continue"/>
            <w:noWrap w:val="0"/>
            <w:vAlign w:val="center"/>
          </w:tcPr>
          <w:p w14:paraId="61DC371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545" w:type="pct"/>
            <w:noWrap w:val="0"/>
            <w:vAlign w:val="center"/>
          </w:tcPr>
          <w:p w14:paraId="4502786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资源开发效率</w:t>
            </w:r>
          </w:p>
        </w:tc>
        <w:tc>
          <w:tcPr>
            <w:tcW w:w="2002" w:type="pct"/>
            <w:noWrap w:val="0"/>
            <w:vAlign w:val="center"/>
          </w:tcPr>
          <w:p w14:paraId="0AC29DE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Cs w:val="21"/>
              </w:rPr>
            </w:pPr>
            <w:r>
              <w:rPr>
                <w:rStyle w:val="27"/>
                <w:rFonts w:hint="eastAsia" w:ascii="宋体" w:hAnsi="宋体" w:eastAsia="宋体" w:cs="Times New Roman"/>
                <w:kern w:val="2"/>
                <w:sz w:val="21"/>
                <w:szCs w:val="21"/>
                <w:lang w:val="en-US" w:eastAsia="zh-CN" w:bidi="ar-SA"/>
              </w:rPr>
              <w:t>强化种植业节水；推进农村污水分质资源化利用。</w:t>
            </w:r>
          </w:p>
        </w:tc>
        <w:tc>
          <w:tcPr>
            <w:tcW w:w="1036" w:type="pct"/>
            <w:noWrap w:val="0"/>
            <w:vAlign w:val="center"/>
          </w:tcPr>
          <w:p w14:paraId="4A3E2CC5">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eastAsia" w:ascii="Times New Roman" w:hAnsi="Times New Roman" w:eastAsia="宋体" w:cs="宋体"/>
                <w:b w:val="0"/>
                <w:bCs w:val="0"/>
                <w:color w:val="auto"/>
                <w:kern w:val="0"/>
                <w:sz w:val="21"/>
                <w:szCs w:val="21"/>
                <w:lang w:val="en-US" w:eastAsia="zh-CN" w:bidi="ar-SA"/>
              </w:rPr>
              <w:t>本项目生活污水经预处理池处理后定期由槽罐车转运至</w:t>
            </w:r>
            <w:r>
              <w:rPr>
                <w:rFonts w:hint="eastAsia" w:cs="宋体"/>
                <w:b w:val="0"/>
                <w:bCs w:val="0"/>
                <w:color w:val="auto"/>
                <w:kern w:val="0"/>
                <w:sz w:val="21"/>
                <w:szCs w:val="21"/>
                <w:lang w:val="en-US" w:eastAsia="zh-CN" w:bidi="ar-SA"/>
              </w:rPr>
              <w:t>邻水县大步口污水处理站</w:t>
            </w:r>
            <w:r>
              <w:rPr>
                <w:rFonts w:hint="eastAsia" w:ascii="Times New Roman" w:hAnsi="Times New Roman" w:eastAsia="宋体" w:cs="宋体"/>
                <w:b w:val="0"/>
                <w:bCs w:val="0"/>
                <w:color w:val="auto"/>
                <w:kern w:val="0"/>
                <w:sz w:val="21"/>
                <w:szCs w:val="21"/>
                <w:lang w:val="en-US" w:eastAsia="zh-CN" w:bidi="ar-SA"/>
              </w:rPr>
              <w:t>进行进一步处理后排入大洪河</w:t>
            </w:r>
            <w:r>
              <w:rPr>
                <w:rFonts w:hint="eastAsia" w:cs="宋体"/>
                <w:b w:val="0"/>
                <w:bCs w:val="0"/>
                <w:color w:val="auto"/>
                <w:kern w:val="0"/>
                <w:sz w:val="21"/>
                <w:szCs w:val="21"/>
                <w:lang w:val="en-US" w:eastAsia="zh-CN" w:bidi="ar-SA"/>
              </w:rPr>
              <w:t>；洗砂</w:t>
            </w:r>
            <w:r>
              <w:rPr>
                <w:rFonts w:hint="eastAsia" w:ascii="Times New Roman" w:hAnsi="Times New Roman" w:eastAsia="宋体" w:cs="宋体"/>
                <w:b w:val="0"/>
                <w:bCs w:val="0"/>
                <w:color w:val="auto"/>
                <w:kern w:val="0"/>
                <w:sz w:val="21"/>
                <w:szCs w:val="21"/>
                <w:lang w:val="en-US" w:eastAsia="zh-CN" w:bidi="ar-SA"/>
              </w:rPr>
              <w:t>废水</w:t>
            </w:r>
            <w:r>
              <w:rPr>
                <w:rFonts w:hint="eastAsia" w:cs="宋体"/>
                <w:b w:val="0"/>
                <w:bCs w:val="0"/>
                <w:color w:val="auto"/>
                <w:kern w:val="0"/>
                <w:sz w:val="21"/>
                <w:szCs w:val="21"/>
                <w:lang w:val="en-US" w:eastAsia="zh-CN" w:bidi="ar-SA"/>
              </w:rPr>
              <w:t>、降尘废水、车辆冲洗废水和初期雨水</w:t>
            </w:r>
            <w:r>
              <w:rPr>
                <w:rFonts w:hint="eastAsia" w:ascii="Times New Roman" w:hAnsi="Times New Roman" w:eastAsia="宋体" w:cs="宋体"/>
                <w:b w:val="0"/>
                <w:bCs w:val="0"/>
                <w:color w:val="auto"/>
                <w:kern w:val="0"/>
                <w:sz w:val="21"/>
                <w:szCs w:val="21"/>
                <w:lang w:val="en-US" w:eastAsia="zh-CN" w:bidi="ar-SA"/>
              </w:rPr>
              <w:t>经絮凝沉淀+压滤处理后回用于生产</w:t>
            </w:r>
            <w:r>
              <w:rPr>
                <w:rFonts w:hint="eastAsia" w:cs="宋体"/>
                <w:b w:val="0"/>
                <w:bCs w:val="0"/>
                <w:color w:val="000000"/>
                <w:kern w:val="0"/>
                <w:sz w:val="21"/>
                <w:szCs w:val="21"/>
                <w:lang w:val="en-US" w:eastAsia="zh-CN" w:bidi="ar"/>
              </w:rPr>
              <w:t>。</w:t>
            </w:r>
          </w:p>
        </w:tc>
        <w:tc>
          <w:tcPr>
            <w:tcW w:w="339" w:type="pct"/>
            <w:noWrap w:val="0"/>
            <w:vAlign w:val="center"/>
          </w:tcPr>
          <w:p w14:paraId="5627D5A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14:paraId="67B57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 w:type="pct"/>
            <w:vMerge w:val="restart"/>
            <w:noWrap w:val="0"/>
            <w:vAlign w:val="center"/>
          </w:tcPr>
          <w:p w14:paraId="5BEAFBD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Style w:val="27"/>
                <w:rFonts w:hint="eastAsia" w:ascii="宋体" w:hAnsi="宋体" w:eastAsia="宋体" w:cs="Times New Roman"/>
                <w:kern w:val="2"/>
                <w:sz w:val="21"/>
                <w:szCs w:val="21"/>
                <w:lang w:val="en-US" w:eastAsia="zh-CN" w:bidi="ar-SA"/>
              </w:rPr>
              <w:t>YS5116233310001</w:t>
            </w:r>
          </w:p>
        </w:tc>
        <w:tc>
          <w:tcPr>
            <w:tcW w:w="414" w:type="pct"/>
            <w:vMerge w:val="restart"/>
            <w:noWrap w:val="0"/>
            <w:vAlign w:val="center"/>
          </w:tcPr>
          <w:p w14:paraId="496685B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Style w:val="27"/>
                <w:rFonts w:hint="eastAsia" w:ascii="宋体" w:hAnsi="宋体" w:eastAsia="宋体" w:cs="Times New Roman"/>
                <w:kern w:val="2"/>
                <w:sz w:val="21"/>
                <w:szCs w:val="21"/>
                <w:lang w:val="en-US" w:eastAsia="zh-CN" w:bidi="ar-SA"/>
              </w:rPr>
              <w:t>邻水县大气环境一般管控区</w:t>
            </w:r>
          </w:p>
        </w:tc>
        <w:tc>
          <w:tcPr>
            <w:tcW w:w="312" w:type="pct"/>
            <w:vMerge w:val="restart"/>
            <w:noWrap w:val="0"/>
            <w:vAlign w:val="center"/>
          </w:tcPr>
          <w:p w14:paraId="68E0830C">
            <w:pPr>
              <w:pStyle w:val="86"/>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单元级清单管控要求</w:t>
            </w:r>
          </w:p>
        </w:tc>
        <w:tc>
          <w:tcPr>
            <w:tcW w:w="545" w:type="pct"/>
            <w:noWrap w:val="0"/>
            <w:vAlign w:val="center"/>
          </w:tcPr>
          <w:p w14:paraId="43EC3F6C">
            <w:pPr>
              <w:pStyle w:val="87"/>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空间布局约束</w:t>
            </w:r>
          </w:p>
        </w:tc>
        <w:tc>
          <w:tcPr>
            <w:tcW w:w="2002" w:type="pct"/>
            <w:noWrap w:val="0"/>
            <w:vAlign w:val="center"/>
          </w:tcPr>
          <w:p w14:paraId="63B63473">
            <w:pPr>
              <w:pStyle w:val="87"/>
              <w:keepNext w:val="0"/>
              <w:keepLines w:val="0"/>
              <w:widowControl/>
              <w:suppressLineNumbers w:val="0"/>
              <w:shd w:val="clear" w:color="auto" w:fill="FFFFFF"/>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rPr>
            </w:pPr>
            <w:r>
              <w:rPr>
                <w:rFonts w:hint="eastAsia" w:ascii="Times New Roman" w:hAnsi="Times New Roman" w:eastAsia="宋体" w:cs="Times New Roman"/>
                <w:color w:val="auto"/>
                <w:sz w:val="21"/>
              </w:rPr>
              <w:t>/</w:t>
            </w:r>
          </w:p>
        </w:tc>
        <w:tc>
          <w:tcPr>
            <w:tcW w:w="1036" w:type="pct"/>
            <w:noWrap w:val="0"/>
            <w:vAlign w:val="center"/>
          </w:tcPr>
          <w:p w14:paraId="48A6F8A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w:t>
            </w:r>
          </w:p>
        </w:tc>
        <w:tc>
          <w:tcPr>
            <w:tcW w:w="339" w:type="pct"/>
            <w:noWrap w:val="0"/>
            <w:vAlign w:val="center"/>
          </w:tcPr>
          <w:p w14:paraId="23596FC8">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w:t>
            </w:r>
          </w:p>
        </w:tc>
      </w:tr>
      <w:tr w14:paraId="06AFB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 w:type="pct"/>
            <w:vMerge w:val="continue"/>
            <w:noWrap w:val="0"/>
            <w:vAlign w:val="center"/>
          </w:tcPr>
          <w:p w14:paraId="1973C47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414" w:type="pct"/>
            <w:vMerge w:val="continue"/>
            <w:noWrap w:val="0"/>
            <w:vAlign w:val="center"/>
          </w:tcPr>
          <w:p w14:paraId="72C437D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312" w:type="pct"/>
            <w:vMerge w:val="continue"/>
            <w:noWrap w:val="0"/>
            <w:vAlign w:val="center"/>
          </w:tcPr>
          <w:p w14:paraId="39AB728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545" w:type="pct"/>
            <w:vMerge w:val="restart"/>
            <w:noWrap w:val="0"/>
            <w:vAlign w:val="center"/>
          </w:tcPr>
          <w:p w14:paraId="390AE47F">
            <w:pPr>
              <w:pStyle w:val="87"/>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污染物排放管控</w:t>
            </w:r>
          </w:p>
        </w:tc>
        <w:tc>
          <w:tcPr>
            <w:tcW w:w="2002" w:type="pct"/>
            <w:noWrap w:val="0"/>
            <w:vAlign w:val="center"/>
          </w:tcPr>
          <w:p w14:paraId="5D59DB8E">
            <w:pPr>
              <w:pStyle w:val="87"/>
              <w:keepNext w:val="0"/>
              <w:keepLines w:val="0"/>
              <w:widowControl/>
              <w:suppressLineNumbers w:val="0"/>
              <w:shd w:val="clear" w:color="auto" w:fill="FFFFFF"/>
              <w:spacing w:before="0" w:beforeAutospacing="0" w:after="0" w:afterAutospacing="0" w:line="240" w:lineRule="auto"/>
              <w:ind w:left="0" w:right="0" w:firstLine="0" w:firstLineChars="0"/>
              <w:jc w:val="left"/>
              <w:rPr>
                <w:rFonts w:hint="default" w:ascii="Times New Roman" w:hAnsi="Times New Roman" w:eastAsia="宋体" w:cs="Times New Roman"/>
                <w:b/>
                <w:bCs/>
                <w:color w:val="auto"/>
                <w:sz w:val="21"/>
              </w:rPr>
            </w:pPr>
            <w:r>
              <w:rPr>
                <w:rFonts w:hint="eastAsia" w:ascii="Times New Roman" w:hAnsi="Times New Roman" w:eastAsia="宋体" w:cs="Times New Roman"/>
                <w:b/>
                <w:bCs/>
                <w:color w:val="auto"/>
                <w:sz w:val="21"/>
              </w:rPr>
              <w:t>大气环境质量执行标准：</w:t>
            </w:r>
          </w:p>
          <w:p w14:paraId="0B439307">
            <w:pPr>
              <w:pStyle w:val="87"/>
              <w:keepNext w:val="0"/>
              <w:keepLines w:val="0"/>
              <w:widowControl/>
              <w:suppressLineNumbers w:val="0"/>
              <w:shd w:val="clear" w:color="auto" w:fill="FFFFFF"/>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1"/>
              </w:rPr>
            </w:pPr>
            <w:r>
              <w:rPr>
                <w:rFonts w:hint="eastAsia" w:ascii="Times New Roman" w:hAnsi="Times New Roman" w:eastAsia="宋体" w:cs="Times New Roman"/>
                <w:color w:val="auto"/>
                <w:sz w:val="21"/>
              </w:rPr>
              <w:t>《环境空气质量标准》（GB3095-2012）：二级</w:t>
            </w:r>
          </w:p>
        </w:tc>
        <w:tc>
          <w:tcPr>
            <w:tcW w:w="1036" w:type="pct"/>
            <w:noWrap w:val="0"/>
            <w:vAlign w:val="center"/>
          </w:tcPr>
          <w:p w14:paraId="1237725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本项目所在区域执行《环境空气质量标准》（GB3095-2012）中二级标准</w:t>
            </w:r>
          </w:p>
        </w:tc>
        <w:tc>
          <w:tcPr>
            <w:tcW w:w="339" w:type="pct"/>
            <w:noWrap w:val="0"/>
            <w:vAlign w:val="center"/>
          </w:tcPr>
          <w:p w14:paraId="7830DCB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14:paraId="5D29C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 w:type="pct"/>
            <w:vMerge w:val="continue"/>
            <w:noWrap w:val="0"/>
            <w:vAlign w:val="center"/>
          </w:tcPr>
          <w:p w14:paraId="5874154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414" w:type="pct"/>
            <w:vMerge w:val="continue"/>
            <w:noWrap w:val="0"/>
            <w:vAlign w:val="center"/>
          </w:tcPr>
          <w:p w14:paraId="1234E46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312" w:type="pct"/>
            <w:vMerge w:val="continue"/>
            <w:noWrap w:val="0"/>
            <w:vAlign w:val="center"/>
          </w:tcPr>
          <w:p w14:paraId="1BB4FBD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545" w:type="pct"/>
            <w:vMerge w:val="continue"/>
            <w:noWrap w:val="0"/>
            <w:vAlign w:val="center"/>
          </w:tcPr>
          <w:p w14:paraId="3AE4C280">
            <w:pPr>
              <w:pStyle w:val="87"/>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rPr>
            </w:pPr>
          </w:p>
        </w:tc>
        <w:tc>
          <w:tcPr>
            <w:tcW w:w="2002" w:type="pct"/>
            <w:noWrap w:val="0"/>
            <w:vAlign w:val="center"/>
          </w:tcPr>
          <w:p w14:paraId="0C535987">
            <w:pPr>
              <w:pStyle w:val="8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7"/>
                <w:rFonts w:hint="eastAsia" w:ascii="宋体" w:hAnsi="宋体" w:eastAsia="宋体" w:cs="Times New Roman"/>
                <w:b/>
                <w:bCs/>
                <w:kern w:val="2"/>
                <w:sz w:val="21"/>
                <w:szCs w:val="21"/>
                <w:lang w:val="en-US" w:eastAsia="zh-CN" w:bidi="ar-SA"/>
              </w:rPr>
            </w:pPr>
            <w:r>
              <w:rPr>
                <w:rStyle w:val="27"/>
                <w:rFonts w:hint="eastAsia" w:ascii="宋体" w:hAnsi="宋体" w:eastAsia="宋体" w:cs="Times New Roman"/>
                <w:b/>
                <w:bCs/>
                <w:kern w:val="2"/>
                <w:sz w:val="21"/>
                <w:szCs w:val="21"/>
                <w:lang w:val="en-US" w:eastAsia="zh-CN" w:bidi="ar-SA"/>
              </w:rPr>
              <w:t>其他大气污染物排放管控要求：</w:t>
            </w:r>
          </w:p>
          <w:p w14:paraId="6DB563B5">
            <w:pPr>
              <w:pStyle w:val="87"/>
              <w:keepNext w:val="0"/>
              <w:keepLines w:val="0"/>
              <w:widowControl/>
              <w:suppressLineNumbers w:val="0"/>
              <w:shd w:val="clear" w:color="auto" w:fill="FFFFFF"/>
              <w:spacing w:before="0" w:beforeAutospacing="0" w:after="0" w:afterAutospacing="0" w:line="240" w:lineRule="auto"/>
              <w:ind w:left="0" w:right="0" w:firstLine="0" w:firstLineChars="0"/>
              <w:jc w:val="left"/>
              <w:rPr>
                <w:rFonts w:hint="eastAsia" w:ascii="Times New Roman" w:hAnsi="Times New Roman" w:eastAsia="宋体" w:cs="Times New Roman"/>
                <w:color w:val="auto"/>
                <w:sz w:val="21"/>
              </w:rPr>
            </w:pPr>
            <w:r>
              <w:rPr>
                <w:rStyle w:val="27"/>
                <w:rFonts w:hint="eastAsia" w:ascii="宋体" w:hAnsi="宋体" w:eastAsia="宋体" w:cs="Times New Roman"/>
                <w:kern w:val="2"/>
                <w:sz w:val="21"/>
                <w:szCs w:val="21"/>
                <w:lang w:val="en-US" w:eastAsia="zh-CN" w:bidi="ar-SA"/>
              </w:rPr>
              <w:t>减少工业化、城镇化对大气环境的影响，严格执行国家、省、市下达的相关大气污染防治要求。</w:t>
            </w:r>
          </w:p>
        </w:tc>
        <w:tc>
          <w:tcPr>
            <w:tcW w:w="1036" w:type="pct"/>
            <w:noWrap w:val="0"/>
            <w:vAlign w:val="center"/>
          </w:tcPr>
          <w:p w14:paraId="2DF67E5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eastAsia" w:cs="Times New Roman"/>
                <w:color w:val="auto"/>
                <w:szCs w:val="21"/>
                <w:lang w:val="en-US" w:eastAsia="zh-CN"/>
              </w:rPr>
              <w:t>本项目采取了有效的治理措施，确保了大气污染物达标排放，项目运行过程</w:t>
            </w:r>
            <w:r>
              <w:rPr>
                <w:rStyle w:val="27"/>
                <w:rFonts w:hint="eastAsia" w:ascii="宋体" w:hAnsi="宋体" w:eastAsia="宋体" w:cs="Times New Roman"/>
                <w:kern w:val="2"/>
                <w:sz w:val="21"/>
                <w:szCs w:val="21"/>
                <w:lang w:val="en-US" w:eastAsia="zh-CN" w:bidi="ar-SA"/>
              </w:rPr>
              <w:t>严格执行国家、省、市下达的相关大气污染防治要求。</w:t>
            </w:r>
          </w:p>
        </w:tc>
        <w:tc>
          <w:tcPr>
            <w:tcW w:w="339" w:type="pct"/>
            <w:noWrap w:val="0"/>
            <w:vAlign w:val="center"/>
          </w:tcPr>
          <w:p w14:paraId="5FB842E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14:paraId="79166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 w:type="pct"/>
            <w:vMerge w:val="continue"/>
            <w:noWrap w:val="0"/>
            <w:vAlign w:val="center"/>
          </w:tcPr>
          <w:p w14:paraId="3EEC544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414" w:type="pct"/>
            <w:vMerge w:val="continue"/>
            <w:noWrap w:val="0"/>
            <w:vAlign w:val="center"/>
          </w:tcPr>
          <w:p w14:paraId="5BB7ABA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312" w:type="pct"/>
            <w:vMerge w:val="continue"/>
            <w:noWrap w:val="0"/>
            <w:vAlign w:val="center"/>
          </w:tcPr>
          <w:p w14:paraId="3B34478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545" w:type="pct"/>
            <w:noWrap w:val="0"/>
            <w:vAlign w:val="center"/>
          </w:tcPr>
          <w:p w14:paraId="5257C683">
            <w:pPr>
              <w:pStyle w:val="87"/>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环境风险防控</w:t>
            </w:r>
          </w:p>
        </w:tc>
        <w:tc>
          <w:tcPr>
            <w:tcW w:w="2002" w:type="pct"/>
            <w:noWrap w:val="0"/>
            <w:vAlign w:val="center"/>
          </w:tcPr>
          <w:p w14:paraId="697CF5EB">
            <w:pPr>
              <w:keepNext w:val="0"/>
              <w:keepLines w:val="0"/>
              <w:widowControl/>
              <w:suppressLineNumbers w:val="0"/>
              <w:shd w:val="clear" w:color="auto" w:fill="FFFFFF"/>
              <w:spacing w:before="0" w:beforeAutospacing="0" w:after="0" w:afterAutospacing="0" w:line="240" w:lineRule="auto"/>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036" w:type="pct"/>
            <w:noWrap w:val="0"/>
            <w:vAlign w:val="center"/>
          </w:tcPr>
          <w:p w14:paraId="293EC8C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w:t>
            </w:r>
          </w:p>
        </w:tc>
        <w:tc>
          <w:tcPr>
            <w:tcW w:w="339" w:type="pct"/>
            <w:noWrap w:val="0"/>
            <w:vAlign w:val="center"/>
          </w:tcPr>
          <w:p w14:paraId="0BBC09F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w:t>
            </w:r>
          </w:p>
        </w:tc>
      </w:tr>
      <w:tr w14:paraId="19500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350" w:type="pct"/>
            <w:vMerge w:val="continue"/>
            <w:noWrap w:val="0"/>
            <w:vAlign w:val="center"/>
          </w:tcPr>
          <w:p w14:paraId="630D412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414" w:type="pct"/>
            <w:vMerge w:val="continue"/>
            <w:noWrap w:val="0"/>
            <w:vAlign w:val="center"/>
          </w:tcPr>
          <w:p w14:paraId="09B6E95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312" w:type="pct"/>
            <w:vMerge w:val="continue"/>
            <w:noWrap w:val="0"/>
            <w:vAlign w:val="center"/>
          </w:tcPr>
          <w:p w14:paraId="60B05E2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545" w:type="pct"/>
            <w:noWrap w:val="0"/>
            <w:vAlign w:val="center"/>
          </w:tcPr>
          <w:p w14:paraId="3EF9AE68">
            <w:pPr>
              <w:pStyle w:val="87"/>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资源开发效率要求</w:t>
            </w:r>
          </w:p>
        </w:tc>
        <w:tc>
          <w:tcPr>
            <w:tcW w:w="2002" w:type="pct"/>
            <w:noWrap w:val="0"/>
            <w:vAlign w:val="center"/>
          </w:tcPr>
          <w:p w14:paraId="1D6B1916">
            <w:pPr>
              <w:pStyle w:val="87"/>
              <w:keepNext w:val="0"/>
              <w:keepLines w:val="0"/>
              <w:widowControl/>
              <w:suppressLineNumbers w:val="0"/>
              <w:shd w:val="clear" w:color="auto" w:fill="FFFFFF"/>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w:t>
            </w:r>
          </w:p>
        </w:tc>
        <w:tc>
          <w:tcPr>
            <w:tcW w:w="1036" w:type="pct"/>
            <w:noWrap w:val="0"/>
            <w:vAlign w:val="center"/>
          </w:tcPr>
          <w:p w14:paraId="43695E7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339" w:type="pct"/>
            <w:noWrap w:val="0"/>
            <w:vAlign w:val="center"/>
          </w:tcPr>
          <w:p w14:paraId="325F415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r>
    </w:tbl>
    <w:p w14:paraId="2ECD44AB">
      <w:pPr>
        <w:pStyle w:val="47"/>
        <w:keepNext w:val="0"/>
        <w:keepLines w:val="0"/>
        <w:pageBreakBefore w:val="0"/>
        <w:widowControl w:val="0"/>
        <w:kinsoku/>
        <w:wordWrap/>
        <w:overflowPunct/>
        <w:topLinePunct w:val="0"/>
        <w:autoSpaceDE/>
        <w:autoSpaceDN/>
        <w:bidi w:val="0"/>
        <w:adjustRightInd/>
        <w:snapToGrid/>
        <w:spacing w:before="157" w:beforeLines="50"/>
        <w:ind w:firstLine="482"/>
        <w:textAlignment w:val="auto"/>
        <w:rPr>
          <w:rFonts w:ascii="Times New Roman" w:hAnsi="Times New Roman" w:eastAsia="宋体" w:cs="Times New Roman"/>
          <w:b/>
          <w:bCs/>
          <w:color w:val="auto"/>
          <w:szCs w:val="24"/>
        </w:rPr>
        <w:sectPr>
          <w:pgSz w:w="16838" w:h="11906" w:orient="landscape"/>
          <w:pgMar w:top="1531" w:right="1701" w:bottom="1531" w:left="1701" w:header="851" w:footer="1077" w:gutter="0"/>
          <w:pgBorders>
            <w:top w:val="none" w:sz="0" w:space="0"/>
            <w:left w:val="none" w:sz="0" w:space="0"/>
            <w:bottom w:val="none" w:sz="0" w:space="0"/>
            <w:right w:val="none" w:sz="0" w:space="0"/>
          </w:pgBorders>
          <w:cols w:space="720" w:num="1"/>
          <w:docGrid w:linePitch="312" w:charSpace="0"/>
        </w:sectPr>
      </w:pPr>
      <w:r>
        <w:rPr>
          <w:rFonts w:hint="eastAsia" w:ascii="Times New Roman" w:hAnsi="Times New Roman" w:eastAsia="宋体" w:cs="Times New Roman"/>
          <w:b/>
          <w:bCs/>
          <w:color w:val="auto"/>
          <w:szCs w:val="24"/>
        </w:rPr>
        <w:t>综上分析，本项目建设符合区域</w:t>
      </w:r>
      <w:r>
        <w:rPr>
          <w:rFonts w:hint="eastAsia" w:ascii="Times New Roman" w:hAnsi="Times New Roman" w:eastAsia="宋体" w:cs="Times New Roman"/>
          <w:b/>
          <w:bCs/>
          <w:color w:val="auto"/>
          <w:szCs w:val="24"/>
          <w:lang w:val="en-US" w:eastAsia="zh-CN"/>
        </w:rPr>
        <w:t>生态环境分区</w:t>
      </w:r>
      <w:r>
        <w:rPr>
          <w:rFonts w:hint="eastAsia" w:ascii="Times New Roman" w:hAnsi="Times New Roman" w:eastAsia="宋体" w:cs="Times New Roman"/>
          <w:b/>
          <w:bCs/>
          <w:color w:val="auto"/>
          <w:szCs w:val="24"/>
        </w:rPr>
        <w:t>管控要求。</w:t>
      </w: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95"/>
        <w:gridCol w:w="7875"/>
      </w:tblGrid>
      <w:tr w14:paraId="238FF3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5" w:type="dxa"/>
            <w:noWrap w:val="0"/>
            <w:vAlign w:val="center"/>
          </w:tcPr>
          <w:p w14:paraId="6D07A33B">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Times New Roman" w:eastAsia="宋体" w:cs="宋体"/>
                <w:kern w:val="0"/>
                <w:sz w:val="24"/>
              </w:rPr>
            </w:pPr>
            <w:r>
              <w:rPr>
                <w:rFonts w:hint="eastAsia" w:ascii="Times New Roman" w:hAnsi="Times New Roman" w:eastAsia="宋体" w:cs="宋体"/>
                <w:kern w:val="0"/>
                <w:sz w:val="24"/>
              </w:rPr>
              <w:t>其他符合性分析</w:t>
            </w:r>
          </w:p>
        </w:tc>
        <w:tc>
          <w:tcPr>
            <w:tcW w:w="7875" w:type="dxa"/>
            <w:noWrap w:val="0"/>
            <w:vAlign w:val="center"/>
          </w:tcPr>
          <w:p w14:paraId="27BAB7B8">
            <w:pPr>
              <w:keepNext w:val="0"/>
              <w:keepLines w:val="0"/>
              <w:widowControl/>
              <w:suppressLineNumbers w:val="0"/>
              <w:spacing w:before="0" w:beforeAutospacing="0" w:after="0" w:afterAutospacing="0" w:line="360" w:lineRule="auto"/>
              <w:ind w:left="0" w:right="0"/>
              <w:rPr>
                <w:rFonts w:hint="default" w:ascii="Times New Roman" w:hAnsi="Times New Roman" w:eastAsia="宋体" w:cs="Times New Roman"/>
                <w:color w:val="auto"/>
                <w:sz w:val="24"/>
              </w:rPr>
            </w:pPr>
            <w:r>
              <w:rPr>
                <w:rFonts w:hint="eastAsia" w:ascii="Times New Roman" w:hAnsi="Times New Roman" w:eastAsia="宋体" w:cs="宋体"/>
                <w:b/>
                <w:bCs/>
                <w:color w:val="auto"/>
                <w:kern w:val="0"/>
                <w:sz w:val="24"/>
                <w:lang w:bidi="ar"/>
              </w:rPr>
              <w:t>四</w:t>
            </w:r>
            <w:r>
              <w:rPr>
                <w:rFonts w:hint="eastAsia" w:ascii="Times New Roman" w:hAnsi="Times New Roman" w:eastAsia="宋体" w:cs="宋体"/>
                <w:b/>
                <w:bCs/>
                <w:color w:val="auto"/>
                <w:kern w:val="0"/>
                <w:sz w:val="24"/>
                <w:lang w:eastAsia="zh-CN" w:bidi="ar"/>
              </w:rPr>
              <w:t>、</w:t>
            </w:r>
            <w:r>
              <w:rPr>
                <w:rFonts w:hint="default" w:ascii="Times New Roman" w:hAnsi="Times New Roman" w:eastAsia="宋体" w:cs="Times New Roman"/>
                <w:b/>
                <w:bCs/>
                <w:color w:val="auto"/>
                <w:kern w:val="0"/>
                <w:sz w:val="24"/>
                <w:lang w:bidi="ar"/>
              </w:rPr>
              <w:t>与</w:t>
            </w:r>
            <w:r>
              <w:rPr>
                <w:rFonts w:hint="default" w:ascii="Times New Roman" w:hAnsi="Times New Roman" w:eastAsia="宋体" w:cs="Times New Roman"/>
                <w:b/>
                <w:kern w:val="0"/>
                <w:sz w:val="24"/>
              </w:rPr>
              <w:t>长江保护相关符合性分析</w:t>
            </w:r>
          </w:p>
          <w:p w14:paraId="1298EEF3">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sz w:val="24"/>
                <w:lang w:bidi="ar"/>
              </w:rPr>
            </w:pPr>
            <w:r>
              <w:rPr>
                <w:rFonts w:hint="eastAsia" w:ascii="Times New Roman" w:hAnsi="Times New Roman" w:eastAsia="宋体" w:cs="Times New Roman"/>
                <w:b/>
                <w:sz w:val="24"/>
                <w:lang w:bidi="ar"/>
              </w:rPr>
              <w:t>（1）</w:t>
            </w:r>
            <w:r>
              <w:rPr>
                <w:rFonts w:hint="default" w:ascii="Times New Roman" w:hAnsi="Times New Roman" w:eastAsia="宋体" w:cs="Times New Roman"/>
                <w:b/>
                <w:sz w:val="24"/>
                <w:lang w:bidi="ar"/>
              </w:rPr>
              <w:t>与《中华人民共和国长江保护法》符合性分析</w:t>
            </w:r>
          </w:p>
          <w:p w14:paraId="744AC3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520" w:firstLineChars="200"/>
              <w:jc w:val="left"/>
              <w:textAlignment w:val="auto"/>
              <w:rPr>
                <w:rFonts w:hint="default" w:ascii="Times New Roman" w:hAnsi="Times New Roman" w:eastAsia="宋体" w:cs="Times New Roman"/>
                <w:b/>
                <w:color w:val="auto"/>
                <w:kern w:val="0"/>
                <w:szCs w:val="21"/>
              </w:rPr>
            </w:pPr>
            <w:r>
              <w:rPr>
                <w:rFonts w:hint="default" w:ascii="Times New Roman" w:hAnsi="Times New Roman" w:eastAsia="宋体" w:cs="Times New Roman"/>
                <w:bCs/>
                <w:sz w:val="26"/>
                <w:szCs w:val="26"/>
              </w:rPr>
              <w:t>本项目与《中华人民共和国长江保护法》相关要求符合性分析详见下表。</w:t>
            </w:r>
          </w:p>
          <w:p w14:paraId="7BD3BA2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表1-</w:t>
            </w:r>
            <w:r>
              <w:rPr>
                <w:rFonts w:hint="eastAsia" w:cs="Times New Roman"/>
                <w:b/>
                <w:color w:val="auto"/>
                <w:kern w:val="0"/>
                <w:szCs w:val="21"/>
                <w:lang w:val="en-US" w:eastAsia="zh-CN"/>
              </w:rPr>
              <w:t>4</w:t>
            </w:r>
            <w:r>
              <w:rPr>
                <w:rFonts w:hint="default" w:ascii="Times New Roman" w:hAnsi="Times New Roman" w:eastAsia="宋体" w:cs="Times New Roman"/>
                <w:b/>
                <w:color w:val="auto"/>
                <w:kern w:val="0"/>
                <w:szCs w:val="21"/>
              </w:rPr>
              <w:t xml:space="preserve"> </w:t>
            </w:r>
            <w:r>
              <w:rPr>
                <w:rFonts w:hint="eastAsia" w:ascii="Times New Roman" w:hAnsi="Times New Roman" w:eastAsia="宋体" w:cs="Times New Roman"/>
                <w:b/>
                <w:color w:val="auto"/>
                <w:kern w:val="0"/>
                <w:szCs w:val="21"/>
                <w:lang w:val="en-US" w:eastAsia="zh-CN"/>
              </w:rPr>
              <w:t xml:space="preserve"> </w:t>
            </w:r>
            <w:r>
              <w:rPr>
                <w:rFonts w:hint="eastAsia" w:ascii="Times New Roman" w:hAnsi="Times New Roman" w:eastAsia="宋体" w:cs="宋体"/>
                <w:b/>
                <w:bCs/>
                <w:color w:val="auto"/>
                <w:kern w:val="0"/>
                <w:szCs w:val="21"/>
                <w:lang w:bidi="ar"/>
              </w:rPr>
              <w:t>《中华人民共和国长江保护法》符合性分析</w:t>
            </w:r>
          </w:p>
          <w:tbl>
            <w:tblPr>
              <w:tblStyle w:val="25"/>
              <w:tblW w:w="4998" w:type="pct"/>
              <w:tblInd w:w="1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953"/>
              <w:gridCol w:w="3255"/>
              <w:gridCol w:w="2406"/>
              <w:gridCol w:w="1042"/>
            </w:tblGrid>
            <w:tr w14:paraId="7918ADA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22" w:type="pct"/>
                  <w:tcBorders>
                    <w:tl2br w:val="nil"/>
                    <w:tr2bl w:val="nil"/>
                  </w:tcBorders>
                  <w:noWrap w:val="0"/>
                  <w:vAlign w:val="center"/>
                </w:tcPr>
                <w:p w14:paraId="0C7FE8DB">
                  <w:pPr>
                    <w:pStyle w:val="18"/>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法规</w:t>
                  </w:r>
                </w:p>
              </w:tc>
              <w:tc>
                <w:tcPr>
                  <w:tcW w:w="2125" w:type="pct"/>
                  <w:tcBorders>
                    <w:tl2br w:val="nil"/>
                    <w:tr2bl w:val="nil"/>
                  </w:tcBorders>
                  <w:noWrap w:val="0"/>
                  <w:vAlign w:val="center"/>
                </w:tcPr>
                <w:p w14:paraId="3FA71142">
                  <w:pPr>
                    <w:pStyle w:val="18"/>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内容</w:t>
                  </w:r>
                </w:p>
              </w:tc>
              <w:tc>
                <w:tcPr>
                  <w:tcW w:w="1571" w:type="pct"/>
                  <w:tcBorders>
                    <w:tl2br w:val="nil"/>
                    <w:tr2bl w:val="nil"/>
                  </w:tcBorders>
                  <w:noWrap w:val="0"/>
                  <w:vAlign w:val="center"/>
                </w:tcPr>
                <w:p w14:paraId="2CC01D77">
                  <w:pPr>
                    <w:pStyle w:val="18"/>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本项目情况</w:t>
                  </w:r>
                </w:p>
              </w:tc>
              <w:tc>
                <w:tcPr>
                  <w:tcW w:w="680" w:type="pct"/>
                  <w:tcBorders>
                    <w:tl2br w:val="nil"/>
                    <w:tr2bl w:val="nil"/>
                  </w:tcBorders>
                  <w:noWrap w:val="0"/>
                  <w:vAlign w:val="center"/>
                </w:tcPr>
                <w:p w14:paraId="45C71F60">
                  <w:pPr>
                    <w:pStyle w:val="18"/>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符合性</w:t>
                  </w:r>
                </w:p>
              </w:tc>
            </w:tr>
            <w:tr w14:paraId="4B32052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622" w:type="pct"/>
                  <w:tcBorders>
                    <w:tl2br w:val="nil"/>
                    <w:tr2bl w:val="nil"/>
                  </w:tcBorders>
                  <w:noWrap w:val="0"/>
                  <w:vAlign w:val="center"/>
                </w:tcPr>
                <w:p w14:paraId="0D514302">
                  <w:pPr>
                    <w:pStyle w:val="18"/>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rPr>
                    <w:t>第二十二条</w:t>
                  </w:r>
                </w:p>
              </w:tc>
              <w:tc>
                <w:tcPr>
                  <w:tcW w:w="2125" w:type="pct"/>
                  <w:tcBorders>
                    <w:tl2br w:val="nil"/>
                    <w:tr2bl w:val="nil"/>
                  </w:tcBorders>
                  <w:noWrap w:val="0"/>
                  <w:vAlign w:val="center"/>
                </w:tcPr>
                <w:p w14:paraId="118663BD">
                  <w:pPr>
                    <w:pStyle w:val="18"/>
                    <w:keepNext w:val="0"/>
                    <w:keepLines w:val="0"/>
                    <w:suppressLineNumbers w:val="0"/>
                    <w:spacing w:before="0" w:beforeAutospacing="0" w:after="0" w:afterAutospacing="0"/>
                    <w:ind w:left="0" w:right="0"/>
                    <w:jc w:val="center"/>
                    <w:rPr>
                      <w:rFonts w:hint="eastAsia"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rPr>
                    <w:t>长江流域产业结构和布局应当与长江流域生态系统和资源环境承载能力相适应。禁止在长江流域重点生态功能区布局对生态系统有严重影响的产业。禁止重污染企业和项目向长江中上游转移。</w:t>
                  </w:r>
                </w:p>
              </w:tc>
              <w:tc>
                <w:tcPr>
                  <w:tcW w:w="1571" w:type="pct"/>
                  <w:tcBorders>
                    <w:tl2br w:val="nil"/>
                    <w:tr2bl w:val="nil"/>
                  </w:tcBorders>
                  <w:noWrap w:val="0"/>
                  <w:vAlign w:val="center"/>
                </w:tcPr>
                <w:p w14:paraId="3A320F9C">
                  <w:pPr>
                    <w:pStyle w:val="18"/>
                    <w:keepNext w:val="0"/>
                    <w:keepLines w:val="0"/>
                    <w:suppressLineNumbers w:val="0"/>
                    <w:spacing w:before="0" w:beforeAutospacing="0" w:after="0" w:afterAutospacing="0"/>
                    <w:ind w:left="0" w:right="0"/>
                    <w:jc w:val="center"/>
                    <w:rPr>
                      <w:rFonts w:hint="eastAsia"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本项目</w:t>
                  </w:r>
                  <w:r>
                    <w:rPr>
                      <w:rFonts w:hint="eastAsia" w:ascii="Times New Roman" w:hAnsi="Times New Roman" w:eastAsia="宋体" w:cs="Times New Roman"/>
                      <w:bCs/>
                      <w:color w:val="auto"/>
                      <w:sz w:val="21"/>
                      <w:szCs w:val="21"/>
                    </w:rPr>
                    <w:t>不属于重污染企业和对生态系统有严重影响的产业。</w:t>
                  </w:r>
                </w:p>
              </w:tc>
              <w:tc>
                <w:tcPr>
                  <w:tcW w:w="680" w:type="pct"/>
                  <w:tcBorders>
                    <w:tl2br w:val="nil"/>
                    <w:tr2bl w:val="nil"/>
                  </w:tcBorders>
                  <w:noWrap w:val="0"/>
                  <w:vAlign w:val="center"/>
                </w:tcPr>
                <w:p w14:paraId="31EAC0D6">
                  <w:pPr>
                    <w:pStyle w:val="18"/>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rPr>
                    <w:t>符合</w:t>
                  </w:r>
                </w:p>
              </w:tc>
            </w:tr>
            <w:tr w14:paraId="307889E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22" w:type="pct"/>
                  <w:tcBorders>
                    <w:tl2br w:val="nil"/>
                    <w:tr2bl w:val="nil"/>
                  </w:tcBorders>
                  <w:noWrap w:val="0"/>
                  <w:vAlign w:val="center"/>
                </w:tcPr>
                <w:p w14:paraId="2891209B">
                  <w:pPr>
                    <w:pStyle w:val="18"/>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第</w:t>
                  </w:r>
                  <w:r>
                    <w:rPr>
                      <w:rFonts w:hint="eastAsia" w:ascii="Times New Roman" w:hAnsi="Times New Roman" w:eastAsia="宋体" w:cs="Times New Roman"/>
                      <w:bCs/>
                      <w:color w:val="auto"/>
                      <w:sz w:val="21"/>
                      <w:szCs w:val="21"/>
                    </w:rPr>
                    <w:t>二十六</w:t>
                  </w:r>
                  <w:r>
                    <w:rPr>
                      <w:rFonts w:hint="default" w:ascii="Times New Roman" w:hAnsi="Times New Roman" w:eastAsia="宋体" w:cs="Times New Roman"/>
                      <w:bCs/>
                      <w:color w:val="auto"/>
                      <w:sz w:val="21"/>
                      <w:szCs w:val="21"/>
                    </w:rPr>
                    <w:t>条</w:t>
                  </w:r>
                </w:p>
              </w:tc>
              <w:tc>
                <w:tcPr>
                  <w:tcW w:w="2125" w:type="pct"/>
                  <w:tcBorders>
                    <w:tl2br w:val="nil"/>
                    <w:tr2bl w:val="nil"/>
                  </w:tcBorders>
                  <w:noWrap w:val="0"/>
                  <w:vAlign w:val="center"/>
                </w:tcPr>
                <w:p w14:paraId="70D0AFB3">
                  <w:pPr>
                    <w:pStyle w:val="18"/>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禁止在长江干支流岸线一公里范围内新建、扩建化工园区和化工项目。</w:t>
                  </w:r>
                </w:p>
                <w:p w14:paraId="173B38D9">
                  <w:pPr>
                    <w:pStyle w:val="18"/>
                    <w:keepNext w:val="0"/>
                    <w:keepLines w:val="0"/>
                    <w:suppressLineNumbers w:val="0"/>
                    <w:spacing w:before="0" w:beforeAutospacing="0" w:after="0" w:afterAutospacing="0"/>
                    <w:ind w:left="0" w:right="0"/>
                    <w:jc w:val="center"/>
                    <w:rPr>
                      <w:rFonts w:hint="eastAsia"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禁止在长江干流岸线三公里范围内和重要支流岸线一公里范围内新建、改建、扩建尾矿库；但是以提升安全、生态环境保护水平为目的的改建除外</w:t>
                  </w:r>
                  <w:r>
                    <w:rPr>
                      <w:rFonts w:hint="eastAsia" w:ascii="Times New Roman" w:hAnsi="Times New Roman" w:eastAsia="宋体" w:cs="Times New Roman"/>
                      <w:bCs/>
                      <w:color w:val="auto"/>
                      <w:sz w:val="21"/>
                      <w:szCs w:val="21"/>
                    </w:rPr>
                    <w:t>。</w:t>
                  </w:r>
                </w:p>
              </w:tc>
              <w:tc>
                <w:tcPr>
                  <w:tcW w:w="1571" w:type="pct"/>
                  <w:tcBorders>
                    <w:tl2br w:val="nil"/>
                    <w:tr2bl w:val="nil"/>
                  </w:tcBorders>
                  <w:noWrap w:val="0"/>
                  <w:vAlign w:val="center"/>
                </w:tcPr>
                <w:p w14:paraId="57CB9C3C">
                  <w:pPr>
                    <w:pStyle w:val="18"/>
                    <w:keepNext w:val="0"/>
                    <w:keepLines w:val="0"/>
                    <w:suppressLineNumbers w:val="0"/>
                    <w:spacing w:before="0" w:beforeAutospacing="0" w:after="0" w:afterAutospacing="0"/>
                    <w:ind w:left="0" w:right="0"/>
                    <w:jc w:val="center"/>
                    <w:rPr>
                      <w:rFonts w:hint="eastAsia"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1.本项目为其</w:t>
                  </w:r>
                  <w:r>
                    <w:rPr>
                      <w:rFonts w:hint="eastAsia" w:cs="宋体"/>
                      <w:b w:val="0"/>
                      <w:bCs w:val="0"/>
                      <w:color w:val="000000"/>
                      <w:kern w:val="0"/>
                      <w:sz w:val="21"/>
                      <w:szCs w:val="21"/>
                      <w:lang w:val="en-US" w:eastAsia="zh-CN" w:bidi="ar"/>
                    </w:rPr>
                    <w:t>他</w:t>
                  </w:r>
                  <w:r>
                    <w:rPr>
                      <w:rFonts w:hint="eastAsia" w:ascii="Times New Roman" w:hAnsi="Times New Roman" w:eastAsia="宋体" w:cs="宋体"/>
                      <w:b w:val="0"/>
                      <w:bCs w:val="0"/>
                      <w:color w:val="000000"/>
                      <w:kern w:val="0"/>
                      <w:sz w:val="21"/>
                      <w:szCs w:val="21"/>
                      <w:lang w:val="en-US" w:eastAsia="zh-CN" w:bidi="ar"/>
                    </w:rPr>
                    <w:t>非金属矿物制品制造、固体废物治理</w:t>
                  </w:r>
                  <w:r>
                    <w:rPr>
                      <w:rFonts w:hint="default" w:ascii="Times New Roman" w:hAnsi="Times New Roman" w:eastAsia="宋体" w:cs="Times New Roman"/>
                      <w:color w:val="auto"/>
                      <w:sz w:val="21"/>
                      <w:szCs w:val="21"/>
                    </w:rPr>
                    <w:t>，项目建设地点位于本项目位于邻水县石滓镇晒金村8组，</w:t>
                  </w:r>
                  <w:r>
                    <w:rPr>
                      <w:rFonts w:hint="eastAsia" w:ascii="Times New Roman" w:hAnsi="Times New Roman" w:eastAsia="宋体" w:cs="Times New Roman"/>
                      <w:color w:val="auto"/>
                      <w:sz w:val="21"/>
                      <w:szCs w:val="21"/>
                    </w:rPr>
                    <w:t>不属于化工、尾矿库项目。</w:t>
                  </w:r>
                </w:p>
              </w:tc>
              <w:tc>
                <w:tcPr>
                  <w:tcW w:w="680" w:type="pct"/>
                  <w:tcBorders>
                    <w:tl2br w:val="nil"/>
                    <w:tr2bl w:val="nil"/>
                  </w:tcBorders>
                  <w:noWrap w:val="0"/>
                  <w:vAlign w:val="center"/>
                </w:tcPr>
                <w:p w14:paraId="0E090F30">
                  <w:pPr>
                    <w:pStyle w:val="18"/>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rPr>
                    <w:t>符合</w:t>
                  </w:r>
                </w:p>
              </w:tc>
            </w:tr>
            <w:tr w14:paraId="13EB741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22" w:type="pct"/>
                  <w:tcBorders>
                    <w:tl2br w:val="nil"/>
                    <w:tr2bl w:val="nil"/>
                  </w:tcBorders>
                  <w:noWrap w:val="0"/>
                  <w:vAlign w:val="center"/>
                </w:tcPr>
                <w:p w14:paraId="74DDBF58">
                  <w:pPr>
                    <w:keepNext w:val="0"/>
                    <w:keepLines w:val="0"/>
                    <w:suppressLineNumbers w:val="0"/>
                    <w:spacing w:before="3" w:beforeAutospacing="0" w:after="0" w:afterAutospacing="0"/>
                    <w:ind w:left="0" w:right="4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第四十九条</w:t>
                  </w:r>
                </w:p>
              </w:tc>
              <w:tc>
                <w:tcPr>
                  <w:tcW w:w="2125" w:type="pct"/>
                  <w:tcBorders>
                    <w:tl2br w:val="nil"/>
                    <w:tr2bl w:val="nil"/>
                  </w:tcBorders>
                  <w:noWrap w:val="0"/>
                  <w:vAlign w:val="center"/>
                </w:tcPr>
                <w:p w14:paraId="6AB9F68A">
                  <w:pPr>
                    <w:keepNext w:val="0"/>
                    <w:keepLines w:val="0"/>
                    <w:suppressLineNumbers w:val="0"/>
                    <w:spacing w:before="3" w:beforeAutospacing="0" w:after="0" w:afterAutospacing="0"/>
                    <w:ind w:left="0" w:right="40"/>
                    <w:jc w:val="center"/>
                    <w:rPr>
                      <w:rFonts w:hint="eastAsia" w:ascii="Times New Roman" w:hAnsi="Times New Roman" w:eastAsia="宋体" w:cs="Times New Roman"/>
                      <w:bCs/>
                      <w:color w:val="auto"/>
                      <w:szCs w:val="21"/>
                    </w:rPr>
                  </w:pPr>
                  <w:r>
                    <w:rPr>
                      <w:rFonts w:hint="default" w:ascii="Times New Roman" w:hAnsi="Times New Roman" w:eastAsia="宋体" w:cs="Times New Roman"/>
                      <w:bCs/>
                      <w:color w:val="auto"/>
                      <w:szCs w:val="21"/>
                    </w:rPr>
                    <w:t>禁止在长江流域河湖管理范围内倾倒、填埋、堆放、弃置、处理固体废物。长江流域县级以上地方人民政府应当加强对固体废物非法转移和倾倒的联防联控</w:t>
                  </w:r>
                  <w:r>
                    <w:rPr>
                      <w:rFonts w:hint="eastAsia" w:ascii="Times New Roman" w:hAnsi="Times New Roman" w:eastAsia="宋体" w:cs="Times New Roman"/>
                      <w:bCs/>
                      <w:color w:val="auto"/>
                      <w:szCs w:val="21"/>
                    </w:rPr>
                    <w:t>。</w:t>
                  </w:r>
                </w:p>
              </w:tc>
              <w:tc>
                <w:tcPr>
                  <w:tcW w:w="1571" w:type="pct"/>
                  <w:tcBorders>
                    <w:tl2br w:val="nil"/>
                    <w:tr2bl w:val="nil"/>
                  </w:tcBorders>
                  <w:noWrap w:val="0"/>
                  <w:vAlign w:val="center"/>
                </w:tcPr>
                <w:p w14:paraId="5F2774A7">
                  <w:pPr>
                    <w:pStyle w:val="18"/>
                    <w:keepNext w:val="0"/>
                    <w:keepLines w:val="0"/>
                    <w:suppressLineNumbers w:val="0"/>
                    <w:spacing w:before="0" w:beforeAutospacing="0" w:after="0" w:afterAutospacing="0"/>
                    <w:ind w:left="0" w:right="0"/>
                    <w:jc w:val="center"/>
                    <w:rPr>
                      <w:rFonts w:hint="eastAsia"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rPr>
                    <w:t>本项目固废均得到了有效的储存和处置，不会造成二次污染。</w:t>
                  </w:r>
                </w:p>
              </w:tc>
              <w:tc>
                <w:tcPr>
                  <w:tcW w:w="680" w:type="pct"/>
                  <w:tcBorders>
                    <w:tl2br w:val="nil"/>
                    <w:tr2bl w:val="nil"/>
                  </w:tcBorders>
                  <w:noWrap w:val="0"/>
                  <w:vAlign w:val="center"/>
                </w:tcPr>
                <w:p w14:paraId="5ABF7A11">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rPr>
                  </w:pPr>
                  <w:r>
                    <w:rPr>
                      <w:rFonts w:hint="eastAsia" w:ascii="Times New Roman" w:hAnsi="Times New Roman" w:eastAsia="宋体" w:cs="Times New Roman"/>
                      <w:bCs/>
                      <w:color w:val="auto"/>
                      <w:szCs w:val="21"/>
                    </w:rPr>
                    <w:t>符合</w:t>
                  </w:r>
                </w:p>
              </w:tc>
            </w:tr>
            <w:tr w14:paraId="11231EC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622" w:type="pct"/>
                  <w:tcBorders>
                    <w:tl2br w:val="nil"/>
                    <w:tr2bl w:val="nil"/>
                  </w:tcBorders>
                  <w:noWrap w:val="0"/>
                  <w:vAlign w:val="center"/>
                </w:tcPr>
                <w:p w14:paraId="5EF6F36C">
                  <w:pPr>
                    <w:pStyle w:val="18"/>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第五十一条</w:t>
                  </w:r>
                </w:p>
              </w:tc>
              <w:tc>
                <w:tcPr>
                  <w:tcW w:w="2125" w:type="pct"/>
                  <w:tcBorders>
                    <w:tl2br w:val="nil"/>
                    <w:tr2bl w:val="nil"/>
                  </w:tcBorders>
                  <w:noWrap w:val="0"/>
                  <w:vAlign w:val="center"/>
                </w:tcPr>
                <w:p w14:paraId="23E0B89E">
                  <w:pPr>
                    <w:pStyle w:val="18"/>
                    <w:keepNext w:val="0"/>
                    <w:keepLines w:val="0"/>
                    <w:suppressLineNumbers w:val="0"/>
                    <w:spacing w:before="0" w:beforeAutospacing="0" w:after="0" w:afterAutospacing="0"/>
                    <w:ind w:left="0" w:right="0"/>
                    <w:jc w:val="center"/>
                    <w:rPr>
                      <w:rFonts w:hint="eastAsia"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禁止在长江流域水上运输剧毒化学品和国家规定禁止通过内河运输的其他危险化学品。长江流域县级以上地方人民政府交通运输主管部门会同本级人民政府有关部门加强对长江流域危险化学品运输的管控</w:t>
                  </w:r>
                  <w:r>
                    <w:rPr>
                      <w:rFonts w:hint="eastAsia" w:ascii="Times New Roman" w:hAnsi="Times New Roman" w:eastAsia="宋体" w:cs="Times New Roman"/>
                      <w:bCs/>
                      <w:color w:val="auto"/>
                      <w:sz w:val="21"/>
                      <w:szCs w:val="21"/>
                    </w:rPr>
                    <w:t>。</w:t>
                  </w:r>
                </w:p>
              </w:tc>
              <w:tc>
                <w:tcPr>
                  <w:tcW w:w="1571" w:type="pct"/>
                  <w:tcBorders>
                    <w:tl2br w:val="nil"/>
                    <w:tr2bl w:val="nil"/>
                  </w:tcBorders>
                  <w:noWrap w:val="0"/>
                  <w:vAlign w:val="center"/>
                </w:tcPr>
                <w:p w14:paraId="75A9AD51">
                  <w:pPr>
                    <w:pStyle w:val="18"/>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rPr>
                    <w:t>本项目不涉及水上运输</w:t>
                  </w:r>
                  <w:r>
                    <w:rPr>
                      <w:rFonts w:hint="default" w:ascii="Times New Roman" w:hAnsi="Times New Roman" w:eastAsia="宋体" w:cs="Times New Roman"/>
                      <w:bCs/>
                      <w:color w:val="auto"/>
                      <w:sz w:val="21"/>
                      <w:szCs w:val="21"/>
                    </w:rPr>
                    <w:t>剧毒化学品和国家规定禁止通过内河运输的其他危险化学品</w:t>
                  </w:r>
                  <w:r>
                    <w:rPr>
                      <w:rFonts w:hint="eastAsia" w:ascii="Times New Roman" w:hAnsi="Times New Roman" w:eastAsia="宋体" w:cs="Times New Roman"/>
                      <w:bCs/>
                      <w:color w:val="auto"/>
                      <w:sz w:val="21"/>
                      <w:szCs w:val="21"/>
                    </w:rPr>
                    <w:t>使用。</w:t>
                  </w:r>
                </w:p>
              </w:tc>
              <w:tc>
                <w:tcPr>
                  <w:tcW w:w="680" w:type="pct"/>
                  <w:tcBorders>
                    <w:tl2br w:val="nil"/>
                    <w:tr2bl w:val="nil"/>
                  </w:tcBorders>
                  <w:noWrap w:val="0"/>
                  <w:vAlign w:val="center"/>
                </w:tcPr>
                <w:p w14:paraId="2EE15698">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rPr>
                  </w:pPr>
                  <w:r>
                    <w:rPr>
                      <w:rFonts w:hint="eastAsia" w:ascii="Times New Roman" w:hAnsi="Times New Roman" w:eastAsia="宋体" w:cs="Times New Roman"/>
                      <w:bCs/>
                      <w:color w:val="auto"/>
                      <w:szCs w:val="21"/>
                    </w:rPr>
                    <w:t>符合</w:t>
                  </w:r>
                </w:p>
              </w:tc>
            </w:tr>
          </w:tbl>
          <w:p w14:paraId="5823F6C0">
            <w:pPr>
              <w:keepNext w:val="0"/>
              <w:keepLines w:val="0"/>
              <w:suppressLineNumbers w:val="0"/>
              <w:spacing w:before="120" w:beforeLines="50" w:beforeAutospacing="0" w:after="0" w:afterAutospacing="0" w:line="360" w:lineRule="auto"/>
              <w:ind w:left="0" w:right="0" w:firstLine="480" w:firstLineChars="200"/>
              <w:rPr>
                <w:rFonts w:hint="default" w:ascii="Times New Roman" w:hAnsi="Times New Roman" w:eastAsia="宋体" w:cs="Times New Roman"/>
                <w:bCs/>
                <w:sz w:val="24"/>
                <w:szCs w:val="24"/>
                <w:lang w:bidi="ar"/>
              </w:rPr>
            </w:pPr>
            <w:r>
              <w:rPr>
                <w:rFonts w:hint="eastAsia" w:ascii="Times New Roman" w:hAnsi="Times New Roman" w:eastAsia="宋体" w:cs="Times New Roman"/>
                <w:bCs/>
                <w:sz w:val="24"/>
                <w:szCs w:val="24"/>
                <w:lang w:val="en-US" w:eastAsia="zh-CN" w:bidi="ar"/>
              </w:rPr>
              <w:t>综上分析，</w:t>
            </w:r>
            <w:r>
              <w:rPr>
                <w:rFonts w:hint="default" w:ascii="Times New Roman" w:hAnsi="Times New Roman" w:eastAsia="宋体" w:cs="Times New Roman"/>
                <w:bCs/>
                <w:sz w:val="24"/>
                <w:szCs w:val="24"/>
                <w:lang w:bidi="ar"/>
              </w:rPr>
              <w:t>本项目与《中华人民共和国长江保护法》相关要求相符。</w:t>
            </w:r>
          </w:p>
          <w:p w14:paraId="26080A62">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sz w:val="24"/>
                <w:lang w:bidi="ar"/>
              </w:rPr>
            </w:pPr>
            <w:r>
              <w:rPr>
                <w:rFonts w:hint="eastAsia" w:ascii="Times New Roman" w:hAnsi="Times New Roman" w:eastAsia="宋体" w:cs="Times New Roman"/>
                <w:b/>
                <w:sz w:val="24"/>
                <w:lang w:bidi="ar"/>
              </w:rPr>
              <w:t>（2）</w:t>
            </w:r>
            <w:r>
              <w:rPr>
                <w:rFonts w:hint="default" w:ascii="Times New Roman" w:hAnsi="Times New Roman" w:eastAsia="宋体" w:cs="Times New Roman"/>
                <w:b/>
                <w:sz w:val="24"/>
                <w:lang w:bidi="ar"/>
              </w:rPr>
              <w:t>与《长江经济带发展负面清单指南（试行，2022年版）》（长江办〔2022〕7号）符合性分析</w:t>
            </w:r>
          </w:p>
          <w:p w14:paraId="3D3E85D4">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sz w:val="26"/>
                <w:szCs w:val="26"/>
              </w:rPr>
            </w:pPr>
            <w:r>
              <w:rPr>
                <w:rFonts w:hint="default" w:ascii="Times New Roman" w:hAnsi="Times New Roman" w:eastAsia="宋体" w:cs="Times New Roman"/>
                <w:sz w:val="24"/>
                <w:szCs w:val="24"/>
              </w:rPr>
              <w:t>本项目与《长江经济带发展负面清单指南（试行，2022年版）》（长江办〔2022〕7号）符合性分析详见下表</w:t>
            </w:r>
            <w:r>
              <w:rPr>
                <w:rFonts w:hint="default" w:ascii="Times New Roman" w:hAnsi="Times New Roman" w:eastAsia="宋体" w:cs="Times New Roman"/>
                <w:sz w:val="26"/>
                <w:szCs w:val="26"/>
              </w:rPr>
              <w:t>。</w:t>
            </w:r>
          </w:p>
          <w:p w14:paraId="51559606">
            <w:pPr>
              <w:keepNext w:val="0"/>
              <w:keepLines w:val="0"/>
              <w:suppressLineNumbers w:val="0"/>
              <w:spacing w:before="0" w:beforeAutospacing="0" w:after="0" w:afterAutospacing="0"/>
              <w:ind w:left="0" w:right="0"/>
              <w:rPr>
                <w:rFonts w:hint="default" w:ascii="Times New Roman" w:hAnsi="Times New Roman" w:eastAsia="宋体" w:cs="Times New Roman"/>
                <w:sz w:val="26"/>
                <w:szCs w:val="26"/>
              </w:rPr>
            </w:pPr>
          </w:p>
          <w:p w14:paraId="476D7A27">
            <w:pPr>
              <w:pStyle w:val="32"/>
              <w:keepNext w:val="0"/>
              <w:keepLines w:val="0"/>
              <w:suppressLineNumbers w:val="0"/>
              <w:spacing w:before="0" w:beforeAutospacing="0" w:afterAutospacing="0"/>
              <w:ind w:right="0"/>
              <w:rPr>
                <w:rFonts w:hint="default" w:ascii="Times New Roman" w:hAnsi="Times New Roman" w:eastAsia="宋体" w:cs="Times New Roman"/>
                <w:sz w:val="26"/>
                <w:szCs w:val="26"/>
              </w:rPr>
            </w:pPr>
          </w:p>
          <w:p w14:paraId="15566F7D">
            <w:pPr>
              <w:keepNext w:val="0"/>
              <w:keepLines w:val="0"/>
              <w:suppressLineNumbers w:val="0"/>
              <w:spacing w:before="0" w:beforeAutospacing="0" w:after="0" w:afterAutospacing="0"/>
              <w:ind w:left="0" w:right="0"/>
              <w:rPr>
                <w:rFonts w:hint="eastAsia" w:ascii="Times New Roman" w:hAnsi="Times New Roman" w:eastAsia="宋体" w:cs="Times New Roman"/>
              </w:rPr>
            </w:pPr>
          </w:p>
          <w:p w14:paraId="34F27900">
            <w:pPr>
              <w:pStyle w:val="46"/>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color w:val="auto"/>
              </w:rPr>
            </w:pPr>
            <w:r>
              <w:rPr>
                <w:rFonts w:hint="eastAsia" w:ascii="Times New Roman" w:hAnsi="Times New Roman" w:eastAsia="宋体" w:cs="Times New Roman"/>
                <w:b/>
                <w:color w:val="auto"/>
              </w:rPr>
              <w:t>表1-</w:t>
            </w:r>
            <w:r>
              <w:rPr>
                <w:rFonts w:hint="eastAsia" w:cs="Times New Roman"/>
                <w:b/>
                <w:color w:val="auto"/>
                <w:lang w:val="en-US" w:eastAsia="zh-CN"/>
              </w:rPr>
              <w:t>5</w:t>
            </w:r>
            <w:r>
              <w:rPr>
                <w:rFonts w:hint="eastAsia" w:ascii="Times New Roman" w:hAnsi="Times New Roman" w:eastAsia="宋体" w:cs="Times New Roman"/>
                <w:b/>
                <w:color w:val="auto"/>
                <w:lang w:val="en-US" w:eastAsia="zh-CN"/>
              </w:rPr>
              <w:t xml:space="preserve"> </w:t>
            </w:r>
            <w:r>
              <w:rPr>
                <w:rFonts w:hint="eastAsia" w:ascii="Times New Roman" w:hAnsi="Times New Roman" w:eastAsia="宋体" w:cs="Times New Roman"/>
                <w:b/>
                <w:color w:val="auto"/>
              </w:rPr>
              <w:t xml:space="preserve"> 项目与长江经济带发展负面清单指南（试行，2022年版）符合性分析</w:t>
            </w:r>
          </w:p>
          <w:tbl>
            <w:tblPr>
              <w:tblStyle w:val="25"/>
              <w:tblW w:w="4998" w:type="pct"/>
              <w:tblInd w:w="10" w:type="dxa"/>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427"/>
              <w:gridCol w:w="4967"/>
              <w:gridCol w:w="1651"/>
              <w:gridCol w:w="611"/>
            </w:tblGrid>
            <w:tr w14:paraId="7CDE01C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70" w:hRule="atLeast"/>
              </w:trPr>
              <w:tc>
                <w:tcPr>
                  <w:tcW w:w="278" w:type="pct"/>
                  <w:noWrap w:val="0"/>
                  <w:vAlign w:val="center"/>
                </w:tcPr>
                <w:p w14:paraId="27CB1A78">
                  <w:pPr>
                    <w:pStyle w:val="16"/>
                    <w:keepNext w:val="0"/>
                    <w:keepLines w:val="0"/>
                    <w:suppressLineNumbers w:val="0"/>
                    <w:spacing w:before="0" w:beforeAutospacing="0" w:after="0" w:afterAutospacing="0" w:line="240" w:lineRule="auto"/>
                    <w:ind w:left="0" w:leftChars="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序号</w:t>
                  </w:r>
                </w:p>
              </w:tc>
              <w:tc>
                <w:tcPr>
                  <w:tcW w:w="3243" w:type="pct"/>
                  <w:noWrap w:val="0"/>
                  <w:vAlign w:val="center"/>
                </w:tcPr>
                <w:p w14:paraId="636AB014">
                  <w:pPr>
                    <w:pStyle w:val="16"/>
                    <w:keepNext w:val="0"/>
                    <w:keepLines w:val="0"/>
                    <w:suppressLineNumbers w:val="0"/>
                    <w:spacing w:before="0" w:beforeAutospacing="0" w:after="0" w:afterAutospacing="0" w:line="240" w:lineRule="auto"/>
                    <w:ind w:left="0" w:leftChars="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负面清单</w:t>
                  </w:r>
                </w:p>
              </w:tc>
              <w:tc>
                <w:tcPr>
                  <w:tcW w:w="1078" w:type="pct"/>
                  <w:noWrap w:val="0"/>
                  <w:vAlign w:val="center"/>
                </w:tcPr>
                <w:p w14:paraId="37CEDC37">
                  <w:pPr>
                    <w:pStyle w:val="16"/>
                    <w:keepNext w:val="0"/>
                    <w:keepLines w:val="0"/>
                    <w:suppressLineNumbers w:val="0"/>
                    <w:spacing w:before="0" w:beforeAutospacing="0" w:after="0" w:afterAutospacing="0" w:line="240" w:lineRule="auto"/>
                    <w:ind w:left="0" w:leftChars="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符合性分析</w:t>
                  </w:r>
                </w:p>
              </w:tc>
              <w:tc>
                <w:tcPr>
                  <w:tcW w:w="399" w:type="pct"/>
                  <w:noWrap w:val="0"/>
                  <w:vAlign w:val="center"/>
                </w:tcPr>
                <w:p w14:paraId="24C1F251">
                  <w:pPr>
                    <w:pStyle w:val="16"/>
                    <w:keepNext w:val="0"/>
                    <w:keepLines w:val="0"/>
                    <w:suppressLineNumbers w:val="0"/>
                    <w:spacing w:before="0" w:beforeAutospacing="0" w:after="0" w:afterAutospacing="0" w:line="240" w:lineRule="auto"/>
                    <w:ind w:left="0" w:leftChars="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是否符合</w:t>
                  </w:r>
                </w:p>
              </w:tc>
            </w:tr>
            <w:tr w14:paraId="280FEFD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278" w:type="pct"/>
                  <w:noWrap w:val="0"/>
                  <w:vAlign w:val="center"/>
                </w:tcPr>
                <w:p w14:paraId="4090D4B6">
                  <w:pPr>
                    <w:pStyle w:val="16"/>
                    <w:keepNext w:val="0"/>
                    <w:keepLines w:val="0"/>
                    <w:suppressLineNumbers w:val="0"/>
                    <w:spacing w:before="0" w:beforeAutospacing="0" w:after="0" w:afterAutospacing="0" w:line="240" w:lineRule="auto"/>
                    <w:ind w:left="0" w:leftChars="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c>
                <w:tcPr>
                  <w:tcW w:w="3243" w:type="pct"/>
                  <w:noWrap w:val="0"/>
                  <w:vAlign w:val="center"/>
                </w:tcPr>
                <w:p w14:paraId="51FB9B84">
                  <w:pPr>
                    <w:pStyle w:val="16"/>
                    <w:keepNext w:val="0"/>
                    <w:keepLines w:val="0"/>
                    <w:suppressLineNumbers w:val="0"/>
                    <w:spacing w:before="0" w:beforeAutospacing="0" w:after="0" w:afterAutospacing="0" w:line="240" w:lineRule="auto"/>
                    <w:ind w:left="0" w:leftChars="0" w:right="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禁止建设不符合全国和省级港口布局规划以及港口总体规划的码头项目，禁止建设不符合《长江干线过江通道布局规划》的过长江通道项目</w:t>
                  </w:r>
                </w:p>
              </w:tc>
              <w:tc>
                <w:tcPr>
                  <w:tcW w:w="1078" w:type="pct"/>
                  <w:noWrap w:val="0"/>
                  <w:vAlign w:val="center"/>
                </w:tcPr>
                <w:p w14:paraId="3A7802D1">
                  <w:pPr>
                    <w:pStyle w:val="16"/>
                    <w:keepNext w:val="0"/>
                    <w:keepLines w:val="0"/>
                    <w:suppressLineNumbers w:val="0"/>
                    <w:spacing w:before="0" w:beforeAutospacing="0" w:after="0" w:afterAutospacing="0" w:line="240" w:lineRule="auto"/>
                    <w:ind w:left="0" w:leftChars="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本项目不属于过长江通道项目。</w:t>
                  </w:r>
                </w:p>
              </w:tc>
              <w:tc>
                <w:tcPr>
                  <w:tcW w:w="399" w:type="pct"/>
                  <w:noWrap w:val="0"/>
                  <w:vAlign w:val="center"/>
                </w:tcPr>
                <w:p w14:paraId="65BF26CA">
                  <w:pPr>
                    <w:pStyle w:val="16"/>
                    <w:keepNext w:val="0"/>
                    <w:keepLines w:val="0"/>
                    <w:suppressLineNumbers w:val="0"/>
                    <w:spacing w:before="0" w:beforeAutospacing="0" w:after="0" w:afterAutospacing="0" w:line="240" w:lineRule="auto"/>
                    <w:ind w:left="0" w:leftChars="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14:paraId="6E39FEDE">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278" w:type="pct"/>
                  <w:noWrap w:val="0"/>
                  <w:vAlign w:val="center"/>
                </w:tcPr>
                <w:p w14:paraId="16B7241F">
                  <w:pPr>
                    <w:pStyle w:val="16"/>
                    <w:keepNext w:val="0"/>
                    <w:keepLines w:val="0"/>
                    <w:suppressLineNumbers w:val="0"/>
                    <w:spacing w:before="0" w:beforeAutospacing="0" w:after="0" w:afterAutospacing="0" w:line="240" w:lineRule="auto"/>
                    <w:ind w:left="0" w:leftChars="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w:t>
                  </w:r>
                </w:p>
              </w:tc>
              <w:tc>
                <w:tcPr>
                  <w:tcW w:w="3243" w:type="pct"/>
                  <w:noWrap w:val="0"/>
                  <w:vAlign w:val="center"/>
                </w:tcPr>
                <w:p w14:paraId="181ED5BA">
                  <w:pPr>
                    <w:pStyle w:val="16"/>
                    <w:keepNext w:val="0"/>
                    <w:keepLines w:val="0"/>
                    <w:suppressLineNumbers w:val="0"/>
                    <w:spacing w:before="0" w:beforeAutospacing="0" w:after="0" w:afterAutospacing="0" w:line="240" w:lineRule="auto"/>
                    <w:ind w:left="0" w:leftChars="0" w:right="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禁止在自然保护区核心区、缓冲区的岸线和河段范围内投资建设旅游和生产经营项目。禁止在风景名胜区核心景区的岸线和河段范围内投资建设与风景名胜资源保护无关的项目</w:t>
                  </w:r>
                </w:p>
              </w:tc>
              <w:tc>
                <w:tcPr>
                  <w:tcW w:w="1078" w:type="pct"/>
                  <w:noWrap w:val="0"/>
                  <w:vAlign w:val="center"/>
                </w:tcPr>
                <w:p w14:paraId="2F399C06">
                  <w:pPr>
                    <w:pStyle w:val="16"/>
                    <w:keepNext w:val="0"/>
                    <w:keepLines w:val="0"/>
                    <w:suppressLineNumbers w:val="0"/>
                    <w:spacing w:before="0" w:beforeAutospacing="0" w:after="0" w:afterAutospacing="0" w:line="240" w:lineRule="auto"/>
                    <w:ind w:left="0" w:leftChars="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项目选址不在自然保护区范围内。</w:t>
                  </w:r>
                </w:p>
              </w:tc>
              <w:tc>
                <w:tcPr>
                  <w:tcW w:w="399" w:type="pct"/>
                  <w:noWrap w:val="0"/>
                  <w:vAlign w:val="center"/>
                </w:tcPr>
                <w:p w14:paraId="774F71BF">
                  <w:pPr>
                    <w:pStyle w:val="16"/>
                    <w:keepNext w:val="0"/>
                    <w:keepLines w:val="0"/>
                    <w:suppressLineNumbers w:val="0"/>
                    <w:spacing w:before="0" w:beforeAutospacing="0" w:after="0" w:afterAutospacing="0" w:line="240" w:lineRule="auto"/>
                    <w:ind w:left="0" w:leftChars="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14:paraId="0D00109F">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278" w:type="pct"/>
                  <w:noWrap w:val="0"/>
                  <w:vAlign w:val="center"/>
                </w:tcPr>
                <w:p w14:paraId="4AEECE9F">
                  <w:pPr>
                    <w:pStyle w:val="16"/>
                    <w:keepNext w:val="0"/>
                    <w:keepLines w:val="0"/>
                    <w:suppressLineNumbers w:val="0"/>
                    <w:spacing w:before="0" w:beforeAutospacing="0" w:after="0" w:afterAutospacing="0" w:line="240" w:lineRule="auto"/>
                    <w:ind w:left="0" w:leftChars="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w:t>
                  </w:r>
                </w:p>
              </w:tc>
              <w:tc>
                <w:tcPr>
                  <w:tcW w:w="3243" w:type="pct"/>
                  <w:noWrap w:val="0"/>
                  <w:vAlign w:val="center"/>
                </w:tcPr>
                <w:p w14:paraId="519AA552">
                  <w:pPr>
                    <w:pStyle w:val="16"/>
                    <w:keepNext w:val="0"/>
                    <w:keepLines w:val="0"/>
                    <w:suppressLineNumbers w:val="0"/>
                    <w:spacing w:before="0" w:beforeAutospacing="0" w:after="0" w:afterAutospacing="0" w:line="240" w:lineRule="auto"/>
                    <w:ind w:left="0" w:leftChars="0" w:right="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078" w:type="pct"/>
                  <w:noWrap w:val="0"/>
                  <w:vAlign w:val="center"/>
                </w:tcPr>
                <w:p w14:paraId="3C214DF8">
                  <w:pPr>
                    <w:pStyle w:val="16"/>
                    <w:keepNext w:val="0"/>
                    <w:keepLines w:val="0"/>
                    <w:suppressLineNumbers w:val="0"/>
                    <w:spacing w:before="0" w:beforeAutospacing="0" w:after="0" w:afterAutospacing="0" w:line="240" w:lineRule="auto"/>
                    <w:ind w:left="0" w:leftChars="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项目选址不在饮用水保护区内。</w:t>
                  </w:r>
                </w:p>
              </w:tc>
              <w:tc>
                <w:tcPr>
                  <w:tcW w:w="399" w:type="pct"/>
                  <w:noWrap w:val="0"/>
                  <w:vAlign w:val="center"/>
                </w:tcPr>
                <w:p w14:paraId="0408B6FA">
                  <w:pPr>
                    <w:pStyle w:val="16"/>
                    <w:keepNext w:val="0"/>
                    <w:keepLines w:val="0"/>
                    <w:suppressLineNumbers w:val="0"/>
                    <w:spacing w:before="0" w:beforeAutospacing="0" w:after="0" w:afterAutospacing="0" w:line="240" w:lineRule="auto"/>
                    <w:ind w:left="0" w:leftChars="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14:paraId="3A1353E8">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278" w:type="pct"/>
                  <w:noWrap w:val="0"/>
                  <w:vAlign w:val="center"/>
                </w:tcPr>
                <w:p w14:paraId="2114201D">
                  <w:pPr>
                    <w:pStyle w:val="16"/>
                    <w:keepNext w:val="0"/>
                    <w:keepLines w:val="0"/>
                    <w:suppressLineNumbers w:val="0"/>
                    <w:spacing w:before="0" w:beforeAutospacing="0" w:after="0" w:afterAutospacing="0" w:line="240" w:lineRule="auto"/>
                    <w:ind w:left="0" w:leftChars="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w:t>
                  </w:r>
                </w:p>
              </w:tc>
              <w:tc>
                <w:tcPr>
                  <w:tcW w:w="3243" w:type="pct"/>
                  <w:noWrap w:val="0"/>
                  <w:vAlign w:val="center"/>
                </w:tcPr>
                <w:p w14:paraId="5DFAD05D">
                  <w:pPr>
                    <w:pStyle w:val="16"/>
                    <w:keepNext w:val="0"/>
                    <w:keepLines w:val="0"/>
                    <w:suppressLineNumbers w:val="0"/>
                    <w:spacing w:before="0" w:beforeAutospacing="0" w:after="0" w:afterAutospacing="0" w:line="240" w:lineRule="auto"/>
                    <w:ind w:left="0" w:leftChars="0" w:right="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078" w:type="pct"/>
                  <w:noWrap w:val="0"/>
                  <w:vAlign w:val="center"/>
                </w:tcPr>
                <w:p w14:paraId="5D53621C">
                  <w:pPr>
                    <w:pStyle w:val="16"/>
                    <w:keepNext w:val="0"/>
                    <w:keepLines w:val="0"/>
                    <w:suppressLineNumbers w:val="0"/>
                    <w:spacing w:before="0" w:beforeAutospacing="0" w:after="0" w:afterAutospacing="0" w:line="240" w:lineRule="auto"/>
                    <w:ind w:left="0" w:leftChars="0" w:right="0"/>
                    <w:jc w:val="center"/>
                    <w:rPr>
                      <w:rFonts w:hint="eastAsia" w:ascii="Times New Roman" w:hAnsi="Times New Roman" w:eastAsia="宋体" w:cs="Times New Roman"/>
                      <w:color w:val="auto"/>
                      <w:szCs w:val="21"/>
                    </w:rPr>
                  </w:pPr>
                  <w:r>
                    <w:rPr>
                      <w:rFonts w:hint="default" w:ascii="Times New Roman" w:hAnsi="Times New Roman" w:eastAsia="宋体" w:cs="Times New Roman"/>
                      <w:color w:val="auto"/>
                      <w:szCs w:val="21"/>
                    </w:rPr>
                    <w:t>项目选址不在</w:t>
                  </w:r>
                  <w:r>
                    <w:rPr>
                      <w:rFonts w:hint="eastAsia" w:ascii="Times New Roman" w:hAnsi="Times New Roman" w:eastAsia="宋体" w:cs="Times New Roman"/>
                      <w:color w:val="auto"/>
                      <w:szCs w:val="21"/>
                    </w:rPr>
                    <w:t>水产种质资源保护区、国家湿地公园的岸线和河段范围内。</w:t>
                  </w:r>
                </w:p>
              </w:tc>
              <w:tc>
                <w:tcPr>
                  <w:tcW w:w="399" w:type="pct"/>
                  <w:noWrap w:val="0"/>
                  <w:vAlign w:val="center"/>
                </w:tcPr>
                <w:p w14:paraId="5F93AE02">
                  <w:pPr>
                    <w:pStyle w:val="16"/>
                    <w:keepNext w:val="0"/>
                    <w:keepLines w:val="0"/>
                    <w:suppressLineNumbers w:val="0"/>
                    <w:spacing w:before="0" w:beforeAutospacing="0" w:after="0" w:afterAutospacing="0" w:line="240" w:lineRule="auto"/>
                    <w:ind w:left="0" w:leftChars="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14:paraId="6E1E38CB">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278" w:type="pct"/>
                  <w:noWrap w:val="0"/>
                  <w:vAlign w:val="center"/>
                </w:tcPr>
                <w:p w14:paraId="4B0D6BC5">
                  <w:pPr>
                    <w:pStyle w:val="16"/>
                    <w:keepNext w:val="0"/>
                    <w:keepLines w:val="0"/>
                    <w:suppressLineNumbers w:val="0"/>
                    <w:spacing w:before="0" w:beforeAutospacing="0" w:after="0" w:afterAutospacing="0" w:line="240" w:lineRule="auto"/>
                    <w:ind w:left="0" w:leftChars="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w:t>
                  </w:r>
                </w:p>
              </w:tc>
              <w:tc>
                <w:tcPr>
                  <w:tcW w:w="3243" w:type="pct"/>
                  <w:noWrap w:val="0"/>
                  <w:vAlign w:val="center"/>
                </w:tcPr>
                <w:p w14:paraId="2853AE9F">
                  <w:pPr>
                    <w:pStyle w:val="16"/>
                    <w:keepNext w:val="0"/>
                    <w:keepLines w:val="0"/>
                    <w:suppressLineNumbers w:val="0"/>
                    <w:spacing w:before="0" w:beforeAutospacing="0" w:after="0" w:afterAutospacing="0" w:line="240" w:lineRule="auto"/>
                    <w:ind w:left="0" w:leftChars="0" w:right="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078" w:type="pct"/>
                  <w:noWrap w:val="0"/>
                  <w:vAlign w:val="center"/>
                </w:tcPr>
                <w:p w14:paraId="710B5B3A">
                  <w:pPr>
                    <w:pStyle w:val="16"/>
                    <w:keepNext w:val="0"/>
                    <w:keepLines w:val="0"/>
                    <w:suppressLineNumbers w:val="0"/>
                    <w:spacing w:before="0" w:beforeAutospacing="0" w:after="0" w:afterAutospacing="0" w:line="240" w:lineRule="auto"/>
                    <w:ind w:left="0" w:leftChars="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项目选址不在长江岸线保护区内、保留区内，不在《全国重要江河湖泊水功能区划》划定的河段及湖泊保护区、保留区内。</w:t>
                  </w:r>
                </w:p>
              </w:tc>
              <w:tc>
                <w:tcPr>
                  <w:tcW w:w="399" w:type="pct"/>
                  <w:noWrap w:val="0"/>
                  <w:vAlign w:val="center"/>
                </w:tcPr>
                <w:p w14:paraId="0AB7D256">
                  <w:pPr>
                    <w:pStyle w:val="16"/>
                    <w:keepNext w:val="0"/>
                    <w:keepLines w:val="0"/>
                    <w:suppressLineNumbers w:val="0"/>
                    <w:spacing w:before="0" w:beforeAutospacing="0" w:after="0" w:afterAutospacing="0" w:line="240" w:lineRule="auto"/>
                    <w:ind w:left="0" w:leftChars="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14:paraId="303278DE">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278" w:type="pct"/>
                  <w:noWrap w:val="0"/>
                  <w:vAlign w:val="center"/>
                </w:tcPr>
                <w:p w14:paraId="7D38859F">
                  <w:pPr>
                    <w:pStyle w:val="16"/>
                    <w:keepNext w:val="0"/>
                    <w:keepLines w:val="0"/>
                    <w:suppressLineNumbers w:val="0"/>
                    <w:spacing w:before="0" w:beforeAutospacing="0" w:after="0" w:afterAutospacing="0" w:line="240" w:lineRule="auto"/>
                    <w:ind w:left="0" w:leftChars="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w:t>
                  </w:r>
                </w:p>
              </w:tc>
              <w:tc>
                <w:tcPr>
                  <w:tcW w:w="3243" w:type="pct"/>
                  <w:noWrap w:val="0"/>
                  <w:vAlign w:val="center"/>
                </w:tcPr>
                <w:p w14:paraId="19216173">
                  <w:pPr>
                    <w:pStyle w:val="16"/>
                    <w:keepNext w:val="0"/>
                    <w:keepLines w:val="0"/>
                    <w:suppressLineNumbers w:val="0"/>
                    <w:spacing w:before="0" w:beforeAutospacing="0" w:after="0" w:afterAutospacing="0" w:line="240" w:lineRule="auto"/>
                    <w:ind w:left="0" w:leftChars="0" w:right="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禁止未经许可在长江干支流及湖泊新设、改设或扩大排污口。</w:t>
                  </w:r>
                </w:p>
              </w:tc>
              <w:tc>
                <w:tcPr>
                  <w:tcW w:w="1078" w:type="pct"/>
                  <w:noWrap w:val="0"/>
                  <w:vAlign w:val="center"/>
                </w:tcPr>
                <w:p w14:paraId="4F3F2854">
                  <w:pPr>
                    <w:pStyle w:val="16"/>
                    <w:keepNext w:val="0"/>
                    <w:keepLines w:val="0"/>
                    <w:suppressLineNumbers w:val="0"/>
                    <w:spacing w:before="0" w:beforeAutospacing="0" w:after="0" w:afterAutospacing="0" w:line="240" w:lineRule="auto"/>
                    <w:ind w:left="0" w:leftChars="0" w:right="0"/>
                    <w:jc w:val="center"/>
                    <w:rPr>
                      <w:rFonts w:hint="eastAsia" w:ascii="Times New Roman" w:hAnsi="Times New Roman" w:eastAsia="宋体" w:cs="Times New Roman"/>
                      <w:color w:val="auto"/>
                      <w:szCs w:val="21"/>
                    </w:rPr>
                  </w:pPr>
                  <w:r>
                    <w:rPr>
                      <w:rFonts w:hint="default" w:ascii="Times New Roman" w:hAnsi="Times New Roman" w:eastAsia="宋体" w:cs="Times New Roman"/>
                      <w:color w:val="auto"/>
                      <w:szCs w:val="21"/>
                    </w:rPr>
                    <w:t>项目不</w:t>
                  </w:r>
                  <w:r>
                    <w:rPr>
                      <w:rFonts w:hint="eastAsia" w:ascii="Times New Roman" w:hAnsi="Times New Roman" w:eastAsia="宋体" w:cs="Times New Roman"/>
                      <w:color w:val="auto"/>
                      <w:szCs w:val="21"/>
                    </w:rPr>
                    <w:t>新设、改设或扩大排污口。</w:t>
                  </w:r>
                </w:p>
              </w:tc>
              <w:tc>
                <w:tcPr>
                  <w:tcW w:w="399" w:type="pct"/>
                  <w:noWrap w:val="0"/>
                  <w:vAlign w:val="center"/>
                </w:tcPr>
                <w:p w14:paraId="476C6C7B">
                  <w:pPr>
                    <w:pStyle w:val="16"/>
                    <w:keepNext w:val="0"/>
                    <w:keepLines w:val="0"/>
                    <w:suppressLineNumbers w:val="0"/>
                    <w:spacing w:before="0" w:beforeAutospacing="0" w:after="0" w:afterAutospacing="0" w:line="240" w:lineRule="auto"/>
                    <w:ind w:left="0" w:leftChars="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14:paraId="7D735A3D">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278" w:type="pct"/>
                  <w:noWrap w:val="0"/>
                  <w:vAlign w:val="center"/>
                </w:tcPr>
                <w:p w14:paraId="639C6159">
                  <w:pPr>
                    <w:pStyle w:val="16"/>
                    <w:keepNext w:val="0"/>
                    <w:keepLines w:val="0"/>
                    <w:suppressLineNumbers w:val="0"/>
                    <w:spacing w:before="0" w:beforeAutospacing="0" w:after="0" w:afterAutospacing="0" w:line="240" w:lineRule="auto"/>
                    <w:ind w:left="0" w:leftChars="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7</w:t>
                  </w:r>
                </w:p>
              </w:tc>
              <w:tc>
                <w:tcPr>
                  <w:tcW w:w="3243" w:type="pct"/>
                  <w:noWrap w:val="0"/>
                  <w:vAlign w:val="center"/>
                </w:tcPr>
                <w:p w14:paraId="42BC5FBD">
                  <w:pPr>
                    <w:pStyle w:val="16"/>
                    <w:keepNext w:val="0"/>
                    <w:keepLines w:val="0"/>
                    <w:suppressLineNumbers w:val="0"/>
                    <w:spacing w:before="0" w:beforeAutospacing="0" w:after="0" w:afterAutospacing="0" w:line="240" w:lineRule="auto"/>
                    <w:ind w:left="0" w:leftChars="0" w:right="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禁止在“一江一口两湖七河”和332个水生生物保护区开展生产性捕捞。</w:t>
                  </w:r>
                </w:p>
              </w:tc>
              <w:tc>
                <w:tcPr>
                  <w:tcW w:w="1078" w:type="pct"/>
                  <w:noWrap w:val="0"/>
                  <w:vAlign w:val="center"/>
                </w:tcPr>
                <w:p w14:paraId="09E62E50">
                  <w:pPr>
                    <w:pStyle w:val="16"/>
                    <w:keepNext w:val="0"/>
                    <w:keepLines w:val="0"/>
                    <w:suppressLineNumbers w:val="0"/>
                    <w:spacing w:before="0" w:beforeAutospacing="0" w:after="0" w:afterAutospacing="0" w:line="240" w:lineRule="auto"/>
                    <w:ind w:left="0" w:leftChars="0" w:right="0"/>
                    <w:jc w:val="center"/>
                    <w:rPr>
                      <w:rFonts w:hint="eastAsia" w:ascii="Times New Roman" w:hAnsi="Times New Roman" w:eastAsia="宋体" w:cs="Times New Roman"/>
                      <w:color w:val="auto"/>
                      <w:szCs w:val="21"/>
                    </w:rPr>
                  </w:pPr>
                  <w:r>
                    <w:rPr>
                      <w:rFonts w:hint="default" w:ascii="Times New Roman" w:hAnsi="Times New Roman" w:eastAsia="宋体" w:cs="Times New Roman"/>
                      <w:color w:val="auto"/>
                      <w:szCs w:val="21"/>
                    </w:rPr>
                    <w:t>本项目不</w:t>
                  </w:r>
                  <w:r>
                    <w:rPr>
                      <w:rFonts w:hint="eastAsia" w:ascii="Times New Roman" w:hAnsi="Times New Roman" w:eastAsia="宋体" w:cs="Times New Roman"/>
                      <w:color w:val="auto"/>
                      <w:szCs w:val="21"/>
                    </w:rPr>
                    <w:t>开展生产性捕捞。</w:t>
                  </w:r>
                </w:p>
              </w:tc>
              <w:tc>
                <w:tcPr>
                  <w:tcW w:w="399" w:type="pct"/>
                  <w:noWrap w:val="0"/>
                  <w:vAlign w:val="center"/>
                </w:tcPr>
                <w:p w14:paraId="1CDF6E28">
                  <w:pPr>
                    <w:pStyle w:val="16"/>
                    <w:keepNext w:val="0"/>
                    <w:keepLines w:val="0"/>
                    <w:suppressLineNumbers w:val="0"/>
                    <w:spacing w:before="0" w:beforeAutospacing="0" w:after="0" w:afterAutospacing="0" w:line="240" w:lineRule="auto"/>
                    <w:ind w:left="0" w:leftChars="0" w:right="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符合</w:t>
                  </w:r>
                </w:p>
              </w:tc>
            </w:tr>
            <w:tr w14:paraId="4AD0E7B1">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278" w:type="pct"/>
                  <w:noWrap w:val="0"/>
                  <w:vAlign w:val="center"/>
                </w:tcPr>
                <w:p w14:paraId="772A4B9F">
                  <w:pPr>
                    <w:pStyle w:val="16"/>
                    <w:keepNext w:val="0"/>
                    <w:keepLines w:val="0"/>
                    <w:suppressLineNumbers w:val="0"/>
                    <w:spacing w:before="0" w:beforeAutospacing="0" w:after="0" w:afterAutospacing="0" w:line="240" w:lineRule="auto"/>
                    <w:ind w:left="0" w:leftChars="0" w:right="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8</w:t>
                  </w:r>
                </w:p>
              </w:tc>
              <w:tc>
                <w:tcPr>
                  <w:tcW w:w="3243" w:type="pct"/>
                  <w:noWrap w:val="0"/>
                  <w:vAlign w:val="center"/>
                </w:tcPr>
                <w:p w14:paraId="578C6923">
                  <w:pPr>
                    <w:pStyle w:val="16"/>
                    <w:keepNext w:val="0"/>
                    <w:keepLines w:val="0"/>
                    <w:suppressLineNumbers w:val="0"/>
                    <w:spacing w:before="0" w:beforeAutospacing="0" w:after="0" w:afterAutospacing="0" w:line="240" w:lineRule="auto"/>
                    <w:ind w:left="0" w:leftChars="0" w:right="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1078" w:type="pct"/>
                  <w:noWrap w:val="0"/>
                  <w:vAlign w:val="center"/>
                </w:tcPr>
                <w:p w14:paraId="293D250A">
                  <w:pPr>
                    <w:pStyle w:val="16"/>
                    <w:keepNext w:val="0"/>
                    <w:keepLines w:val="0"/>
                    <w:suppressLineNumbers w:val="0"/>
                    <w:spacing w:before="0" w:beforeAutospacing="0" w:after="0" w:afterAutospacing="0" w:line="240" w:lineRule="auto"/>
                    <w:ind w:left="0" w:leftChars="0" w:right="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项目不属于化工、尾矿库、冶炼渣库和磷石膏库项目</w:t>
                  </w:r>
                </w:p>
              </w:tc>
              <w:tc>
                <w:tcPr>
                  <w:tcW w:w="399" w:type="pct"/>
                  <w:noWrap w:val="0"/>
                  <w:vAlign w:val="center"/>
                </w:tcPr>
                <w:p w14:paraId="6A686EA9">
                  <w:pPr>
                    <w:pStyle w:val="16"/>
                    <w:keepNext w:val="0"/>
                    <w:keepLines w:val="0"/>
                    <w:suppressLineNumbers w:val="0"/>
                    <w:spacing w:before="0" w:beforeAutospacing="0" w:after="0" w:afterAutospacing="0" w:line="240" w:lineRule="auto"/>
                    <w:ind w:left="0" w:leftChars="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14:paraId="2101C3EF">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278" w:type="pct"/>
                  <w:noWrap w:val="0"/>
                  <w:vAlign w:val="center"/>
                </w:tcPr>
                <w:p w14:paraId="6ED7DFFE">
                  <w:pPr>
                    <w:pStyle w:val="16"/>
                    <w:keepNext w:val="0"/>
                    <w:keepLines w:val="0"/>
                    <w:suppressLineNumbers w:val="0"/>
                    <w:spacing w:before="0" w:beforeAutospacing="0" w:after="0" w:afterAutospacing="0" w:line="240" w:lineRule="auto"/>
                    <w:ind w:left="0" w:leftChars="0" w:right="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9</w:t>
                  </w:r>
                </w:p>
              </w:tc>
              <w:tc>
                <w:tcPr>
                  <w:tcW w:w="3243" w:type="pct"/>
                  <w:noWrap w:val="0"/>
                  <w:vAlign w:val="center"/>
                </w:tcPr>
                <w:p w14:paraId="1FB6DA27">
                  <w:pPr>
                    <w:pStyle w:val="16"/>
                    <w:keepNext w:val="0"/>
                    <w:keepLines w:val="0"/>
                    <w:suppressLineNumbers w:val="0"/>
                    <w:spacing w:before="0" w:beforeAutospacing="0" w:after="0" w:afterAutospacing="0" w:line="240" w:lineRule="auto"/>
                    <w:ind w:left="0" w:leftChars="0" w:right="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禁止在合规园区外新建、扩建钢铁、石化、化工、焦化、建材、有色、制浆造纸等高污染项目。</w:t>
                  </w:r>
                </w:p>
              </w:tc>
              <w:tc>
                <w:tcPr>
                  <w:tcW w:w="1078" w:type="pct"/>
                  <w:noWrap w:val="0"/>
                  <w:vAlign w:val="center"/>
                </w:tcPr>
                <w:p w14:paraId="645566BF">
                  <w:pPr>
                    <w:pStyle w:val="16"/>
                    <w:keepNext w:val="0"/>
                    <w:keepLines w:val="0"/>
                    <w:suppressLineNumbers w:val="0"/>
                    <w:spacing w:before="0" w:beforeAutospacing="0" w:after="0" w:afterAutospacing="0" w:line="240" w:lineRule="auto"/>
                    <w:ind w:left="0" w:leftChars="0" w:right="0"/>
                    <w:jc w:val="center"/>
                    <w:rPr>
                      <w:rFonts w:hint="eastAsia" w:ascii="Times New Roman" w:hAnsi="Times New Roman" w:eastAsia="宋体" w:cs="Times New Roman"/>
                      <w:color w:val="auto"/>
                      <w:szCs w:val="21"/>
                    </w:rPr>
                  </w:pPr>
                  <w:r>
                    <w:rPr>
                      <w:rFonts w:hint="default" w:ascii="Times New Roman" w:hAnsi="Times New Roman" w:eastAsia="宋体" w:cs="Times New Roman"/>
                      <w:color w:val="auto"/>
                      <w:szCs w:val="21"/>
                    </w:rPr>
                    <w:t>项目</w:t>
                  </w:r>
                  <w:r>
                    <w:rPr>
                      <w:rFonts w:hint="eastAsia" w:ascii="Times New Roman" w:hAnsi="Times New Roman" w:eastAsia="宋体" w:cs="Times New Roman"/>
                      <w:color w:val="auto"/>
                      <w:szCs w:val="21"/>
                    </w:rPr>
                    <w:t>不属于钢铁、石化、化工、焦化、建材、有色、制浆造纸等高污染项目。</w:t>
                  </w:r>
                </w:p>
              </w:tc>
              <w:tc>
                <w:tcPr>
                  <w:tcW w:w="399" w:type="pct"/>
                  <w:noWrap w:val="0"/>
                  <w:vAlign w:val="center"/>
                </w:tcPr>
                <w:p w14:paraId="006BA53F">
                  <w:pPr>
                    <w:pStyle w:val="16"/>
                    <w:keepNext w:val="0"/>
                    <w:keepLines w:val="0"/>
                    <w:suppressLineNumbers w:val="0"/>
                    <w:spacing w:before="0" w:beforeAutospacing="0" w:after="0" w:afterAutospacing="0" w:line="240" w:lineRule="auto"/>
                    <w:ind w:left="0" w:leftChars="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14:paraId="56640F4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278" w:type="pct"/>
                  <w:noWrap w:val="0"/>
                  <w:vAlign w:val="center"/>
                </w:tcPr>
                <w:p w14:paraId="040F5B32">
                  <w:pPr>
                    <w:pStyle w:val="16"/>
                    <w:keepNext w:val="0"/>
                    <w:keepLines w:val="0"/>
                    <w:suppressLineNumbers w:val="0"/>
                    <w:spacing w:before="0" w:beforeAutospacing="0" w:after="0" w:afterAutospacing="0" w:line="240" w:lineRule="auto"/>
                    <w:ind w:left="0" w:leftChars="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10</w:t>
                  </w:r>
                </w:p>
              </w:tc>
              <w:tc>
                <w:tcPr>
                  <w:tcW w:w="3243" w:type="pct"/>
                  <w:noWrap w:val="0"/>
                  <w:vAlign w:val="center"/>
                </w:tcPr>
                <w:p w14:paraId="065102AF">
                  <w:pPr>
                    <w:pStyle w:val="16"/>
                    <w:keepNext w:val="0"/>
                    <w:keepLines w:val="0"/>
                    <w:suppressLineNumbers w:val="0"/>
                    <w:spacing w:before="0" w:beforeAutospacing="0" w:after="0" w:afterAutospacing="0" w:line="240" w:lineRule="auto"/>
                    <w:ind w:left="0" w:leftChars="0" w:right="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禁止新建、扩建不符合国家石化、现代煤化工等产业布局规划的项目。</w:t>
                  </w:r>
                </w:p>
              </w:tc>
              <w:tc>
                <w:tcPr>
                  <w:tcW w:w="1078" w:type="pct"/>
                  <w:noWrap w:val="0"/>
                  <w:vAlign w:val="center"/>
                </w:tcPr>
                <w:p w14:paraId="1D7D5195">
                  <w:pPr>
                    <w:pStyle w:val="16"/>
                    <w:keepNext w:val="0"/>
                    <w:keepLines w:val="0"/>
                    <w:suppressLineNumbers w:val="0"/>
                    <w:spacing w:before="0" w:beforeAutospacing="0" w:after="0" w:afterAutospacing="0" w:line="240" w:lineRule="auto"/>
                    <w:ind w:left="0" w:leftChars="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项目不属于石化、现代煤化工等产业。</w:t>
                  </w:r>
                </w:p>
              </w:tc>
              <w:tc>
                <w:tcPr>
                  <w:tcW w:w="399" w:type="pct"/>
                  <w:noWrap w:val="0"/>
                  <w:vAlign w:val="center"/>
                </w:tcPr>
                <w:p w14:paraId="17D507E5">
                  <w:pPr>
                    <w:pStyle w:val="16"/>
                    <w:keepNext w:val="0"/>
                    <w:keepLines w:val="0"/>
                    <w:suppressLineNumbers w:val="0"/>
                    <w:spacing w:before="0" w:beforeAutospacing="0" w:after="0" w:afterAutospacing="0" w:line="240" w:lineRule="auto"/>
                    <w:ind w:left="0" w:leftChars="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14:paraId="31E233F6">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278" w:type="pct"/>
                  <w:noWrap w:val="0"/>
                  <w:vAlign w:val="center"/>
                </w:tcPr>
                <w:p w14:paraId="7ABBC39A">
                  <w:pPr>
                    <w:pStyle w:val="16"/>
                    <w:keepNext w:val="0"/>
                    <w:keepLines w:val="0"/>
                    <w:suppressLineNumbers w:val="0"/>
                    <w:spacing w:before="0" w:beforeAutospacing="0" w:after="0" w:afterAutospacing="0" w:line="240" w:lineRule="auto"/>
                    <w:ind w:left="0" w:leftChars="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11</w:t>
                  </w:r>
                </w:p>
              </w:tc>
              <w:tc>
                <w:tcPr>
                  <w:tcW w:w="3243" w:type="pct"/>
                  <w:noWrap w:val="0"/>
                  <w:vAlign w:val="center"/>
                </w:tcPr>
                <w:p w14:paraId="0489D5CF">
                  <w:pPr>
                    <w:pStyle w:val="16"/>
                    <w:keepNext w:val="0"/>
                    <w:keepLines w:val="0"/>
                    <w:suppressLineNumbers w:val="0"/>
                    <w:spacing w:before="0" w:beforeAutospacing="0" w:after="0" w:afterAutospacing="0" w:line="240" w:lineRule="auto"/>
                    <w:ind w:left="0" w:leftChars="0" w:right="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禁止新建、扩建法律法规和相关政策明令禁止的落后产能项目。禁止新建、扩建不符合国家产能置换要求的严重过剩产能行业的项目。禁止新建、扩建不符合要求的高耗能高排放项目。</w:t>
                  </w:r>
                </w:p>
              </w:tc>
              <w:tc>
                <w:tcPr>
                  <w:tcW w:w="1078" w:type="pct"/>
                  <w:noWrap w:val="0"/>
                  <w:vAlign w:val="center"/>
                </w:tcPr>
                <w:p w14:paraId="0EAD1485">
                  <w:pPr>
                    <w:pStyle w:val="16"/>
                    <w:keepNext w:val="0"/>
                    <w:keepLines w:val="0"/>
                    <w:suppressLineNumbers w:val="0"/>
                    <w:spacing w:before="0" w:beforeAutospacing="0" w:after="0" w:afterAutospacing="0" w:line="240" w:lineRule="auto"/>
                    <w:ind w:left="0" w:leftChars="0" w:right="0"/>
                    <w:jc w:val="center"/>
                    <w:rPr>
                      <w:rFonts w:hint="eastAsia" w:ascii="Times New Roman" w:hAnsi="Times New Roman" w:eastAsia="宋体" w:cs="Times New Roman"/>
                      <w:color w:val="auto"/>
                      <w:szCs w:val="21"/>
                    </w:rPr>
                  </w:pPr>
                  <w:r>
                    <w:rPr>
                      <w:rFonts w:hint="default" w:ascii="Times New Roman" w:hAnsi="Times New Roman" w:eastAsia="宋体" w:cs="Times New Roman"/>
                      <w:color w:val="auto"/>
                      <w:szCs w:val="21"/>
                    </w:rPr>
                    <w:t>项目不属于</w:t>
                  </w:r>
                  <w:r>
                    <w:rPr>
                      <w:rFonts w:hint="eastAsia" w:ascii="Times New Roman" w:hAnsi="Times New Roman" w:eastAsia="宋体" w:cs="Times New Roman"/>
                      <w:color w:val="auto"/>
                      <w:szCs w:val="21"/>
                    </w:rPr>
                    <w:t>落后产能项目、不符合国家产能置换要求的严重过剩产能行业的项目、高耗能高排放项目。</w:t>
                  </w:r>
                </w:p>
              </w:tc>
              <w:tc>
                <w:tcPr>
                  <w:tcW w:w="399" w:type="pct"/>
                  <w:noWrap w:val="0"/>
                  <w:vAlign w:val="center"/>
                </w:tcPr>
                <w:p w14:paraId="6606EC8E">
                  <w:pPr>
                    <w:pStyle w:val="16"/>
                    <w:keepNext w:val="0"/>
                    <w:keepLines w:val="0"/>
                    <w:suppressLineNumbers w:val="0"/>
                    <w:spacing w:before="0" w:beforeAutospacing="0" w:after="0" w:afterAutospacing="0" w:line="240" w:lineRule="auto"/>
                    <w:ind w:left="0" w:leftChars="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bl>
          <w:p w14:paraId="7FD96609">
            <w:pPr>
              <w:keepNext w:val="0"/>
              <w:keepLines w:val="0"/>
              <w:pageBreakBefore w:val="0"/>
              <w:widowControl w:val="0"/>
              <w:suppressLineNumbers w:val="0"/>
              <w:kinsoku/>
              <w:wordWrap/>
              <w:overflowPunct/>
              <w:topLinePunct w:val="0"/>
              <w:autoSpaceDE w:val="0"/>
              <w:autoSpaceDN w:val="0"/>
              <w:bidi w:val="0"/>
              <w:adjustRightInd/>
              <w:snapToGrid/>
              <w:spacing w:before="157" w:beforeLines="50" w:beforeAutospacing="0" w:after="0" w:afterAutospacing="0" w:line="360" w:lineRule="auto"/>
              <w:ind w:left="0" w:right="0" w:firstLine="520" w:firstLineChars="200"/>
              <w:jc w:val="left"/>
              <w:textAlignment w:val="auto"/>
              <w:rPr>
                <w:rFonts w:hint="default" w:ascii="Times New Roman" w:hAnsi="Times New Roman" w:eastAsia="宋体" w:cs="Times New Roman"/>
                <w:bCs/>
                <w:sz w:val="26"/>
                <w:szCs w:val="26"/>
              </w:rPr>
            </w:pPr>
            <w:r>
              <w:rPr>
                <w:rFonts w:hint="eastAsia" w:ascii="Times New Roman" w:hAnsi="Times New Roman" w:eastAsia="宋体" w:cs="Times New Roman"/>
                <w:bCs/>
                <w:sz w:val="26"/>
                <w:szCs w:val="26"/>
                <w:lang w:val="en-US" w:eastAsia="zh-CN"/>
              </w:rPr>
              <w:t>综上分析</w:t>
            </w:r>
            <w:r>
              <w:rPr>
                <w:rFonts w:hint="default" w:ascii="Times New Roman" w:hAnsi="Times New Roman" w:eastAsia="宋体" w:cs="Times New Roman"/>
                <w:bCs/>
                <w:sz w:val="26"/>
                <w:szCs w:val="26"/>
              </w:rPr>
              <w:t>，本项目符合《长江经济带发展负面清单指南（试行，2022年版）》（长江办〔2022〕7号）中相关要求。</w:t>
            </w:r>
          </w:p>
          <w:p w14:paraId="0D5C65A4">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2" w:firstLineChars="200"/>
              <w:jc w:val="left"/>
              <w:textAlignment w:val="auto"/>
              <w:rPr>
                <w:rFonts w:hint="default" w:ascii="Times New Roman" w:hAnsi="Times New Roman" w:eastAsia="宋体" w:cs="Times New Roman"/>
                <w:b/>
                <w:sz w:val="24"/>
                <w:lang w:bidi="ar"/>
              </w:rPr>
            </w:pPr>
            <w:r>
              <w:rPr>
                <w:rFonts w:hint="eastAsia" w:ascii="Times New Roman" w:hAnsi="Times New Roman" w:eastAsia="宋体" w:cs="Times New Roman"/>
                <w:b/>
                <w:sz w:val="24"/>
                <w:lang w:bidi="ar"/>
              </w:rPr>
              <w:t>（3）</w:t>
            </w:r>
            <w:r>
              <w:rPr>
                <w:rFonts w:hint="default" w:ascii="Times New Roman" w:hAnsi="Times New Roman" w:eastAsia="宋体" w:cs="Times New Roman"/>
                <w:b/>
                <w:sz w:val="24"/>
                <w:lang w:bidi="ar"/>
              </w:rPr>
              <w:t>与《关于印发《四川省、重庆市长江经济带发展负面清单实施细则（试行，2022年版）》的通知》（川长江办〔2022〕17号）符合性分析</w:t>
            </w:r>
          </w:p>
          <w:p w14:paraId="0F4759E4">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520" w:firstLineChars="200"/>
              <w:jc w:val="left"/>
              <w:textAlignment w:val="auto"/>
              <w:rPr>
                <w:rFonts w:hint="eastAsia" w:ascii="Times New Roman" w:hAnsi="Times New Roman" w:eastAsia="宋体" w:cs="Times New Roman"/>
                <w:b/>
                <w:color w:val="auto"/>
              </w:rPr>
            </w:pPr>
            <w:r>
              <w:rPr>
                <w:rFonts w:hint="default" w:ascii="Times New Roman" w:hAnsi="Times New Roman" w:eastAsia="宋体" w:cs="Times New Roman"/>
                <w:bCs/>
                <w:sz w:val="26"/>
                <w:szCs w:val="26"/>
              </w:rPr>
              <w:t>本项目与《长江经济带发展负面清单指南（试行，2022年版）》符合性分析详见下表。</w:t>
            </w:r>
          </w:p>
          <w:p w14:paraId="44FE8363">
            <w:pPr>
              <w:pStyle w:val="46"/>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color w:val="auto"/>
              </w:rPr>
            </w:pPr>
            <w:r>
              <w:rPr>
                <w:rFonts w:hint="eastAsia" w:ascii="Times New Roman" w:hAnsi="Times New Roman" w:eastAsia="宋体" w:cs="Times New Roman"/>
                <w:b/>
                <w:color w:val="auto"/>
              </w:rPr>
              <w:t>表1-</w:t>
            </w:r>
            <w:r>
              <w:rPr>
                <w:rFonts w:hint="eastAsia" w:cs="Times New Roman"/>
                <w:b/>
                <w:color w:val="auto"/>
                <w:lang w:val="en-US" w:eastAsia="zh-CN"/>
              </w:rPr>
              <w:t>6</w:t>
            </w:r>
            <w:r>
              <w:rPr>
                <w:rFonts w:hint="eastAsia" w:ascii="Times New Roman" w:hAnsi="Times New Roman" w:eastAsia="宋体" w:cs="Times New Roman"/>
                <w:b/>
                <w:color w:val="auto"/>
                <w:lang w:val="en-US" w:eastAsia="zh-CN"/>
              </w:rPr>
              <w:t xml:space="preserve"> </w:t>
            </w:r>
            <w:r>
              <w:rPr>
                <w:rFonts w:hint="eastAsia" w:ascii="Times New Roman" w:hAnsi="Times New Roman" w:eastAsia="宋体" w:cs="Times New Roman"/>
                <w:b/>
                <w:color w:val="auto"/>
              </w:rPr>
              <w:t xml:space="preserve"> 项目与《四川省、重庆市长江经济带发展负面清单实施细则(试行，2022年版)》符合性分析</w:t>
            </w:r>
          </w:p>
          <w:tbl>
            <w:tblPr>
              <w:tblStyle w:val="25"/>
              <w:tblW w:w="4998" w:type="pct"/>
              <w:tblInd w:w="1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569"/>
              <w:gridCol w:w="4823"/>
              <w:gridCol w:w="1651"/>
              <w:gridCol w:w="613"/>
            </w:tblGrid>
            <w:tr w14:paraId="57F026B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72" w:type="pct"/>
                  <w:tcBorders>
                    <w:tl2br w:val="nil"/>
                    <w:tr2bl w:val="nil"/>
                  </w:tcBorders>
                  <w:noWrap w:val="0"/>
                  <w:vAlign w:val="center"/>
                </w:tcPr>
                <w:p w14:paraId="7E0DE799">
                  <w:pPr>
                    <w:pStyle w:val="16"/>
                    <w:keepNext w:val="0"/>
                    <w:keepLines w:val="0"/>
                    <w:suppressLineNumbers w:val="0"/>
                    <w:spacing w:before="0" w:beforeAutospacing="0" w:after="0" w:afterAutospacing="0" w:line="240" w:lineRule="auto"/>
                    <w:ind w:left="0" w:leftChars="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序号</w:t>
                  </w:r>
                </w:p>
              </w:tc>
              <w:tc>
                <w:tcPr>
                  <w:tcW w:w="3149" w:type="pct"/>
                  <w:tcBorders>
                    <w:tl2br w:val="nil"/>
                    <w:tr2bl w:val="nil"/>
                  </w:tcBorders>
                  <w:noWrap w:val="0"/>
                  <w:vAlign w:val="center"/>
                </w:tcPr>
                <w:p w14:paraId="4D653A78">
                  <w:pPr>
                    <w:pStyle w:val="16"/>
                    <w:keepNext w:val="0"/>
                    <w:keepLines w:val="0"/>
                    <w:suppressLineNumbers w:val="0"/>
                    <w:spacing w:before="0" w:beforeAutospacing="0" w:after="0" w:afterAutospacing="0" w:line="240" w:lineRule="auto"/>
                    <w:ind w:left="0" w:leftChars="0" w:right="0"/>
                    <w:jc w:val="center"/>
                    <w:rPr>
                      <w:rFonts w:hint="default"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《四川省、重庆市长江经济带发展负面清单实施细则(试行，2022年版)》</w:t>
                  </w:r>
                </w:p>
              </w:tc>
              <w:tc>
                <w:tcPr>
                  <w:tcW w:w="1078" w:type="pct"/>
                  <w:tcBorders>
                    <w:tl2br w:val="nil"/>
                    <w:tr2bl w:val="nil"/>
                  </w:tcBorders>
                  <w:noWrap w:val="0"/>
                  <w:vAlign w:val="center"/>
                </w:tcPr>
                <w:p w14:paraId="7359A95D">
                  <w:pPr>
                    <w:pStyle w:val="16"/>
                    <w:keepNext w:val="0"/>
                    <w:keepLines w:val="0"/>
                    <w:suppressLineNumbers w:val="0"/>
                    <w:spacing w:before="0" w:beforeAutospacing="0" w:after="0" w:afterAutospacing="0" w:line="240" w:lineRule="auto"/>
                    <w:ind w:left="0" w:leftChars="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符合性分析</w:t>
                  </w:r>
                </w:p>
              </w:tc>
              <w:tc>
                <w:tcPr>
                  <w:tcW w:w="400" w:type="pct"/>
                  <w:tcBorders>
                    <w:tl2br w:val="nil"/>
                    <w:tr2bl w:val="nil"/>
                  </w:tcBorders>
                  <w:noWrap w:val="0"/>
                  <w:vAlign w:val="center"/>
                </w:tcPr>
                <w:p w14:paraId="74C6F15C">
                  <w:pPr>
                    <w:pStyle w:val="16"/>
                    <w:keepNext w:val="0"/>
                    <w:keepLines w:val="0"/>
                    <w:suppressLineNumbers w:val="0"/>
                    <w:spacing w:before="0" w:beforeAutospacing="0" w:after="0" w:afterAutospacing="0" w:line="240" w:lineRule="auto"/>
                    <w:ind w:left="0" w:leftChars="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是否符合</w:t>
                  </w:r>
                </w:p>
              </w:tc>
            </w:tr>
            <w:tr w14:paraId="6332864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72" w:type="pct"/>
                  <w:tcBorders>
                    <w:tl2br w:val="nil"/>
                    <w:tr2bl w:val="nil"/>
                  </w:tcBorders>
                  <w:noWrap w:val="0"/>
                  <w:vAlign w:val="center"/>
                </w:tcPr>
                <w:p w14:paraId="35687DAE">
                  <w:pPr>
                    <w:pStyle w:val="16"/>
                    <w:keepNext w:val="0"/>
                    <w:keepLines w:val="0"/>
                    <w:suppressLineNumbers w:val="0"/>
                    <w:spacing w:before="0" w:beforeAutospacing="0" w:after="0" w:afterAutospacing="0" w:line="240" w:lineRule="auto"/>
                    <w:ind w:left="0" w:leftChars="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c>
                <w:tcPr>
                  <w:tcW w:w="3149" w:type="pct"/>
                  <w:tcBorders>
                    <w:tl2br w:val="nil"/>
                    <w:tr2bl w:val="nil"/>
                  </w:tcBorders>
                  <w:noWrap w:val="0"/>
                  <w:vAlign w:val="center"/>
                </w:tcPr>
                <w:p w14:paraId="0527F806">
                  <w:pPr>
                    <w:pStyle w:val="16"/>
                    <w:keepNext w:val="0"/>
                    <w:keepLines w:val="0"/>
                    <w:suppressLineNumbers w:val="0"/>
                    <w:spacing w:before="0" w:beforeAutospacing="0" w:after="0" w:afterAutospacing="0" w:line="240" w:lineRule="auto"/>
                    <w:ind w:left="0" w:leftChars="0" w:right="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第五条 禁止新建、改建和扩建不符合全国港口布局规划，以及《四川省内河水运发展规划》、《泸州一宜宾一乐山港口群布局规划》、《重庆港总体规划(2035 年)》等省级港口布局规划及市级港口总体规划的码头项目。</w:t>
                  </w:r>
                </w:p>
              </w:tc>
              <w:tc>
                <w:tcPr>
                  <w:tcW w:w="1078" w:type="pct"/>
                  <w:tcBorders>
                    <w:tl2br w:val="nil"/>
                    <w:tr2bl w:val="nil"/>
                  </w:tcBorders>
                  <w:noWrap w:val="0"/>
                  <w:vAlign w:val="center"/>
                </w:tcPr>
                <w:p w14:paraId="18D01024">
                  <w:pPr>
                    <w:pStyle w:val="16"/>
                    <w:keepNext w:val="0"/>
                    <w:keepLines w:val="0"/>
                    <w:suppressLineNumbers w:val="0"/>
                    <w:spacing w:before="0" w:beforeAutospacing="0" w:after="0" w:afterAutospacing="0" w:line="240" w:lineRule="auto"/>
                    <w:ind w:left="0" w:leftChars="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本项目不属于码头和过长江通道项目。</w:t>
                  </w:r>
                </w:p>
              </w:tc>
              <w:tc>
                <w:tcPr>
                  <w:tcW w:w="400" w:type="pct"/>
                  <w:tcBorders>
                    <w:tl2br w:val="nil"/>
                    <w:tr2bl w:val="nil"/>
                  </w:tcBorders>
                  <w:noWrap w:val="0"/>
                  <w:vAlign w:val="center"/>
                </w:tcPr>
                <w:p w14:paraId="7C2C458E">
                  <w:pPr>
                    <w:pStyle w:val="16"/>
                    <w:keepNext w:val="0"/>
                    <w:keepLines w:val="0"/>
                    <w:suppressLineNumbers w:val="0"/>
                    <w:spacing w:before="0" w:beforeAutospacing="0" w:after="0" w:afterAutospacing="0" w:line="240" w:lineRule="auto"/>
                    <w:ind w:left="0" w:leftChars="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14:paraId="6154273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72" w:type="pct"/>
                  <w:tcBorders>
                    <w:tl2br w:val="nil"/>
                    <w:tr2bl w:val="nil"/>
                  </w:tcBorders>
                  <w:noWrap w:val="0"/>
                  <w:vAlign w:val="center"/>
                </w:tcPr>
                <w:p w14:paraId="3553B1C0">
                  <w:pPr>
                    <w:pStyle w:val="16"/>
                    <w:keepNext w:val="0"/>
                    <w:keepLines w:val="0"/>
                    <w:suppressLineNumbers w:val="0"/>
                    <w:spacing w:before="0" w:beforeAutospacing="0" w:after="0" w:afterAutospacing="0" w:line="240" w:lineRule="auto"/>
                    <w:ind w:left="0" w:leftChars="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w:t>
                  </w:r>
                </w:p>
              </w:tc>
              <w:tc>
                <w:tcPr>
                  <w:tcW w:w="3149" w:type="pct"/>
                  <w:tcBorders>
                    <w:tl2br w:val="nil"/>
                    <w:tr2bl w:val="nil"/>
                  </w:tcBorders>
                  <w:noWrap w:val="0"/>
                  <w:vAlign w:val="center"/>
                </w:tcPr>
                <w:p w14:paraId="3C5A920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第六条</w:t>
                  </w:r>
                  <w:r>
                    <w:rPr>
                      <w:rFonts w:hint="eastAsia" w:ascii="Times New Roman" w:hAnsi="Times New Roman" w:eastAsia="宋体" w:cs="Times New Roman"/>
                      <w:color w:val="auto"/>
                      <w:szCs w:val="21"/>
                    </w:rPr>
                    <w:t xml:space="preserve"> </w:t>
                  </w:r>
                  <w:r>
                    <w:rPr>
                      <w:rFonts w:hint="default" w:ascii="Times New Roman" w:hAnsi="Times New Roman" w:eastAsia="宋体" w:cs="Times New Roman"/>
                      <w:color w:val="auto"/>
                      <w:szCs w:val="21"/>
                    </w:rPr>
                    <w:t>禁止新建、改建和扩建不符合《长江干线过江通道布局规划(2020—2035年)》的过长江通道项目(含桥梁、隧道)，国家发展改革委同意过长江通道线位调整的除外。</w:t>
                  </w:r>
                </w:p>
              </w:tc>
              <w:tc>
                <w:tcPr>
                  <w:tcW w:w="1078" w:type="pct"/>
                  <w:tcBorders>
                    <w:tl2br w:val="nil"/>
                    <w:tr2bl w:val="nil"/>
                  </w:tcBorders>
                  <w:noWrap w:val="0"/>
                  <w:vAlign w:val="center"/>
                </w:tcPr>
                <w:p w14:paraId="039708A5">
                  <w:pPr>
                    <w:pStyle w:val="16"/>
                    <w:keepNext w:val="0"/>
                    <w:keepLines w:val="0"/>
                    <w:suppressLineNumbers w:val="0"/>
                    <w:spacing w:before="0" w:beforeAutospacing="0" w:after="0" w:afterAutospacing="0" w:line="240" w:lineRule="auto"/>
                    <w:ind w:left="0" w:leftChars="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本项目不属于过长江通道项目。</w:t>
                  </w:r>
                </w:p>
              </w:tc>
              <w:tc>
                <w:tcPr>
                  <w:tcW w:w="400" w:type="pct"/>
                  <w:tcBorders>
                    <w:tl2br w:val="nil"/>
                    <w:tr2bl w:val="nil"/>
                  </w:tcBorders>
                  <w:noWrap w:val="0"/>
                  <w:vAlign w:val="center"/>
                </w:tcPr>
                <w:p w14:paraId="2A2E87D2">
                  <w:pPr>
                    <w:pStyle w:val="16"/>
                    <w:keepNext w:val="0"/>
                    <w:keepLines w:val="0"/>
                    <w:suppressLineNumbers w:val="0"/>
                    <w:spacing w:before="0" w:beforeAutospacing="0" w:after="0" w:afterAutospacing="0" w:line="240" w:lineRule="auto"/>
                    <w:ind w:left="0" w:leftChars="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14:paraId="704433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72" w:type="pct"/>
                  <w:tcBorders>
                    <w:tl2br w:val="nil"/>
                    <w:tr2bl w:val="nil"/>
                  </w:tcBorders>
                  <w:noWrap w:val="0"/>
                  <w:vAlign w:val="center"/>
                </w:tcPr>
                <w:p w14:paraId="63B88180">
                  <w:pPr>
                    <w:pStyle w:val="16"/>
                    <w:keepNext w:val="0"/>
                    <w:keepLines w:val="0"/>
                    <w:suppressLineNumbers w:val="0"/>
                    <w:spacing w:before="0" w:beforeAutospacing="0" w:after="0" w:afterAutospacing="0" w:line="240" w:lineRule="auto"/>
                    <w:ind w:left="0" w:leftChars="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w:t>
                  </w:r>
                </w:p>
              </w:tc>
              <w:tc>
                <w:tcPr>
                  <w:tcW w:w="3149" w:type="pct"/>
                  <w:tcBorders>
                    <w:tl2br w:val="nil"/>
                    <w:tr2bl w:val="nil"/>
                  </w:tcBorders>
                  <w:noWrap w:val="0"/>
                  <w:vAlign w:val="center"/>
                </w:tcPr>
                <w:p w14:paraId="2FC9C23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第七条</w:t>
                  </w:r>
                  <w:r>
                    <w:rPr>
                      <w:rFonts w:hint="eastAsia" w:ascii="Times New Roman" w:hAnsi="Times New Roman" w:eastAsia="宋体" w:cs="Times New Roman"/>
                      <w:color w:val="auto"/>
                      <w:szCs w:val="21"/>
                    </w:rPr>
                    <w:t xml:space="preserve"> </w:t>
                  </w:r>
                  <w:r>
                    <w:rPr>
                      <w:rFonts w:hint="default" w:ascii="Times New Roman" w:hAnsi="Times New Roman" w:eastAsia="宋体" w:cs="Times New Roman"/>
                      <w:color w:val="auto"/>
                      <w:szCs w:val="21"/>
                    </w:rPr>
                    <w:t>禁止在自然保护区核心区、缓冲区的岸线和河段范围内投资建设旅游和生产经营项目。自然保护区的内部未分区的，依照核心区和缓冲区的规定管控。</w:t>
                  </w:r>
                </w:p>
              </w:tc>
              <w:tc>
                <w:tcPr>
                  <w:tcW w:w="1078" w:type="pct"/>
                  <w:tcBorders>
                    <w:tl2br w:val="nil"/>
                    <w:tr2bl w:val="nil"/>
                  </w:tcBorders>
                  <w:noWrap w:val="0"/>
                  <w:vAlign w:val="center"/>
                </w:tcPr>
                <w:p w14:paraId="2952AC33">
                  <w:pPr>
                    <w:pStyle w:val="16"/>
                    <w:keepNext w:val="0"/>
                    <w:keepLines w:val="0"/>
                    <w:suppressLineNumbers w:val="0"/>
                    <w:spacing w:before="0" w:beforeAutospacing="0" w:after="0" w:afterAutospacing="0" w:line="240" w:lineRule="auto"/>
                    <w:ind w:left="0" w:leftChars="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项目选址不在自然保护区核心区、缓冲区的岸线和河段范围内。</w:t>
                  </w:r>
                </w:p>
              </w:tc>
              <w:tc>
                <w:tcPr>
                  <w:tcW w:w="400" w:type="pct"/>
                  <w:tcBorders>
                    <w:tl2br w:val="nil"/>
                    <w:tr2bl w:val="nil"/>
                  </w:tcBorders>
                  <w:noWrap w:val="0"/>
                  <w:vAlign w:val="center"/>
                </w:tcPr>
                <w:p w14:paraId="09E9C61C">
                  <w:pPr>
                    <w:pStyle w:val="16"/>
                    <w:keepNext w:val="0"/>
                    <w:keepLines w:val="0"/>
                    <w:suppressLineNumbers w:val="0"/>
                    <w:spacing w:before="0" w:beforeAutospacing="0" w:after="0" w:afterAutospacing="0" w:line="240" w:lineRule="auto"/>
                    <w:ind w:left="0" w:leftChars="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14:paraId="0422E36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72" w:type="pct"/>
                  <w:tcBorders>
                    <w:tl2br w:val="nil"/>
                    <w:tr2bl w:val="nil"/>
                  </w:tcBorders>
                  <w:noWrap w:val="0"/>
                  <w:vAlign w:val="center"/>
                </w:tcPr>
                <w:p w14:paraId="532B4CDF">
                  <w:pPr>
                    <w:pStyle w:val="16"/>
                    <w:keepNext w:val="0"/>
                    <w:keepLines w:val="0"/>
                    <w:suppressLineNumbers w:val="0"/>
                    <w:spacing w:before="0" w:beforeAutospacing="0" w:after="0" w:afterAutospacing="0" w:line="240" w:lineRule="auto"/>
                    <w:ind w:left="0" w:leftChars="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w:t>
                  </w:r>
                </w:p>
              </w:tc>
              <w:tc>
                <w:tcPr>
                  <w:tcW w:w="3149" w:type="pct"/>
                  <w:tcBorders>
                    <w:tl2br w:val="nil"/>
                    <w:tr2bl w:val="nil"/>
                  </w:tcBorders>
                  <w:noWrap w:val="0"/>
                  <w:vAlign w:val="center"/>
                </w:tcPr>
                <w:p w14:paraId="2CF6959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第八条</w:t>
                  </w:r>
                  <w:r>
                    <w:rPr>
                      <w:rFonts w:hint="eastAsia" w:ascii="Times New Roman" w:hAnsi="Times New Roman" w:eastAsia="宋体" w:cs="Times New Roman"/>
                      <w:color w:val="auto"/>
                      <w:szCs w:val="21"/>
                    </w:rPr>
                    <w:t xml:space="preserve"> </w:t>
                  </w:r>
                  <w:r>
                    <w:rPr>
                      <w:rFonts w:hint="default" w:ascii="Times New Roman" w:hAnsi="Times New Roman" w:eastAsia="宋体" w:cs="Times New Roman"/>
                      <w:color w:val="auto"/>
                      <w:szCs w:val="21"/>
                    </w:rPr>
                    <w:t>禁止违反风景名胜区规划，在风景名胜区内设立各类开发区。禁止在风景名胜区核心景区的岸线和河段范围内建设宾馆、招待所、培训中心、疗养院以及与风景名胜资源保护无关的项目。</w:t>
                  </w:r>
                </w:p>
              </w:tc>
              <w:tc>
                <w:tcPr>
                  <w:tcW w:w="1078" w:type="pct"/>
                  <w:tcBorders>
                    <w:tl2br w:val="nil"/>
                    <w:tr2bl w:val="nil"/>
                  </w:tcBorders>
                  <w:noWrap w:val="0"/>
                  <w:vAlign w:val="center"/>
                </w:tcPr>
                <w:p w14:paraId="584E2DE3">
                  <w:pPr>
                    <w:pStyle w:val="16"/>
                    <w:keepNext w:val="0"/>
                    <w:keepLines w:val="0"/>
                    <w:suppressLineNumbers w:val="0"/>
                    <w:spacing w:before="0" w:beforeAutospacing="0" w:after="0" w:afterAutospacing="0" w:line="240" w:lineRule="auto"/>
                    <w:ind w:left="0" w:leftChars="0" w:right="0"/>
                    <w:jc w:val="center"/>
                    <w:rPr>
                      <w:rFonts w:hint="eastAsia" w:ascii="Times New Roman" w:hAnsi="Times New Roman" w:eastAsia="宋体" w:cs="Times New Roman"/>
                      <w:color w:val="auto"/>
                      <w:szCs w:val="21"/>
                    </w:rPr>
                  </w:pPr>
                  <w:r>
                    <w:rPr>
                      <w:rFonts w:hint="default" w:ascii="Times New Roman" w:hAnsi="Times New Roman" w:eastAsia="宋体" w:cs="Times New Roman"/>
                      <w:color w:val="auto"/>
                      <w:szCs w:val="21"/>
                    </w:rPr>
                    <w:t>项目选址不在</w:t>
                  </w:r>
                  <w:r>
                    <w:rPr>
                      <w:rFonts w:hint="eastAsia" w:ascii="Times New Roman" w:hAnsi="Times New Roman" w:eastAsia="宋体" w:cs="Times New Roman"/>
                      <w:color w:val="auto"/>
                      <w:szCs w:val="21"/>
                    </w:rPr>
                    <w:t>风景名胜区核心景区的岸线和河段范围内。</w:t>
                  </w:r>
                </w:p>
              </w:tc>
              <w:tc>
                <w:tcPr>
                  <w:tcW w:w="400" w:type="pct"/>
                  <w:tcBorders>
                    <w:tl2br w:val="nil"/>
                    <w:tr2bl w:val="nil"/>
                  </w:tcBorders>
                  <w:noWrap w:val="0"/>
                  <w:vAlign w:val="center"/>
                </w:tcPr>
                <w:p w14:paraId="42BCFEBA">
                  <w:pPr>
                    <w:pStyle w:val="16"/>
                    <w:keepNext w:val="0"/>
                    <w:keepLines w:val="0"/>
                    <w:suppressLineNumbers w:val="0"/>
                    <w:spacing w:before="0" w:beforeAutospacing="0" w:after="0" w:afterAutospacing="0" w:line="240" w:lineRule="auto"/>
                    <w:ind w:left="0" w:leftChars="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14:paraId="5333545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42" w:hRule="atLeast"/>
              </w:trPr>
              <w:tc>
                <w:tcPr>
                  <w:tcW w:w="372" w:type="pct"/>
                  <w:tcBorders>
                    <w:tl2br w:val="nil"/>
                    <w:tr2bl w:val="nil"/>
                  </w:tcBorders>
                  <w:noWrap w:val="0"/>
                  <w:vAlign w:val="center"/>
                </w:tcPr>
                <w:p w14:paraId="08886546">
                  <w:pPr>
                    <w:pStyle w:val="16"/>
                    <w:keepNext w:val="0"/>
                    <w:keepLines w:val="0"/>
                    <w:suppressLineNumbers w:val="0"/>
                    <w:spacing w:before="0" w:beforeAutospacing="0" w:after="0" w:afterAutospacing="0" w:line="240" w:lineRule="auto"/>
                    <w:ind w:left="0" w:leftChars="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w:t>
                  </w:r>
                </w:p>
              </w:tc>
              <w:tc>
                <w:tcPr>
                  <w:tcW w:w="3149" w:type="pct"/>
                  <w:tcBorders>
                    <w:tl2br w:val="nil"/>
                    <w:tr2bl w:val="nil"/>
                  </w:tcBorders>
                  <w:noWrap w:val="0"/>
                  <w:vAlign w:val="center"/>
                </w:tcPr>
                <w:p w14:paraId="4EC038F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第九条</w:t>
                  </w:r>
                  <w:r>
                    <w:rPr>
                      <w:rFonts w:hint="eastAsia" w:ascii="Times New Roman" w:hAnsi="Times New Roman" w:eastAsia="宋体" w:cs="Times New Roman"/>
                      <w:color w:val="auto"/>
                      <w:szCs w:val="21"/>
                    </w:rPr>
                    <w:t xml:space="preserve"> </w:t>
                  </w:r>
                  <w:r>
                    <w:rPr>
                      <w:rFonts w:hint="default" w:ascii="Times New Roman" w:hAnsi="Times New Roman" w:eastAsia="宋体" w:cs="Times New Roman"/>
                      <w:color w:val="auto"/>
                      <w:szCs w:val="21"/>
                    </w:rPr>
                    <w:t>禁止在饮用水水源准保护区的岸线和河段范围内新建、扩建对水体污染严重的建设项目，禁止改建增加排污量的建设项目。</w:t>
                  </w:r>
                </w:p>
              </w:tc>
              <w:tc>
                <w:tcPr>
                  <w:tcW w:w="1078" w:type="pct"/>
                  <w:tcBorders>
                    <w:tl2br w:val="nil"/>
                    <w:tr2bl w:val="nil"/>
                  </w:tcBorders>
                  <w:noWrap w:val="0"/>
                  <w:vAlign w:val="center"/>
                </w:tcPr>
                <w:p w14:paraId="6DA7F613">
                  <w:pPr>
                    <w:pStyle w:val="16"/>
                    <w:keepNext w:val="0"/>
                    <w:keepLines w:val="0"/>
                    <w:suppressLineNumbers w:val="0"/>
                    <w:spacing w:before="0" w:beforeAutospacing="0" w:after="0" w:afterAutospacing="0" w:line="240" w:lineRule="auto"/>
                    <w:ind w:left="0" w:leftChars="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项目选址不在饮用水水源准保护区的岸线和河段范围内。</w:t>
                  </w:r>
                </w:p>
              </w:tc>
              <w:tc>
                <w:tcPr>
                  <w:tcW w:w="400" w:type="pct"/>
                  <w:tcBorders>
                    <w:tl2br w:val="nil"/>
                    <w:tr2bl w:val="nil"/>
                  </w:tcBorders>
                  <w:noWrap w:val="0"/>
                  <w:vAlign w:val="center"/>
                </w:tcPr>
                <w:p w14:paraId="21CB84B2">
                  <w:pPr>
                    <w:pStyle w:val="16"/>
                    <w:keepNext w:val="0"/>
                    <w:keepLines w:val="0"/>
                    <w:suppressLineNumbers w:val="0"/>
                    <w:spacing w:before="0" w:beforeAutospacing="0" w:after="0" w:afterAutospacing="0" w:line="240" w:lineRule="auto"/>
                    <w:ind w:left="0" w:leftChars="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14:paraId="2B3A627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72" w:type="pct"/>
                  <w:tcBorders>
                    <w:tl2br w:val="nil"/>
                    <w:tr2bl w:val="nil"/>
                  </w:tcBorders>
                  <w:noWrap w:val="0"/>
                  <w:vAlign w:val="center"/>
                </w:tcPr>
                <w:p w14:paraId="12EF046E">
                  <w:pPr>
                    <w:pStyle w:val="16"/>
                    <w:keepNext w:val="0"/>
                    <w:keepLines w:val="0"/>
                    <w:suppressLineNumbers w:val="0"/>
                    <w:spacing w:before="0" w:beforeAutospacing="0" w:after="0" w:afterAutospacing="0" w:line="240" w:lineRule="auto"/>
                    <w:ind w:left="0" w:leftChars="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w:t>
                  </w:r>
                </w:p>
              </w:tc>
              <w:tc>
                <w:tcPr>
                  <w:tcW w:w="3149" w:type="pct"/>
                  <w:tcBorders>
                    <w:tl2br w:val="nil"/>
                    <w:tr2bl w:val="nil"/>
                  </w:tcBorders>
                  <w:noWrap w:val="0"/>
                  <w:vAlign w:val="center"/>
                </w:tcPr>
                <w:p w14:paraId="1D591A9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第十条</w:t>
                  </w:r>
                  <w:r>
                    <w:rPr>
                      <w:rFonts w:hint="eastAsia" w:ascii="Times New Roman" w:hAnsi="Times New Roman" w:eastAsia="宋体" w:cs="Times New Roman"/>
                      <w:color w:val="auto"/>
                      <w:szCs w:val="21"/>
                    </w:rPr>
                    <w:t xml:space="preserve"> </w:t>
                  </w:r>
                  <w:r>
                    <w:rPr>
                      <w:rFonts w:hint="default" w:ascii="Times New Roman" w:hAnsi="Times New Roman" w:eastAsia="宋体" w:cs="Times New Roman"/>
                      <w:color w:val="auto"/>
                      <w:szCs w:val="21"/>
                    </w:rPr>
                    <w:t>饮用水水源二级保护区的岸线和河段范围内，除遵守准保护区规定外，禁止新建、改建、扩建排放污染物的投资建设项目；禁止从事对水体有污染的水产养殖等活动。</w:t>
                  </w:r>
                </w:p>
              </w:tc>
              <w:tc>
                <w:tcPr>
                  <w:tcW w:w="1078" w:type="pct"/>
                  <w:tcBorders>
                    <w:tl2br w:val="nil"/>
                    <w:tr2bl w:val="nil"/>
                  </w:tcBorders>
                  <w:noWrap w:val="0"/>
                  <w:vAlign w:val="center"/>
                </w:tcPr>
                <w:p w14:paraId="3ED635E1">
                  <w:pPr>
                    <w:pStyle w:val="16"/>
                    <w:keepNext w:val="0"/>
                    <w:keepLines w:val="0"/>
                    <w:suppressLineNumbers w:val="0"/>
                    <w:spacing w:before="0" w:beforeAutospacing="0" w:after="0" w:afterAutospacing="0" w:line="240" w:lineRule="auto"/>
                    <w:ind w:left="0" w:leftChars="0" w:right="0"/>
                    <w:jc w:val="center"/>
                    <w:rPr>
                      <w:rFonts w:hint="eastAsia" w:ascii="Times New Roman" w:hAnsi="Times New Roman" w:eastAsia="宋体" w:cs="Times New Roman"/>
                      <w:color w:val="auto"/>
                      <w:szCs w:val="21"/>
                    </w:rPr>
                  </w:pPr>
                  <w:r>
                    <w:rPr>
                      <w:rFonts w:hint="default" w:ascii="Times New Roman" w:hAnsi="Times New Roman" w:eastAsia="宋体" w:cs="Times New Roman"/>
                      <w:color w:val="auto"/>
                      <w:szCs w:val="21"/>
                    </w:rPr>
                    <w:t>项目</w:t>
                  </w:r>
                  <w:r>
                    <w:rPr>
                      <w:rFonts w:hint="eastAsia" w:ascii="Times New Roman" w:hAnsi="Times New Roman" w:eastAsia="宋体" w:cs="Times New Roman"/>
                      <w:color w:val="auto"/>
                      <w:szCs w:val="21"/>
                    </w:rPr>
                    <w:t>选址不在</w:t>
                  </w:r>
                  <w:r>
                    <w:rPr>
                      <w:rFonts w:hint="default" w:ascii="Times New Roman" w:hAnsi="Times New Roman" w:eastAsia="宋体" w:cs="Times New Roman"/>
                      <w:color w:val="auto"/>
                      <w:szCs w:val="21"/>
                    </w:rPr>
                    <w:t>饮用水水源二级保护区的岸线和河段范围内</w:t>
                  </w:r>
                  <w:r>
                    <w:rPr>
                      <w:rFonts w:hint="eastAsia" w:ascii="Times New Roman" w:hAnsi="Times New Roman" w:eastAsia="宋体" w:cs="Times New Roman"/>
                      <w:color w:val="auto"/>
                      <w:szCs w:val="21"/>
                    </w:rPr>
                    <w:t>。</w:t>
                  </w:r>
                </w:p>
              </w:tc>
              <w:tc>
                <w:tcPr>
                  <w:tcW w:w="400" w:type="pct"/>
                  <w:tcBorders>
                    <w:tl2br w:val="nil"/>
                    <w:tr2bl w:val="nil"/>
                  </w:tcBorders>
                  <w:noWrap w:val="0"/>
                  <w:vAlign w:val="center"/>
                </w:tcPr>
                <w:p w14:paraId="1BCB2569">
                  <w:pPr>
                    <w:pStyle w:val="16"/>
                    <w:keepNext w:val="0"/>
                    <w:keepLines w:val="0"/>
                    <w:suppressLineNumbers w:val="0"/>
                    <w:spacing w:before="0" w:beforeAutospacing="0" w:after="0" w:afterAutospacing="0" w:line="240" w:lineRule="auto"/>
                    <w:ind w:left="0" w:leftChars="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14:paraId="75AF8DC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72" w:type="pct"/>
                  <w:tcBorders>
                    <w:tl2br w:val="nil"/>
                    <w:tr2bl w:val="nil"/>
                  </w:tcBorders>
                  <w:noWrap w:val="0"/>
                  <w:vAlign w:val="center"/>
                </w:tcPr>
                <w:p w14:paraId="191730DB">
                  <w:pPr>
                    <w:pStyle w:val="16"/>
                    <w:keepNext w:val="0"/>
                    <w:keepLines w:val="0"/>
                    <w:suppressLineNumbers w:val="0"/>
                    <w:spacing w:before="0" w:beforeAutospacing="0" w:after="0" w:afterAutospacing="0" w:line="240" w:lineRule="auto"/>
                    <w:ind w:left="0" w:leftChars="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7</w:t>
                  </w:r>
                </w:p>
              </w:tc>
              <w:tc>
                <w:tcPr>
                  <w:tcW w:w="3149" w:type="pct"/>
                  <w:tcBorders>
                    <w:tl2br w:val="nil"/>
                    <w:tr2bl w:val="nil"/>
                  </w:tcBorders>
                  <w:noWrap w:val="0"/>
                  <w:vAlign w:val="center"/>
                </w:tcPr>
                <w:p w14:paraId="6EA9647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第十一条</w:t>
                  </w:r>
                  <w:r>
                    <w:rPr>
                      <w:rFonts w:hint="eastAsia" w:ascii="Times New Roman" w:hAnsi="Times New Roman" w:eastAsia="宋体" w:cs="Times New Roman"/>
                      <w:color w:val="auto"/>
                      <w:szCs w:val="21"/>
                    </w:rPr>
                    <w:t xml:space="preserve"> </w:t>
                  </w:r>
                  <w:r>
                    <w:rPr>
                      <w:rFonts w:hint="default" w:ascii="Times New Roman" w:hAnsi="Times New Roman" w:eastAsia="宋体" w:cs="Times New Roman"/>
                      <w:color w:val="auto"/>
                      <w:szCs w:val="21"/>
                    </w:rPr>
                    <w:t>饮用水水源一级保护区的岸线和河段范围内，除遵守二级保护区规定外，禁止新建、改建、扩建与供水设施和保护水源无</w:t>
                  </w:r>
                  <w:r>
                    <w:rPr>
                      <w:rFonts w:hint="eastAsia" w:ascii="Times New Roman" w:hAnsi="Times New Roman" w:eastAsia="宋体" w:cs="Times New Roman"/>
                      <w:color w:val="auto"/>
                      <w:szCs w:val="21"/>
                    </w:rPr>
                    <w:t>关的项目，以及网箱养殖、畜禽养殖、旅游等可能污染饮用水水体的投资建设项目。</w:t>
                  </w:r>
                </w:p>
              </w:tc>
              <w:tc>
                <w:tcPr>
                  <w:tcW w:w="1078" w:type="pct"/>
                  <w:tcBorders>
                    <w:tl2br w:val="nil"/>
                    <w:tr2bl w:val="nil"/>
                  </w:tcBorders>
                  <w:noWrap w:val="0"/>
                  <w:vAlign w:val="center"/>
                </w:tcPr>
                <w:p w14:paraId="1212D7A6">
                  <w:pPr>
                    <w:pStyle w:val="16"/>
                    <w:keepNext w:val="0"/>
                    <w:keepLines w:val="0"/>
                    <w:suppressLineNumbers w:val="0"/>
                    <w:spacing w:before="0" w:beforeAutospacing="0" w:after="0" w:afterAutospacing="0" w:line="240" w:lineRule="auto"/>
                    <w:ind w:left="0" w:leftChars="0" w:right="0"/>
                    <w:jc w:val="center"/>
                    <w:rPr>
                      <w:rFonts w:hint="eastAsia" w:ascii="Times New Roman" w:hAnsi="Times New Roman" w:eastAsia="宋体" w:cs="Times New Roman"/>
                      <w:color w:val="auto"/>
                      <w:szCs w:val="21"/>
                    </w:rPr>
                  </w:pPr>
                  <w:r>
                    <w:rPr>
                      <w:rFonts w:hint="default" w:ascii="Times New Roman" w:hAnsi="Times New Roman" w:eastAsia="宋体" w:cs="Times New Roman"/>
                      <w:color w:val="auto"/>
                      <w:szCs w:val="21"/>
                    </w:rPr>
                    <w:t>本项目</w:t>
                  </w:r>
                  <w:r>
                    <w:rPr>
                      <w:rFonts w:hint="eastAsia" w:ascii="Times New Roman" w:hAnsi="Times New Roman" w:eastAsia="宋体" w:cs="Times New Roman"/>
                      <w:color w:val="auto"/>
                      <w:szCs w:val="21"/>
                    </w:rPr>
                    <w:t>选址不在</w:t>
                  </w:r>
                  <w:r>
                    <w:rPr>
                      <w:rFonts w:hint="default" w:ascii="Times New Roman" w:hAnsi="Times New Roman" w:eastAsia="宋体" w:cs="Times New Roman"/>
                      <w:color w:val="auto"/>
                      <w:szCs w:val="21"/>
                    </w:rPr>
                    <w:t>饮用水水源一级保护区的岸线和河段范围内</w:t>
                  </w:r>
                  <w:r>
                    <w:rPr>
                      <w:rFonts w:hint="eastAsia" w:ascii="Times New Roman" w:hAnsi="Times New Roman" w:eastAsia="宋体" w:cs="Times New Roman"/>
                      <w:color w:val="auto"/>
                      <w:szCs w:val="21"/>
                    </w:rPr>
                    <w:t>。</w:t>
                  </w:r>
                </w:p>
              </w:tc>
              <w:tc>
                <w:tcPr>
                  <w:tcW w:w="400" w:type="pct"/>
                  <w:tcBorders>
                    <w:tl2br w:val="nil"/>
                    <w:tr2bl w:val="nil"/>
                  </w:tcBorders>
                  <w:noWrap w:val="0"/>
                  <w:vAlign w:val="center"/>
                </w:tcPr>
                <w:p w14:paraId="7A4C2A55">
                  <w:pPr>
                    <w:pStyle w:val="16"/>
                    <w:keepNext w:val="0"/>
                    <w:keepLines w:val="0"/>
                    <w:suppressLineNumbers w:val="0"/>
                    <w:spacing w:before="0" w:beforeAutospacing="0" w:after="0" w:afterAutospacing="0" w:line="240" w:lineRule="auto"/>
                    <w:ind w:left="0" w:leftChars="0" w:right="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符合</w:t>
                  </w:r>
                </w:p>
              </w:tc>
            </w:tr>
            <w:tr w14:paraId="413A951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72" w:type="pct"/>
                  <w:tcBorders>
                    <w:tl2br w:val="nil"/>
                    <w:tr2bl w:val="nil"/>
                  </w:tcBorders>
                  <w:noWrap w:val="0"/>
                  <w:vAlign w:val="center"/>
                </w:tcPr>
                <w:p w14:paraId="64F5D4C6">
                  <w:pPr>
                    <w:pStyle w:val="16"/>
                    <w:keepNext w:val="0"/>
                    <w:keepLines w:val="0"/>
                    <w:suppressLineNumbers w:val="0"/>
                    <w:spacing w:before="0" w:beforeAutospacing="0" w:after="0" w:afterAutospacing="0" w:line="240" w:lineRule="auto"/>
                    <w:ind w:left="0" w:leftChars="0" w:right="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8</w:t>
                  </w:r>
                </w:p>
              </w:tc>
              <w:tc>
                <w:tcPr>
                  <w:tcW w:w="3149" w:type="pct"/>
                  <w:tcBorders>
                    <w:tl2br w:val="nil"/>
                    <w:tr2bl w:val="nil"/>
                  </w:tcBorders>
                  <w:noWrap w:val="0"/>
                  <w:vAlign w:val="center"/>
                </w:tcPr>
                <w:p w14:paraId="376358F5">
                  <w:pPr>
                    <w:pStyle w:val="16"/>
                    <w:keepNext w:val="0"/>
                    <w:keepLines w:val="0"/>
                    <w:suppressLineNumbers w:val="0"/>
                    <w:spacing w:before="0" w:beforeAutospacing="0" w:after="0" w:afterAutospacing="0" w:line="240" w:lineRule="auto"/>
                    <w:ind w:left="0" w:leftChars="0" w:right="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第十二条 禁止在水产种质资源保护区岸线和河段范围内新建围湖造田、围湖造地或挖沙采石等投资建设项目。</w:t>
                  </w:r>
                </w:p>
              </w:tc>
              <w:tc>
                <w:tcPr>
                  <w:tcW w:w="1078" w:type="pct"/>
                  <w:tcBorders>
                    <w:tl2br w:val="nil"/>
                    <w:tr2bl w:val="nil"/>
                  </w:tcBorders>
                  <w:noWrap w:val="0"/>
                  <w:vAlign w:val="center"/>
                </w:tcPr>
                <w:p w14:paraId="271A8BDC">
                  <w:pPr>
                    <w:pStyle w:val="16"/>
                    <w:keepNext w:val="0"/>
                    <w:keepLines w:val="0"/>
                    <w:suppressLineNumbers w:val="0"/>
                    <w:spacing w:before="0" w:beforeAutospacing="0" w:after="0" w:afterAutospacing="0" w:line="240" w:lineRule="auto"/>
                    <w:ind w:left="0" w:leftChars="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项目选址不在水产种质资源保护区岸线和河段范围内。</w:t>
                  </w:r>
                </w:p>
              </w:tc>
              <w:tc>
                <w:tcPr>
                  <w:tcW w:w="400" w:type="pct"/>
                  <w:tcBorders>
                    <w:tl2br w:val="nil"/>
                    <w:tr2bl w:val="nil"/>
                  </w:tcBorders>
                  <w:noWrap w:val="0"/>
                  <w:vAlign w:val="center"/>
                </w:tcPr>
                <w:p w14:paraId="0BB8A11F">
                  <w:pPr>
                    <w:pStyle w:val="16"/>
                    <w:keepNext w:val="0"/>
                    <w:keepLines w:val="0"/>
                    <w:suppressLineNumbers w:val="0"/>
                    <w:spacing w:before="0" w:beforeAutospacing="0" w:after="0" w:afterAutospacing="0" w:line="240" w:lineRule="auto"/>
                    <w:ind w:left="0" w:leftChars="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14:paraId="09921ED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72" w:type="pct"/>
                  <w:tcBorders>
                    <w:tl2br w:val="nil"/>
                    <w:tr2bl w:val="nil"/>
                  </w:tcBorders>
                  <w:noWrap w:val="0"/>
                  <w:vAlign w:val="center"/>
                </w:tcPr>
                <w:p w14:paraId="6E548EC4">
                  <w:pPr>
                    <w:pStyle w:val="16"/>
                    <w:keepNext w:val="0"/>
                    <w:keepLines w:val="0"/>
                    <w:suppressLineNumbers w:val="0"/>
                    <w:spacing w:before="0" w:beforeAutospacing="0" w:after="0" w:afterAutospacing="0" w:line="240" w:lineRule="auto"/>
                    <w:ind w:left="0" w:leftChars="0" w:right="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9</w:t>
                  </w:r>
                </w:p>
              </w:tc>
              <w:tc>
                <w:tcPr>
                  <w:tcW w:w="3149" w:type="pct"/>
                  <w:tcBorders>
                    <w:tl2br w:val="nil"/>
                    <w:tr2bl w:val="nil"/>
                  </w:tcBorders>
                  <w:noWrap w:val="0"/>
                  <w:vAlign w:val="center"/>
                </w:tcPr>
                <w:p w14:paraId="1A2ECC26">
                  <w:pPr>
                    <w:pStyle w:val="16"/>
                    <w:keepNext w:val="0"/>
                    <w:keepLines w:val="0"/>
                    <w:suppressLineNumbers w:val="0"/>
                    <w:spacing w:before="0" w:beforeAutospacing="0" w:after="0" w:afterAutospacing="0" w:line="240" w:lineRule="auto"/>
                    <w:ind w:left="0" w:leftChars="0" w:right="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第十三条 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迁徙通道、鱼类洄游通道。</w:t>
                  </w:r>
                </w:p>
              </w:tc>
              <w:tc>
                <w:tcPr>
                  <w:tcW w:w="1078" w:type="pct"/>
                  <w:tcBorders>
                    <w:tl2br w:val="nil"/>
                    <w:tr2bl w:val="nil"/>
                  </w:tcBorders>
                  <w:noWrap w:val="0"/>
                  <w:vAlign w:val="center"/>
                </w:tcPr>
                <w:p w14:paraId="2D69AD41">
                  <w:pPr>
                    <w:pStyle w:val="16"/>
                    <w:keepNext w:val="0"/>
                    <w:keepLines w:val="0"/>
                    <w:suppressLineNumbers w:val="0"/>
                    <w:spacing w:before="0" w:beforeAutospacing="0" w:after="0" w:afterAutospacing="0" w:line="240" w:lineRule="auto"/>
                    <w:ind w:left="0" w:leftChars="0" w:right="0"/>
                    <w:jc w:val="center"/>
                    <w:rPr>
                      <w:rFonts w:hint="eastAsia" w:ascii="Times New Roman" w:hAnsi="Times New Roman" w:eastAsia="宋体" w:cs="Times New Roman"/>
                      <w:color w:val="auto"/>
                      <w:szCs w:val="21"/>
                    </w:rPr>
                  </w:pPr>
                  <w:r>
                    <w:rPr>
                      <w:rFonts w:hint="default" w:ascii="Times New Roman" w:hAnsi="Times New Roman" w:eastAsia="宋体" w:cs="Times New Roman"/>
                      <w:color w:val="auto"/>
                      <w:szCs w:val="21"/>
                    </w:rPr>
                    <w:t>项目</w:t>
                  </w:r>
                  <w:r>
                    <w:rPr>
                      <w:rFonts w:hint="eastAsia" w:cs="Times New Roman"/>
                      <w:color w:val="auto"/>
                      <w:szCs w:val="21"/>
                      <w:lang w:val="en-US" w:eastAsia="zh-CN"/>
                    </w:rPr>
                    <w:t>租赁闲置的工矿用地进行建设</w:t>
                  </w:r>
                  <w:r>
                    <w:rPr>
                      <w:rFonts w:hint="eastAsia" w:ascii="Times New Roman" w:hAnsi="Times New Roman" w:eastAsia="宋体" w:cs="Times New Roman"/>
                      <w:color w:val="auto"/>
                      <w:szCs w:val="21"/>
                    </w:rPr>
                    <w:t>，不在国家湿地公园的岸线和河段范围内。</w:t>
                  </w:r>
                </w:p>
              </w:tc>
              <w:tc>
                <w:tcPr>
                  <w:tcW w:w="400" w:type="pct"/>
                  <w:tcBorders>
                    <w:tl2br w:val="nil"/>
                    <w:tr2bl w:val="nil"/>
                  </w:tcBorders>
                  <w:noWrap w:val="0"/>
                  <w:vAlign w:val="center"/>
                </w:tcPr>
                <w:p w14:paraId="477C592B">
                  <w:pPr>
                    <w:pStyle w:val="16"/>
                    <w:keepNext w:val="0"/>
                    <w:keepLines w:val="0"/>
                    <w:suppressLineNumbers w:val="0"/>
                    <w:spacing w:before="0" w:beforeAutospacing="0" w:after="0" w:afterAutospacing="0" w:line="240" w:lineRule="auto"/>
                    <w:ind w:left="0" w:leftChars="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14:paraId="1258BE6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72" w:type="pct"/>
                  <w:tcBorders>
                    <w:tl2br w:val="nil"/>
                    <w:tr2bl w:val="nil"/>
                  </w:tcBorders>
                  <w:noWrap w:val="0"/>
                  <w:vAlign w:val="center"/>
                </w:tcPr>
                <w:p w14:paraId="084908F7">
                  <w:pPr>
                    <w:pStyle w:val="16"/>
                    <w:keepNext w:val="0"/>
                    <w:keepLines w:val="0"/>
                    <w:suppressLineNumbers w:val="0"/>
                    <w:spacing w:before="0" w:beforeAutospacing="0" w:after="0" w:afterAutospacing="0" w:line="240" w:lineRule="auto"/>
                    <w:ind w:left="0" w:leftChars="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10</w:t>
                  </w:r>
                </w:p>
              </w:tc>
              <w:tc>
                <w:tcPr>
                  <w:tcW w:w="3149" w:type="pct"/>
                  <w:tcBorders>
                    <w:tl2br w:val="nil"/>
                    <w:tr2bl w:val="nil"/>
                  </w:tcBorders>
                  <w:noWrap w:val="0"/>
                  <w:vAlign w:val="center"/>
                </w:tcPr>
                <w:p w14:paraId="3F8A0654">
                  <w:pPr>
                    <w:pStyle w:val="16"/>
                    <w:keepNext w:val="0"/>
                    <w:keepLines w:val="0"/>
                    <w:suppressLineNumbers w:val="0"/>
                    <w:spacing w:before="0" w:beforeAutospacing="0" w:after="0" w:afterAutospacing="0" w:line="240" w:lineRule="auto"/>
                    <w:ind w:left="0" w:leftChars="0" w:right="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第十四条 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1078" w:type="pct"/>
                  <w:tcBorders>
                    <w:tl2br w:val="nil"/>
                    <w:tr2bl w:val="nil"/>
                  </w:tcBorders>
                  <w:noWrap w:val="0"/>
                  <w:vAlign w:val="center"/>
                </w:tcPr>
                <w:p w14:paraId="6B6C521E">
                  <w:pPr>
                    <w:pStyle w:val="16"/>
                    <w:keepNext w:val="0"/>
                    <w:keepLines w:val="0"/>
                    <w:suppressLineNumbers w:val="0"/>
                    <w:spacing w:before="0" w:beforeAutospacing="0" w:after="0" w:afterAutospacing="0" w:line="240" w:lineRule="auto"/>
                    <w:ind w:left="0" w:leftChars="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项目不利用或占用长江流域河湖岸线。</w:t>
                  </w:r>
                </w:p>
              </w:tc>
              <w:tc>
                <w:tcPr>
                  <w:tcW w:w="400" w:type="pct"/>
                  <w:tcBorders>
                    <w:tl2br w:val="nil"/>
                    <w:tr2bl w:val="nil"/>
                  </w:tcBorders>
                  <w:noWrap w:val="0"/>
                  <w:vAlign w:val="center"/>
                </w:tcPr>
                <w:p w14:paraId="74B86A6C">
                  <w:pPr>
                    <w:pStyle w:val="16"/>
                    <w:keepNext w:val="0"/>
                    <w:keepLines w:val="0"/>
                    <w:suppressLineNumbers w:val="0"/>
                    <w:spacing w:before="0" w:beforeAutospacing="0" w:after="0" w:afterAutospacing="0" w:line="240" w:lineRule="auto"/>
                    <w:ind w:left="0" w:leftChars="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14:paraId="7294E53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72" w:type="pct"/>
                  <w:tcBorders>
                    <w:tl2br w:val="nil"/>
                    <w:tr2bl w:val="nil"/>
                  </w:tcBorders>
                  <w:noWrap w:val="0"/>
                  <w:vAlign w:val="center"/>
                </w:tcPr>
                <w:p w14:paraId="1EE44461">
                  <w:pPr>
                    <w:pStyle w:val="16"/>
                    <w:keepNext w:val="0"/>
                    <w:keepLines w:val="0"/>
                    <w:suppressLineNumbers w:val="0"/>
                    <w:spacing w:before="0" w:beforeAutospacing="0" w:after="0" w:afterAutospacing="0" w:line="240" w:lineRule="auto"/>
                    <w:ind w:left="0" w:leftChars="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11</w:t>
                  </w:r>
                </w:p>
              </w:tc>
              <w:tc>
                <w:tcPr>
                  <w:tcW w:w="3149" w:type="pct"/>
                  <w:tcBorders>
                    <w:tl2br w:val="nil"/>
                    <w:tr2bl w:val="nil"/>
                  </w:tcBorders>
                  <w:noWrap w:val="0"/>
                  <w:vAlign w:val="center"/>
                </w:tcPr>
                <w:p w14:paraId="68C32E00">
                  <w:pPr>
                    <w:pStyle w:val="16"/>
                    <w:keepNext w:val="0"/>
                    <w:keepLines w:val="0"/>
                    <w:suppressLineNumbers w:val="0"/>
                    <w:spacing w:before="0" w:beforeAutospacing="0" w:after="0" w:afterAutospacing="0" w:line="240" w:lineRule="auto"/>
                    <w:ind w:left="0" w:leftChars="0" w:right="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第十五条 禁止在《全国重要江河湖泊水功能区划》划定的河段及湖泊保护区、保留区内投资建设不利于水资源及自然生态保护的项目。</w:t>
                  </w:r>
                </w:p>
              </w:tc>
              <w:tc>
                <w:tcPr>
                  <w:tcW w:w="1078" w:type="pct"/>
                  <w:tcBorders>
                    <w:tl2br w:val="nil"/>
                    <w:tr2bl w:val="nil"/>
                  </w:tcBorders>
                  <w:noWrap w:val="0"/>
                  <w:vAlign w:val="center"/>
                </w:tcPr>
                <w:p w14:paraId="1B134439">
                  <w:pPr>
                    <w:pStyle w:val="16"/>
                    <w:keepNext w:val="0"/>
                    <w:keepLines w:val="0"/>
                    <w:suppressLineNumbers w:val="0"/>
                    <w:spacing w:before="0" w:beforeAutospacing="0" w:after="0" w:afterAutospacing="0" w:line="240" w:lineRule="auto"/>
                    <w:ind w:left="0" w:leftChars="0" w:right="0"/>
                    <w:jc w:val="center"/>
                    <w:rPr>
                      <w:rFonts w:hint="eastAsia" w:ascii="Times New Roman" w:hAnsi="Times New Roman" w:eastAsia="宋体" w:cs="Times New Roman"/>
                      <w:color w:val="auto"/>
                      <w:szCs w:val="21"/>
                    </w:rPr>
                  </w:pPr>
                  <w:r>
                    <w:rPr>
                      <w:rFonts w:hint="default" w:ascii="Times New Roman" w:hAnsi="Times New Roman" w:eastAsia="宋体" w:cs="Times New Roman"/>
                      <w:color w:val="auto"/>
                      <w:szCs w:val="21"/>
                    </w:rPr>
                    <w:t>项目不</w:t>
                  </w:r>
                  <w:r>
                    <w:rPr>
                      <w:rFonts w:hint="eastAsia" w:ascii="Times New Roman" w:hAnsi="Times New Roman" w:eastAsia="宋体" w:cs="Times New Roman"/>
                      <w:color w:val="auto"/>
                      <w:szCs w:val="21"/>
                    </w:rPr>
                    <w:t>在《全国重要江河湖泊水功能区划》划定的河段及湖泊保护区、保留区内。</w:t>
                  </w:r>
                </w:p>
              </w:tc>
              <w:tc>
                <w:tcPr>
                  <w:tcW w:w="400" w:type="pct"/>
                  <w:tcBorders>
                    <w:tl2br w:val="nil"/>
                    <w:tr2bl w:val="nil"/>
                  </w:tcBorders>
                  <w:noWrap w:val="0"/>
                  <w:vAlign w:val="center"/>
                </w:tcPr>
                <w:p w14:paraId="6B6C9A59">
                  <w:pPr>
                    <w:pStyle w:val="16"/>
                    <w:keepNext w:val="0"/>
                    <w:keepLines w:val="0"/>
                    <w:suppressLineNumbers w:val="0"/>
                    <w:spacing w:before="0" w:beforeAutospacing="0" w:after="0" w:afterAutospacing="0" w:line="240" w:lineRule="auto"/>
                    <w:ind w:left="0" w:leftChars="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14:paraId="2C0C3F7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72" w:type="pct"/>
                  <w:tcBorders>
                    <w:tl2br w:val="nil"/>
                    <w:tr2bl w:val="nil"/>
                  </w:tcBorders>
                  <w:noWrap w:val="0"/>
                  <w:vAlign w:val="center"/>
                </w:tcPr>
                <w:p w14:paraId="284D8DF8">
                  <w:pPr>
                    <w:pStyle w:val="16"/>
                    <w:keepNext w:val="0"/>
                    <w:keepLines w:val="0"/>
                    <w:suppressLineNumbers w:val="0"/>
                    <w:spacing w:before="0" w:beforeAutospacing="0" w:after="0" w:afterAutospacing="0" w:line="240" w:lineRule="auto"/>
                    <w:ind w:left="0" w:leftChars="0" w:right="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12</w:t>
                  </w:r>
                </w:p>
              </w:tc>
              <w:tc>
                <w:tcPr>
                  <w:tcW w:w="3149" w:type="pct"/>
                  <w:tcBorders>
                    <w:tl2br w:val="nil"/>
                    <w:tr2bl w:val="nil"/>
                  </w:tcBorders>
                  <w:noWrap w:val="0"/>
                  <w:vAlign w:val="center"/>
                </w:tcPr>
                <w:p w14:paraId="4AB90995">
                  <w:pPr>
                    <w:pStyle w:val="16"/>
                    <w:keepNext w:val="0"/>
                    <w:keepLines w:val="0"/>
                    <w:suppressLineNumbers w:val="0"/>
                    <w:spacing w:before="0" w:beforeAutospacing="0" w:after="0" w:afterAutospacing="0" w:line="240" w:lineRule="auto"/>
                    <w:ind w:left="0" w:leftChars="0" w:right="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第十六条 禁止在长江流域江河、湖泊新设、改设或者扩大排污口，经有管辖权的生态环境主管部门或者长江流域生态环境监督管理机构同意的除外。</w:t>
                  </w:r>
                </w:p>
              </w:tc>
              <w:tc>
                <w:tcPr>
                  <w:tcW w:w="1078" w:type="pct"/>
                  <w:tcBorders>
                    <w:tl2br w:val="nil"/>
                    <w:tr2bl w:val="nil"/>
                  </w:tcBorders>
                  <w:noWrap w:val="0"/>
                  <w:vAlign w:val="center"/>
                </w:tcPr>
                <w:p w14:paraId="0D247061">
                  <w:pPr>
                    <w:pStyle w:val="16"/>
                    <w:keepNext w:val="0"/>
                    <w:keepLines w:val="0"/>
                    <w:suppressLineNumbers w:val="0"/>
                    <w:spacing w:before="0" w:beforeAutospacing="0" w:after="0" w:afterAutospacing="0" w:line="240" w:lineRule="auto"/>
                    <w:ind w:left="0" w:leftChars="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本项目</w:t>
                  </w:r>
                  <w:r>
                    <w:rPr>
                      <w:rFonts w:hint="eastAsia" w:cs="Times New Roman"/>
                      <w:color w:val="auto"/>
                      <w:szCs w:val="21"/>
                      <w:lang w:val="en-US" w:eastAsia="zh-CN"/>
                    </w:rPr>
                    <w:t>不涉及</w:t>
                  </w:r>
                  <w:r>
                    <w:rPr>
                      <w:rFonts w:hint="eastAsia" w:ascii="Times New Roman" w:hAnsi="Times New Roman" w:eastAsia="宋体" w:cs="Times New Roman"/>
                      <w:color w:val="auto"/>
                      <w:szCs w:val="21"/>
                    </w:rPr>
                    <w:t>在长江流域江河、湖泊新设、改设或者扩大排污口。</w:t>
                  </w:r>
                </w:p>
              </w:tc>
              <w:tc>
                <w:tcPr>
                  <w:tcW w:w="400" w:type="pct"/>
                  <w:tcBorders>
                    <w:tl2br w:val="nil"/>
                    <w:tr2bl w:val="nil"/>
                  </w:tcBorders>
                  <w:noWrap w:val="0"/>
                  <w:vAlign w:val="center"/>
                </w:tcPr>
                <w:p w14:paraId="6581003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14:paraId="65A55B3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72" w:type="pct"/>
                  <w:tcBorders>
                    <w:tl2br w:val="nil"/>
                    <w:tr2bl w:val="nil"/>
                  </w:tcBorders>
                  <w:noWrap w:val="0"/>
                  <w:vAlign w:val="center"/>
                </w:tcPr>
                <w:p w14:paraId="1574E8E2">
                  <w:pPr>
                    <w:pStyle w:val="16"/>
                    <w:keepNext w:val="0"/>
                    <w:keepLines w:val="0"/>
                    <w:suppressLineNumbers w:val="0"/>
                    <w:spacing w:before="0" w:beforeAutospacing="0" w:after="0" w:afterAutospacing="0" w:line="240" w:lineRule="auto"/>
                    <w:ind w:left="0" w:leftChars="0" w:right="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13</w:t>
                  </w:r>
                </w:p>
              </w:tc>
              <w:tc>
                <w:tcPr>
                  <w:tcW w:w="3149" w:type="pct"/>
                  <w:tcBorders>
                    <w:tl2br w:val="nil"/>
                    <w:tr2bl w:val="nil"/>
                  </w:tcBorders>
                  <w:noWrap w:val="0"/>
                  <w:vAlign w:val="center"/>
                </w:tcPr>
                <w:p w14:paraId="7A2BBD96">
                  <w:pPr>
                    <w:pStyle w:val="16"/>
                    <w:keepNext w:val="0"/>
                    <w:keepLines w:val="0"/>
                    <w:suppressLineNumbers w:val="0"/>
                    <w:spacing w:before="0" w:beforeAutospacing="0" w:after="0" w:afterAutospacing="0" w:line="240" w:lineRule="auto"/>
                    <w:ind w:left="0" w:leftChars="0" w:right="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第十八条 禁止在长江干支流、重要湖泊岸线一公里范围内新建、扩建化工园区和化工项目。</w:t>
                  </w:r>
                </w:p>
              </w:tc>
              <w:tc>
                <w:tcPr>
                  <w:tcW w:w="1078" w:type="pct"/>
                  <w:tcBorders>
                    <w:tl2br w:val="nil"/>
                    <w:tr2bl w:val="nil"/>
                  </w:tcBorders>
                  <w:noWrap w:val="0"/>
                  <w:vAlign w:val="center"/>
                </w:tcPr>
                <w:p w14:paraId="045355C9">
                  <w:pPr>
                    <w:pStyle w:val="16"/>
                    <w:keepNext w:val="0"/>
                    <w:keepLines w:val="0"/>
                    <w:suppressLineNumbers w:val="0"/>
                    <w:spacing w:before="0" w:beforeAutospacing="0" w:after="0" w:afterAutospacing="0" w:line="240" w:lineRule="auto"/>
                    <w:ind w:left="0" w:leftChars="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本项目不属于</w:t>
                  </w:r>
                  <w:r>
                    <w:rPr>
                      <w:rFonts w:hint="eastAsia" w:ascii="Times New Roman" w:hAnsi="Times New Roman" w:eastAsia="宋体" w:cs="Times New Roman"/>
                      <w:color w:val="auto"/>
                      <w:szCs w:val="21"/>
                    </w:rPr>
                    <w:t>化工</w:t>
                  </w:r>
                  <w:r>
                    <w:rPr>
                      <w:rFonts w:hint="default" w:ascii="Times New Roman" w:hAnsi="Times New Roman" w:eastAsia="宋体" w:cs="Times New Roman"/>
                      <w:color w:val="auto"/>
                      <w:szCs w:val="21"/>
                    </w:rPr>
                    <w:t>项目</w:t>
                  </w:r>
                  <w:r>
                    <w:rPr>
                      <w:rFonts w:hint="eastAsia" w:ascii="Times New Roman" w:hAnsi="Times New Roman" w:eastAsia="宋体" w:cs="Times New Roman"/>
                      <w:color w:val="auto"/>
                      <w:szCs w:val="21"/>
                    </w:rPr>
                    <w:t>。</w:t>
                  </w:r>
                </w:p>
              </w:tc>
              <w:tc>
                <w:tcPr>
                  <w:tcW w:w="400" w:type="pct"/>
                  <w:tcBorders>
                    <w:tl2br w:val="nil"/>
                    <w:tr2bl w:val="nil"/>
                  </w:tcBorders>
                  <w:noWrap w:val="0"/>
                  <w:vAlign w:val="center"/>
                </w:tcPr>
                <w:p w14:paraId="2EA6DB6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14:paraId="3792D27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72" w:type="pct"/>
                  <w:tcBorders>
                    <w:tl2br w:val="nil"/>
                    <w:tr2bl w:val="nil"/>
                  </w:tcBorders>
                  <w:noWrap w:val="0"/>
                  <w:vAlign w:val="center"/>
                </w:tcPr>
                <w:p w14:paraId="7A0AB767">
                  <w:pPr>
                    <w:pStyle w:val="16"/>
                    <w:keepNext w:val="0"/>
                    <w:keepLines w:val="0"/>
                    <w:suppressLineNumbers w:val="0"/>
                    <w:spacing w:before="0" w:beforeAutospacing="0" w:after="0" w:afterAutospacing="0" w:line="240" w:lineRule="auto"/>
                    <w:ind w:left="0" w:leftChars="0" w:right="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14</w:t>
                  </w:r>
                </w:p>
              </w:tc>
              <w:tc>
                <w:tcPr>
                  <w:tcW w:w="3149" w:type="pct"/>
                  <w:tcBorders>
                    <w:tl2br w:val="nil"/>
                    <w:tr2bl w:val="nil"/>
                  </w:tcBorders>
                  <w:noWrap w:val="0"/>
                  <w:vAlign w:val="center"/>
                </w:tcPr>
                <w:p w14:paraId="4E8ADB9D">
                  <w:pPr>
                    <w:pStyle w:val="16"/>
                    <w:keepNext w:val="0"/>
                    <w:keepLines w:val="0"/>
                    <w:suppressLineNumbers w:val="0"/>
                    <w:spacing w:before="0" w:beforeAutospacing="0" w:after="0" w:afterAutospacing="0" w:line="240" w:lineRule="auto"/>
                    <w:ind w:left="0" w:leftChars="0" w:right="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第十九条 禁止在长江干流岸线三公里范围内和重要支流岸线一公里范围内新建、改建、扩建尾矿库、冶炼渣库、磷石膏库，以提升安全、生态环境保护水平为目的的改建除外。</w:t>
                  </w:r>
                </w:p>
              </w:tc>
              <w:tc>
                <w:tcPr>
                  <w:tcW w:w="1078" w:type="pct"/>
                  <w:vMerge w:val="restart"/>
                  <w:tcBorders>
                    <w:tl2br w:val="nil"/>
                    <w:tr2bl w:val="nil"/>
                  </w:tcBorders>
                  <w:noWrap w:val="0"/>
                  <w:vAlign w:val="center"/>
                </w:tcPr>
                <w:p w14:paraId="402C7409">
                  <w:pPr>
                    <w:pStyle w:val="16"/>
                    <w:keepNext w:val="0"/>
                    <w:keepLines w:val="0"/>
                    <w:suppressLineNumbers w:val="0"/>
                    <w:spacing w:before="0" w:beforeAutospacing="0" w:after="0" w:afterAutospacing="0" w:line="240" w:lineRule="auto"/>
                    <w:ind w:left="0" w:leftChars="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本项目不属于尾矿库、冶炼渣库、磷石膏库项目。</w:t>
                  </w:r>
                </w:p>
              </w:tc>
              <w:tc>
                <w:tcPr>
                  <w:tcW w:w="400" w:type="pct"/>
                  <w:tcBorders>
                    <w:tl2br w:val="nil"/>
                    <w:tr2bl w:val="nil"/>
                  </w:tcBorders>
                  <w:noWrap w:val="0"/>
                  <w:vAlign w:val="center"/>
                </w:tcPr>
                <w:p w14:paraId="01C0EEB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14:paraId="1B041C4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72" w:type="pct"/>
                  <w:tcBorders>
                    <w:tl2br w:val="nil"/>
                    <w:tr2bl w:val="nil"/>
                  </w:tcBorders>
                  <w:noWrap w:val="0"/>
                  <w:vAlign w:val="center"/>
                </w:tcPr>
                <w:p w14:paraId="303F51F9">
                  <w:pPr>
                    <w:pStyle w:val="16"/>
                    <w:keepNext w:val="0"/>
                    <w:keepLines w:val="0"/>
                    <w:suppressLineNumbers w:val="0"/>
                    <w:spacing w:before="0" w:beforeAutospacing="0" w:after="0" w:afterAutospacing="0" w:line="240" w:lineRule="auto"/>
                    <w:ind w:left="0" w:leftChars="0" w:right="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15</w:t>
                  </w:r>
                </w:p>
              </w:tc>
              <w:tc>
                <w:tcPr>
                  <w:tcW w:w="3149" w:type="pct"/>
                  <w:tcBorders>
                    <w:tl2br w:val="nil"/>
                    <w:tr2bl w:val="nil"/>
                  </w:tcBorders>
                  <w:noWrap w:val="0"/>
                  <w:vAlign w:val="center"/>
                </w:tcPr>
                <w:p w14:paraId="607210B9">
                  <w:pPr>
                    <w:pStyle w:val="16"/>
                    <w:keepNext w:val="0"/>
                    <w:keepLines w:val="0"/>
                    <w:suppressLineNumbers w:val="0"/>
                    <w:spacing w:before="0" w:beforeAutospacing="0" w:after="0" w:afterAutospacing="0" w:line="240" w:lineRule="auto"/>
                    <w:ind w:left="0" w:leftChars="0" w:right="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第二十条 禁止在生态保护红线区域、永久基本农田集中区域和其他需要特别保护的区域内选址建设尾矿库、冶炼渣库、磷石膏库。</w:t>
                  </w:r>
                </w:p>
              </w:tc>
              <w:tc>
                <w:tcPr>
                  <w:tcW w:w="1078" w:type="pct"/>
                  <w:vMerge w:val="continue"/>
                  <w:tcBorders>
                    <w:tl2br w:val="nil"/>
                    <w:tr2bl w:val="nil"/>
                  </w:tcBorders>
                  <w:noWrap w:val="0"/>
                  <w:vAlign w:val="center"/>
                </w:tcPr>
                <w:p w14:paraId="4379DD67">
                  <w:pPr>
                    <w:pStyle w:val="16"/>
                    <w:keepNext w:val="0"/>
                    <w:keepLines w:val="0"/>
                    <w:suppressLineNumbers w:val="0"/>
                    <w:spacing w:before="0" w:beforeAutospacing="0" w:after="0" w:afterAutospacing="0" w:line="240" w:lineRule="auto"/>
                    <w:ind w:left="0" w:leftChars="0" w:right="0"/>
                    <w:jc w:val="center"/>
                    <w:rPr>
                      <w:rFonts w:hint="default" w:ascii="Times New Roman" w:hAnsi="Times New Roman" w:eastAsia="宋体" w:cs="Times New Roman"/>
                      <w:color w:val="auto"/>
                      <w:szCs w:val="21"/>
                    </w:rPr>
                  </w:pPr>
                </w:p>
              </w:tc>
              <w:tc>
                <w:tcPr>
                  <w:tcW w:w="400" w:type="pct"/>
                  <w:tcBorders>
                    <w:tl2br w:val="nil"/>
                    <w:tr2bl w:val="nil"/>
                  </w:tcBorders>
                  <w:noWrap w:val="0"/>
                  <w:vAlign w:val="center"/>
                </w:tcPr>
                <w:p w14:paraId="2D5C25D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14:paraId="1EAFCC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72" w:type="pct"/>
                  <w:tcBorders>
                    <w:tl2br w:val="nil"/>
                    <w:tr2bl w:val="nil"/>
                  </w:tcBorders>
                  <w:noWrap w:val="0"/>
                  <w:vAlign w:val="center"/>
                </w:tcPr>
                <w:p w14:paraId="7206C884">
                  <w:pPr>
                    <w:pStyle w:val="16"/>
                    <w:keepNext w:val="0"/>
                    <w:keepLines w:val="0"/>
                    <w:suppressLineNumbers w:val="0"/>
                    <w:spacing w:before="0" w:beforeAutospacing="0" w:after="0" w:afterAutospacing="0" w:line="240" w:lineRule="auto"/>
                    <w:ind w:left="0" w:leftChars="0" w:right="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16</w:t>
                  </w:r>
                </w:p>
              </w:tc>
              <w:tc>
                <w:tcPr>
                  <w:tcW w:w="3149" w:type="pct"/>
                  <w:tcBorders>
                    <w:tl2br w:val="nil"/>
                    <w:tr2bl w:val="nil"/>
                  </w:tcBorders>
                  <w:noWrap w:val="0"/>
                  <w:vAlign w:val="center"/>
                </w:tcPr>
                <w:p w14:paraId="09A3154C">
                  <w:pPr>
                    <w:pStyle w:val="16"/>
                    <w:keepNext w:val="0"/>
                    <w:keepLines w:val="0"/>
                    <w:suppressLineNumbers w:val="0"/>
                    <w:spacing w:before="0" w:beforeAutospacing="0" w:after="0" w:afterAutospacing="0" w:line="240" w:lineRule="auto"/>
                    <w:ind w:left="0" w:leftChars="0" w:right="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第二十一条 禁止在合规园区外新建、扩建钢铁、石化、化工、焦化、建材、有色、制浆造纸等高污染项目。</w:t>
                  </w:r>
                </w:p>
              </w:tc>
              <w:tc>
                <w:tcPr>
                  <w:tcW w:w="1078" w:type="pct"/>
                  <w:tcBorders>
                    <w:tl2br w:val="nil"/>
                    <w:tr2bl w:val="nil"/>
                  </w:tcBorders>
                  <w:noWrap w:val="0"/>
                  <w:vAlign w:val="center"/>
                </w:tcPr>
                <w:p w14:paraId="293D1170">
                  <w:pPr>
                    <w:pStyle w:val="16"/>
                    <w:keepNext w:val="0"/>
                    <w:keepLines w:val="0"/>
                    <w:suppressLineNumbers w:val="0"/>
                    <w:spacing w:before="0" w:beforeAutospacing="0" w:after="0" w:afterAutospacing="0" w:line="240" w:lineRule="auto"/>
                    <w:ind w:left="0" w:leftChars="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本项目不属于钢铁、石化、化工、焦化、建材、有色、制浆造纸等高污染项目。</w:t>
                  </w:r>
                </w:p>
              </w:tc>
              <w:tc>
                <w:tcPr>
                  <w:tcW w:w="400" w:type="pct"/>
                  <w:tcBorders>
                    <w:tl2br w:val="nil"/>
                    <w:tr2bl w:val="nil"/>
                  </w:tcBorders>
                  <w:noWrap w:val="0"/>
                  <w:vAlign w:val="center"/>
                </w:tcPr>
                <w:p w14:paraId="35FA6F4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14:paraId="121CDE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72" w:type="pct"/>
                  <w:tcBorders>
                    <w:tl2br w:val="nil"/>
                    <w:tr2bl w:val="nil"/>
                  </w:tcBorders>
                  <w:noWrap w:val="0"/>
                  <w:vAlign w:val="center"/>
                </w:tcPr>
                <w:p w14:paraId="6A26973D">
                  <w:pPr>
                    <w:pStyle w:val="16"/>
                    <w:keepNext w:val="0"/>
                    <w:keepLines w:val="0"/>
                    <w:suppressLineNumbers w:val="0"/>
                    <w:spacing w:before="0" w:beforeAutospacing="0" w:after="0" w:afterAutospacing="0" w:line="240" w:lineRule="auto"/>
                    <w:ind w:left="0" w:leftChars="0" w:right="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17</w:t>
                  </w:r>
                </w:p>
              </w:tc>
              <w:tc>
                <w:tcPr>
                  <w:tcW w:w="3149" w:type="pct"/>
                  <w:tcBorders>
                    <w:tl2br w:val="nil"/>
                    <w:tr2bl w:val="nil"/>
                  </w:tcBorders>
                  <w:noWrap w:val="0"/>
                  <w:vAlign w:val="center"/>
                </w:tcPr>
                <w:p w14:paraId="75929193">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第二十二条 禁止新建、扩建不符合国家石化、现代煤化工等产业布局规划的项目。</w:t>
                  </w:r>
                </w:p>
              </w:tc>
              <w:tc>
                <w:tcPr>
                  <w:tcW w:w="1078" w:type="pct"/>
                  <w:tcBorders>
                    <w:tl2br w:val="nil"/>
                    <w:tr2bl w:val="nil"/>
                  </w:tcBorders>
                  <w:noWrap w:val="0"/>
                  <w:vAlign w:val="center"/>
                </w:tcPr>
                <w:p w14:paraId="2E2ECF0B">
                  <w:pPr>
                    <w:pStyle w:val="16"/>
                    <w:keepNext w:val="0"/>
                    <w:keepLines w:val="0"/>
                    <w:suppressLineNumbers w:val="0"/>
                    <w:spacing w:before="0" w:beforeAutospacing="0" w:after="0" w:afterAutospacing="0" w:line="240" w:lineRule="auto"/>
                    <w:ind w:left="0" w:leftChars="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本项目不涉及国家石化、现代煤化工等产业项目。</w:t>
                  </w:r>
                </w:p>
              </w:tc>
              <w:tc>
                <w:tcPr>
                  <w:tcW w:w="400" w:type="pct"/>
                  <w:tcBorders>
                    <w:tl2br w:val="nil"/>
                    <w:tr2bl w:val="nil"/>
                  </w:tcBorders>
                  <w:noWrap w:val="0"/>
                  <w:vAlign w:val="center"/>
                </w:tcPr>
                <w:p w14:paraId="0D579F4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14:paraId="7E65756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72" w:type="pct"/>
                  <w:tcBorders>
                    <w:tl2br w:val="nil"/>
                    <w:tr2bl w:val="nil"/>
                  </w:tcBorders>
                  <w:noWrap w:val="0"/>
                  <w:vAlign w:val="center"/>
                </w:tcPr>
                <w:p w14:paraId="72454B59">
                  <w:pPr>
                    <w:pStyle w:val="16"/>
                    <w:keepNext w:val="0"/>
                    <w:keepLines w:val="0"/>
                    <w:suppressLineNumbers w:val="0"/>
                    <w:spacing w:before="0" w:beforeAutospacing="0" w:after="0" w:afterAutospacing="0" w:line="240" w:lineRule="auto"/>
                    <w:ind w:left="0" w:leftChars="0" w:right="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18</w:t>
                  </w:r>
                </w:p>
              </w:tc>
              <w:tc>
                <w:tcPr>
                  <w:tcW w:w="3149" w:type="pct"/>
                  <w:tcBorders>
                    <w:tl2br w:val="nil"/>
                    <w:tr2bl w:val="nil"/>
                  </w:tcBorders>
                  <w:noWrap w:val="0"/>
                  <w:vAlign w:val="center"/>
                </w:tcPr>
                <w:p w14:paraId="5D56A143">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第二十三条 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1078" w:type="pct"/>
                  <w:vMerge w:val="restart"/>
                  <w:tcBorders>
                    <w:tl2br w:val="nil"/>
                    <w:tr2bl w:val="nil"/>
                  </w:tcBorders>
                  <w:noWrap w:val="0"/>
                  <w:vAlign w:val="center"/>
                </w:tcPr>
                <w:p w14:paraId="460D9F7C">
                  <w:pPr>
                    <w:pStyle w:val="16"/>
                    <w:keepNext w:val="0"/>
                    <w:keepLines w:val="0"/>
                    <w:suppressLineNumbers w:val="0"/>
                    <w:spacing w:before="0" w:beforeAutospacing="0" w:after="0" w:afterAutospacing="0" w:line="240" w:lineRule="auto"/>
                    <w:ind w:left="0" w:leftChars="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本项目不涉及落后产能，不属于规定中的鼓励类、限制类、淘汰类，视为允许类。</w:t>
                  </w:r>
                </w:p>
              </w:tc>
              <w:tc>
                <w:tcPr>
                  <w:tcW w:w="400" w:type="pct"/>
                  <w:tcBorders>
                    <w:tl2br w:val="nil"/>
                    <w:tr2bl w:val="nil"/>
                  </w:tcBorders>
                  <w:noWrap w:val="0"/>
                  <w:vAlign w:val="center"/>
                </w:tcPr>
                <w:p w14:paraId="291B3B2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14:paraId="5BAE85F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72" w:type="pct"/>
                  <w:tcBorders>
                    <w:tl2br w:val="nil"/>
                    <w:tr2bl w:val="nil"/>
                  </w:tcBorders>
                  <w:noWrap w:val="0"/>
                  <w:vAlign w:val="center"/>
                </w:tcPr>
                <w:p w14:paraId="3145C461">
                  <w:pPr>
                    <w:pStyle w:val="16"/>
                    <w:keepNext w:val="0"/>
                    <w:keepLines w:val="0"/>
                    <w:suppressLineNumbers w:val="0"/>
                    <w:spacing w:before="0" w:beforeAutospacing="0" w:after="0" w:afterAutospacing="0" w:line="240" w:lineRule="auto"/>
                    <w:ind w:left="0" w:leftChars="0" w:right="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19</w:t>
                  </w:r>
                </w:p>
              </w:tc>
              <w:tc>
                <w:tcPr>
                  <w:tcW w:w="3149" w:type="pct"/>
                  <w:tcBorders>
                    <w:tl2br w:val="nil"/>
                    <w:tr2bl w:val="nil"/>
                  </w:tcBorders>
                  <w:noWrap w:val="0"/>
                  <w:vAlign w:val="center"/>
                </w:tcPr>
                <w:p w14:paraId="1A21D696">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第二十四条 禁止新建、扩建不符合国家产能置换要求的严重过剩产能行业的项目。对于不符合国家产能置换要求的严重过剩产能行业，不得以其他任何名义、任何方式备案新增产能项目。</w:t>
                  </w:r>
                </w:p>
              </w:tc>
              <w:tc>
                <w:tcPr>
                  <w:tcW w:w="1078" w:type="pct"/>
                  <w:vMerge w:val="continue"/>
                  <w:tcBorders>
                    <w:tl2br w:val="nil"/>
                    <w:tr2bl w:val="nil"/>
                  </w:tcBorders>
                  <w:noWrap w:val="0"/>
                  <w:vAlign w:val="center"/>
                </w:tcPr>
                <w:p w14:paraId="454FD1D5">
                  <w:pPr>
                    <w:pStyle w:val="16"/>
                    <w:keepNext w:val="0"/>
                    <w:keepLines w:val="0"/>
                    <w:suppressLineNumbers w:val="0"/>
                    <w:spacing w:before="0" w:beforeAutospacing="0" w:after="0" w:afterAutospacing="0" w:line="240" w:lineRule="auto"/>
                    <w:ind w:left="0" w:leftChars="0" w:right="0"/>
                    <w:jc w:val="center"/>
                    <w:rPr>
                      <w:rFonts w:hint="default" w:ascii="Times New Roman" w:hAnsi="Times New Roman" w:eastAsia="宋体" w:cs="Times New Roman"/>
                      <w:color w:val="auto"/>
                      <w:szCs w:val="21"/>
                    </w:rPr>
                  </w:pPr>
                </w:p>
              </w:tc>
              <w:tc>
                <w:tcPr>
                  <w:tcW w:w="400" w:type="pct"/>
                  <w:tcBorders>
                    <w:tl2br w:val="nil"/>
                    <w:tr2bl w:val="nil"/>
                  </w:tcBorders>
                  <w:noWrap w:val="0"/>
                  <w:vAlign w:val="center"/>
                </w:tcPr>
                <w:p w14:paraId="523036C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14:paraId="05DCA80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72" w:type="pct"/>
                  <w:tcBorders>
                    <w:tl2br w:val="nil"/>
                    <w:tr2bl w:val="nil"/>
                  </w:tcBorders>
                  <w:noWrap w:val="0"/>
                  <w:vAlign w:val="center"/>
                </w:tcPr>
                <w:p w14:paraId="06A67D81">
                  <w:pPr>
                    <w:pStyle w:val="16"/>
                    <w:keepNext w:val="0"/>
                    <w:keepLines w:val="0"/>
                    <w:suppressLineNumbers w:val="0"/>
                    <w:spacing w:before="0" w:beforeAutospacing="0" w:after="0" w:afterAutospacing="0" w:line="240" w:lineRule="auto"/>
                    <w:ind w:left="0" w:leftChars="0" w:right="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20</w:t>
                  </w:r>
                </w:p>
              </w:tc>
              <w:tc>
                <w:tcPr>
                  <w:tcW w:w="3149" w:type="pct"/>
                  <w:tcBorders>
                    <w:tl2br w:val="nil"/>
                    <w:tr2bl w:val="nil"/>
                  </w:tcBorders>
                  <w:noWrap w:val="0"/>
                  <w:vAlign w:val="center"/>
                </w:tcPr>
                <w:p w14:paraId="50389D05">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第二十六条禁止新建、扩建不符合要求的高耗能、高排放低水平项目。</w:t>
                  </w:r>
                </w:p>
              </w:tc>
              <w:tc>
                <w:tcPr>
                  <w:tcW w:w="1078" w:type="pct"/>
                  <w:tcBorders>
                    <w:tl2br w:val="nil"/>
                    <w:tr2bl w:val="nil"/>
                  </w:tcBorders>
                  <w:noWrap w:val="0"/>
                  <w:vAlign w:val="center"/>
                </w:tcPr>
                <w:p w14:paraId="3D239A6A">
                  <w:pPr>
                    <w:pStyle w:val="16"/>
                    <w:keepNext w:val="0"/>
                    <w:keepLines w:val="0"/>
                    <w:suppressLineNumbers w:val="0"/>
                    <w:spacing w:before="0" w:beforeAutospacing="0" w:after="0" w:afterAutospacing="0" w:line="240" w:lineRule="auto"/>
                    <w:ind w:left="0" w:leftChars="0" w:right="0"/>
                    <w:jc w:val="center"/>
                    <w:rPr>
                      <w:rFonts w:hint="eastAsia" w:ascii="Times New Roman" w:hAnsi="Times New Roman" w:eastAsia="宋体" w:cs="Times New Roman"/>
                      <w:color w:val="auto"/>
                      <w:szCs w:val="21"/>
                    </w:rPr>
                  </w:pPr>
                  <w:r>
                    <w:rPr>
                      <w:rFonts w:hint="eastAsia" w:cs="Times New Roman"/>
                      <w:color w:val="auto"/>
                      <w:szCs w:val="21"/>
                      <w:lang w:val="en-US" w:eastAsia="zh-CN"/>
                    </w:rPr>
                    <w:t>项目</w:t>
                  </w:r>
                  <w:r>
                    <w:rPr>
                      <w:rFonts w:hint="eastAsia" w:ascii="Times New Roman" w:hAnsi="Times New Roman" w:eastAsia="宋体" w:cs="Times New Roman"/>
                      <w:color w:val="auto"/>
                      <w:szCs w:val="21"/>
                    </w:rPr>
                    <w:t>不属于高耗能、高排放低水平项目。</w:t>
                  </w:r>
                </w:p>
              </w:tc>
              <w:tc>
                <w:tcPr>
                  <w:tcW w:w="400" w:type="pct"/>
                  <w:tcBorders>
                    <w:tl2br w:val="nil"/>
                    <w:tr2bl w:val="nil"/>
                  </w:tcBorders>
                  <w:noWrap w:val="0"/>
                  <w:vAlign w:val="center"/>
                </w:tcPr>
                <w:p w14:paraId="0246F97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bl>
          <w:p w14:paraId="3F11F8CE">
            <w:pPr>
              <w:keepNext w:val="0"/>
              <w:keepLines w:val="0"/>
              <w:pageBreakBefore w:val="0"/>
              <w:widowControl/>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0" w:firstLineChars="200"/>
              <w:textAlignment w:val="auto"/>
              <w:rPr>
                <w:rFonts w:hint="eastAsia" w:ascii="Times New Roman" w:hAnsi="Times New Roman" w:eastAsia="宋体" w:cs="Times New Roman"/>
                <w:b/>
                <w:sz w:val="24"/>
              </w:rPr>
            </w:pPr>
            <w:r>
              <w:rPr>
                <w:rFonts w:hint="eastAsia" w:ascii="Times New Roman" w:hAnsi="Times New Roman" w:eastAsia="宋体" w:cs="Times New Roman"/>
                <w:bCs/>
                <w:sz w:val="24"/>
                <w:lang w:val="en-US" w:eastAsia="zh-CN"/>
              </w:rPr>
              <w:t>综上分析</w:t>
            </w:r>
            <w:r>
              <w:rPr>
                <w:rFonts w:hint="default" w:ascii="Times New Roman" w:hAnsi="Times New Roman" w:eastAsia="宋体" w:cs="Times New Roman"/>
                <w:bCs/>
                <w:sz w:val="24"/>
              </w:rPr>
              <w:t>，本项目符合《关于印发《四川省、重庆市长江经济带发展负面清单实施细则（试行，2022年版）》的通知》（川长江办〔2022〕17号）中相关要求。</w:t>
            </w:r>
          </w:p>
          <w:p w14:paraId="3A56666D">
            <w:pPr>
              <w:pStyle w:val="11"/>
              <w:keepNext w:val="0"/>
              <w:keepLines w:val="0"/>
              <w:pageBreakBefore w:val="0"/>
              <w:numPr>
                <w:ilvl w:val="0"/>
                <w:numId w:val="0"/>
              </w:numPr>
              <w:suppressLineNumbers w:val="0"/>
              <w:kinsoku/>
              <w:wordWrap/>
              <w:overflowPunct/>
              <w:topLinePunct w:val="0"/>
              <w:autoSpaceDE/>
              <w:autoSpaceDN/>
              <w:bidi w:val="0"/>
              <w:spacing w:before="0" w:beforeAutospacing="0" w:after="0" w:afterAutospacing="0" w:line="360" w:lineRule="auto"/>
              <w:ind w:left="0" w:right="0" w:rightChars="0"/>
              <w:textAlignment w:val="auto"/>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val="en-US" w:eastAsia="zh-CN"/>
              </w:rPr>
              <w:t>五、</w:t>
            </w:r>
            <w:r>
              <w:rPr>
                <w:rFonts w:hint="eastAsia" w:ascii="Times New Roman" w:hAnsi="Times New Roman" w:eastAsia="宋体" w:cs="Times New Roman"/>
                <w:b/>
                <w:bCs/>
                <w:color w:val="auto"/>
                <w:sz w:val="24"/>
                <w:szCs w:val="24"/>
              </w:rPr>
              <w:t>与《四川省“十四五”生态环境保护规划》（川府发</w:t>
            </w:r>
            <w:r>
              <w:rPr>
                <w:rFonts w:hint="eastAsia" w:ascii="Times New Roman" w:hAnsi="Times New Roman" w:eastAsia="宋体" w:cs="Times New Roman"/>
                <w:b/>
                <w:bCs/>
                <w:color w:val="auto"/>
                <w:sz w:val="24"/>
                <w:szCs w:val="24"/>
                <w:lang w:eastAsia="zh-CN"/>
              </w:rPr>
              <w:t>〔2022〕</w:t>
            </w:r>
            <w:r>
              <w:rPr>
                <w:rFonts w:hint="eastAsia" w:ascii="Times New Roman" w:hAnsi="Times New Roman" w:eastAsia="宋体" w:cs="Times New Roman"/>
                <w:b/>
                <w:bCs/>
                <w:color w:val="auto"/>
                <w:sz w:val="24"/>
                <w:szCs w:val="24"/>
              </w:rPr>
              <w:t>2号）符合性分析</w:t>
            </w:r>
          </w:p>
          <w:p w14:paraId="10455FD6">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bCs/>
                <w:color w:val="auto"/>
                <w:kern w:val="0"/>
                <w:sz w:val="21"/>
                <w:szCs w:val="21"/>
                <w:lang w:val="en-US" w:eastAsia="zh-CN"/>
              </w:rPr>
            </w:pPr>
            <w:r>
              <w:rPr>
                <w:rFonts w:hint="eastAsia" w:ascii="Times New Roman" w:hAnsi="Times New Roman" w:eastAsia="宋体" w:cs="Times New Roman"/>
                <w:b/>
                <w:bCs/>
                <w:color w:val="auto"/>
                <w:kern w:val="0"/>
                <w:sz w:val="21"/>
                <w:szCs w:val="21"/>
                <w:lang w:val="en-US" w:eastAsia="zh-CN"/>
              </w:rPr>
              <w:t>表1-</w:t>
            </w:r>
            <w:r>
              <w:rPr>
                <w:rFonts w:hint="eastAsia" w:cs="Times New Roman"/>
                <w:b/>
                <w:bCs/>
                <w:color w:val="auto"/>
                <w:kern w:val="0"/>
                <w:sz w:val="21"/>
                <w:szCs w:val="21"/>
                <w:lang w:val="en-US" w:eastAsia="zh-CN"/>
              </w:rPr>
              <w:t>7</w:t>
            </w:r>
            <w:r>
              <w:rPr>
                <w:rFonts w:hint="eastAsia" w:ascii="Times New Roman" w:hAnsi="Times New Roman" w:eastAsia="宋体" w:cs="Times New Roman"/>
                <w:b/>
                <w:bCs/>
                <w:color w:val="auto"/>
                <w:kern w:val="0"/>
                <w:sz w:val="21"/>
                <w:szCs w:val="21"/>
                <w:lang w:val="en-US" w:eastAsia="zh-CN"/>
              </w:rPr>
              <w:t xml:space="preserve">  项目与《四川省“十四五”生态环境保护规划》符合性分析</w:t>
            </w:r>
          </w:p>
          <w:tbl>
            <w:tblPr>
              <w:tblStyle w:val="25"/>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28"/>
              <w:gridCol w:w="4016"/>
              <w:gridCol w:w="2381"/>
              <w:gridCol w:w="734"/>
            </w:tblGrid>
            <w:tr w14:paraId="180BA3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5" w:type="pct"/>
                  <w:tcBorders>
                    <w:tl2br w:val="nil"/>
                    <w:tr2bl w:val="nil"/>
                  </w:tcBorders>
                  <w:noWrap w:val="0"/>
                  <w:vAlign w:val="center"/>
                </w:tcPr>
                <w:p w14:paraId="266E755F">
                  <w:pPr>
                    <w:pStyle w:val="104"/>
                    <w:keepNext w:val="0"/>
                    <w:keepLines w:val="0"/>
                    <w:widowControl/>
                    <w:suppressLineNumbers w:val="0"/>
                    <w:spacing w:before="0" w:beforeAutospacing="0" w:after="0" w:afterAutospacing="0"/>
                    <w:ind w:left="0" w:right="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编号</w:t>
                  </w:r>
                </w:p>
              </w:tc>
              <w:tc>
                <w:tcPr>
                  <w:tcW w:w="2621" w:type="pct"/>
                  <w:tcBorders>
                    <w:tl2br w:val="nil"/>
                    <w:tr2bl w:val="nil"/>
                  </w:tcBorders>
                  <w:noWrap w:val="0"/>
                  <w:vAlign w:val="center"/>
                </w:tcPr>
                <w:p w14:paraId="09F4DBA9">
                  <w:pPr>
                    <w:pStyle w:val="104"/>
                    <w:keepNext w:val="0"/>
                    <w:keepLines w:val="0"/>
                    <w:widowControl/>
                    <w:suppressLineNumbers w:val="0"/>
                    <w:spacing w:before="0" w:beforeAutospacing="0" w:after="0" w:afterAutospacing="0"/>
                    <w:ind w:left="0" w:right="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《四川省</w:t>
                  </w:r>
                  <w:r>
                    <w:rPr>
                      <w:rFonts w:hint="eastAsia" w:ascii="Times New Roman" w:hAnsi="Times New Roman" w:eastAsia="宋体" w:cs="Times New Roman"/>
                      <w:b/>
                      <w:bCs/>
                      <w:color w:val="auto"/>
                    </w:rPr>
                    <w:t>“</w:t>
                  </w:r>
                  <w:r>
                    <w:rPr>
                      <w:rFonts w:hint="default" w:ascii="Times New Roman" w:hAnsi="Times New Roman" w:eastAsia="宋体" w:cs="Times New Roman"/>
                      <w:b/>
                      <w:bCs/>
                      <w:color w:val="auto"/>
                    </w:rPr>
                    <w:t>十四五</w:t>
                  </w:r>
                  <w:r>
                    <w:rPr>
                      <w:rFonts w:hint="eastAsia" w:ascii="Times New Roman" w:hAnsi="Times New Roman" w:eastAsia="宋体" w:cs="Times New Roman"/>
                      <w:b/>
                      <w:bCs/>
                      <w:color w:val="auto"/>
                    </w:rPr>
                    <w:t>”</w:t>
                  </w:r>
                  <w:r>
                    <w:rPr>
                      <w:rFonts w:hint="default" w:ascii="Times New Roman" w:hAnsi="Times New Roman" w:eastAsia="宋体" w:cs="Times New Roman"/>
                      <w:b/>
                      <w:bCs/>
                      <w:color w:val="auto"/>
                    </w:rPr>
                    <w:t>生态环境保护规划》相关规定</w:t>
                  </w:r>
                </w:p>
              </w:tc>
              <w:tc>
                <w:tcPr>
                  <w:tcW w:w="1554" w:type="pct"/>
                  <w:tcBorders>
                    <w:tl2br w:val="nil"/>
                    <w:tr2bl w:val="nil"/>
                  </w:tcBorders>
                  <w:noWrap w:val="0"/>
                  <w:vAlign w:val="center"/>
                </w:tcPr>
                <w:p w14:paraId="238F2E00">
                  <w:pPr>
                    <w:pStyle w:val="104"/>
                    <w:keepNext w:val="0"/>
                    <w:keepLines w:val="0"/>
                    <w:widowControl/>
                    <w:suppressLineNumbers w:val="0"/>
                    <w:spacing w:before="0" w:beforeAutospacing="0" w:after="0" w:afterAutospacing="0"/>
                    <w:ind w:left="0" w:right="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本项目</w:t>
                  </w:r>
                </w:p>
              </w:tc>
              <w:tc>
                <w:tcPr>
                  <w:tcW w:w="479" w:type="pct"/>
                  <w:tcBorders>
                    <w:tl2br w:val="nil"/>
                    <w:tr2bl w:val="nil"/>
                  </w:tcBorders>
                  <w:noWrap w:val="0"/>
                  <w:vAlign w:val="center"/>
                </w:tcPr>
                <w:p w14:paraId="212C54EE">
                  <w:pPr>
                    <w:pStyle w:val="104"/>
                    <w:keepNext w:val="0"/>
                    <w:keepLines w:val="0"/>
                    <w:widowControl/>
                    <w:suppressLineNumbers w:val="0"/>
                    <w:spacing w:before="0" w:beforeAutospacing="0" w:after="0" w:afterAutospacing="0"/>
                    <w:ind w:left="0" w:right="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符合性</w:t>
                  </w:r>
                </w:p>
              </w:tc>
            </w:tr>
            <w:tr w14:paraId="54A582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5" w:type="pct"/>
                  <w:tcBorders>
                    <w:tl2br w:val="nil"/>
                    <w:tr2bl w:val="nil"/>
                  </w:tcBorders>
                  <w:noWrap w:val="0"/>
                  <w:vAlign w:val="center"/>
                </w:tcPr>
                <w:p w14:paraId="13726972">
                  <w:pPr>
                    <w:pStyle w:val="104"/>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rPr>
                  </w:pPr>
                  <w:r>
                    <w:rPr>
                      <w:rFonts w:hint="default" w:ascii="Times New Roman" w:hAnsi="Times New Roman" w:eastAsia="宋体" w:cs="Times New Roman"/>
                      <w:color w:val="auto"/>
                    </w:rPr>
                    <w:t>1</w:t>
                  </w:r>
                </w:p>
              </w:tc>
              <w:tc>
                <w:tcPr>
                  <w:tcW w:w="2621" w:type="pct"/>
                  <w:tcBorders>
                    <w:tl2br w:val="nil"/>
                    <w:tr2bl w:val="nil"/>
                  </w:tcBorders>
                  <w:noWrap w:val="0"/>
                  <w:vAlign w:val="center"/>
                </w:tcPr>
                <w:p w14:paraId="1FA16B19">
                  <w:pPr>
                    <w:pStyle w:val="104"/>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rPr>
                  </w:pPr>
                  <w:r>
                    <w:rPr>
                      <w:rFonts w:hint="default" w:ascii="Times New Roman" w:hAnsi="Times New Roman" w:eastAsia="宋体" w:cs="Times New Roman"/>
                      <w:color w:val="auto"/>
                    </w:rPr>
                    <w:t>推动生产方式绿色转型：推动落后产能退出。严格控制新</w:t>
                  </w:r>
                  <w:r>
                    <w:rPr>
                      <w:rFonts w:hint="eastAsia" w:ascii="Times New Roman" w:hAnsi="Times New Roman" w:eastAsia="宋体" w:cs="Times New Roman"/>
                      <w:color w:val="auto"/>
                    </w:rPr>
                    <w:t>（</w:t>
                  </w:r>
                  <w:r>
                    <w:rPr>
                      <w:rFonts w:hint="default" w:ascii="Times New Roman" w:hAnsi="Times New Roman" w:eastAsia="宋体" w:cs="Times New Roman"/>
                      <w:color w:val="auto"/>
                    </w:rPr>
                    <w:t>改、扩</w:t>
                  </w:r>
                  <w:r>
                    <w:rPr>
                      <w:rFonts w:hint="eastAsia" w:ascii="Times New Roman" w:hAnsi="Times New Roman" w:eastAsia="宋体" w:cs="Times New Roman"/>
                      <w:color w:val="auto"/>
                    </w:rPr>
                    <w:t>）</w:t>
                  </w:r>
                  <w:r>
                    <w:rPr>
                      <w:rFonts w:hint="default" w:ascii="Times New Roman" w:hAnsi="Times New Roman" w:eastAsia="宋体" w:cs="Times New Roman"/>
                      <w:color w:val="auto"/>
                    </w:rPr>
                    <w:t>建高耗能、高排放项目。强化落后产能退出机制，推动重污染企</w:t>
                  </w:r>
                  <w:r>
                    <w:rPr>
                      <w:rFonts w:hint="eastAsia" w:ascii="Times New Roman" w:hAnsi="Times New Roman" w:eastAsia="宋体" w:cs="Times New Roman"/>
                      <w:color w:val="auto"/>
                    </w:rPr>
                    <w:t>业</w:t>
                  </w:r>
                  <w:r>
                    <w:rPr>
                      <w:rFonts w:hint="default" w:ascii="Times New Roman" w:hAnsi="Times New Roman" w:eastAsia="宋体" w:cs="Times New Roman"/>
                      <w:color w:val="auto"/>
                    </w:rPr>
                    <w:t>搬迁入园或依法关闭。</w:t>
                  </w:r>
                </w:p>
              </w:tc>
              <w:tc>
                <w:tcPr>
                  <w:tcW w:w="1554" w:type="pct"/>
                  <w:tcBorders>
                    <w:tl2br w:val="nil"/>
                    <w:tr2bl w:val="nil"/>
                  </w:tcBorders>
                  <w:noWrap w:val="0"/>
                  <w:vAlign w:val="center"/>
                </w:tcPr>
                <w:p w14:paraId="2607F416">
                  <w:pPr>
                    <w:pStyle w:val="104"/>
                    <w:keepNext w:val="0"/>
                    <w:keepLines w:val="0"/>
                    <w:widowControl/>
                    <w:suppressLineNumbers w:val="0"/>
                    <w:spacing w:before="0" w:beforeAutospacing="0" w:after="0" w:afterAutospacing="0"/>
                    <w:ind w:left="0" w:right="0"/>
                    <w:rPr>
                      <w:rFonts w:hint="eastAsia" w:ascii="Times New Roman" w:hAnsi="Times New Roman" w:eastAsia="宋体" w:cs="Times New Roman"/>
                      <w:color w:val="auto"/>
                      <w:lang w:eastAsia="zh-CN"/>
                    </w:rPr>
                  </w:pPr>
                  <w:r>
                    <w:rPr>
                      <w:rFonts w:hint="default" w:ascii="Times New Roman" w:hAnsi="Times New Roman" w:eastAsia="宋体" w:cs="Times New Roman"/>
                      <w:color w:val="auto"/>
                    </w:rPr>
                    <w:t>本项目不涉及落后产能、过剩产能行业，不属于高耗能高排放项目</w:t>
                  </w:r>
                  <w:r>
                    <w:rPr>
                      <w:rFonts w:hint="eastAsia" w:ascii="Times New Roman" w:hAnsi="Times New Roman" w:eastAsia="宋体" w:cs="Times New Roman"/>
                      <w:color w:val="auto"/>
                      <w:lang w:eastAsia="zh-CN"/>
                    </w:rPr>
                    <w:t>。</w:t>
                  </w:r>
                </w:p>
              </w:tc>
              <w:tc>
                <w:tcPr>
                  <w:tcW w:w="479" w:type="pct"/>
                  <w:tcBorders>
                    <w:tl2br w:val="nil"/>
                    <w:tr2bl w:val="nil"/>
                  </w:tcBorders>
                  <w:noWrap w:val="0"/>
                  <w:vAlign w:val="center"/>
                </w:tcPr>
                <w:p w14:paraId="16BE7CC3">
                  <w:pPr>
                    <w:pStyle w:val="104"/>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rPr>
                  </w:pPr>
                  <w:r>
                    <w:rPr>
                      <w:rFonts w:hint="default" w:ascii="Times New Roman" w:hAnsi="Times New Roman" w:eastAsia="宋体" w:cs="Times New Roman"/>
                      <w:color w:val="auto"/>
                    </w:rPr>
                    <w:t>符合</w:t>
                  </w:r>
                </w:p>
              </w:tc>
            </w:tr>
            <w:tr w14:paraId="03074A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5" w:type="pct"/>
                  <w:tcBorders>
                    <w:tl2br w:val="nil"/>
                    <w:tr2bl w:val="nil"/>
                  </w:tcBorders>
                  <w:noWrap w:val="0"/>
                  <w:vAlign w:val="center"/>
                </w:tcPr>
                <w:p w14:paraId="1E7F8909">
                  <w:pPr>
                    <w:pStyle w:val="104"/>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rPr>
                  </w:pPr>
                  <w:r>
                    <w:rPr>
                      <w:rFonts w:hint="default" w:ascii="Times New Roman" w:hAnsi="Times New Roman" w:eastAsia="宋体" w:cs="Times New Roman"/>
                      <w:color w:val="auto"/>
                    </w:rPr>
                    <w:t>2</w:t>
                  </w:r>
                </w:p>
              </w:tc>
              <w:tc>
                <w:tcPr>
                  <w:tcW w:w="2621" w:type="pct"/>
                  <w:tcBorders>
                    <w:tl2br w:val="nil"/>
                    <w:tr2bl w:val="nil"/>
                  </w:tcBorders>
                  <w:noWrap w:val="0"/>
                  <w:vAlign w:val="center"/>
                </w:tcPr>
                <w:p w14:paraId="0FD095E3">
                  <w:pPr>
                    <w:pStyle w:val="104"/>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rPr>
                  </w:pPr>
                  <w:r>
                    <w:rPr>
                      <w:rFonts w:hint="default" w:ascii="Times New Roman" w:hAnsi="Times New Roman" w:eastAsia="宋体" w:cs="Times New Roman"/>
                      <w:color w:val="auto"/>
                    </w:rPr>
                    <w:t>深化工业源污染防治：强化重点行业污染治理。深化工业炉窑大气污染综合治理，强化治理设施运行监管，确保按照超低排放限值及相关标准要求运行，减少非正常工况排放。控制挥发性有机物</w:t>
                  </w:r>
                  <w:r>
                    <w:rPr>
                      <w:rFonts w:hint="eastAsia" w:ascii="Times New Roman" w:hAnsi="Times New Roman" w:eastAsia="宋体" w:cs="Times New Roman"/>
                      <w:color w:val="auto"/>
                    </w:rPr>
                    <w:t>（</w:t>
                  </w:r>
                  <w:r>
                    <w:rPr>
                      <w:rFonts w:hint="default" w:ascii="Times New Roman" w:hAnsi="Times New Roman" w:eastAsia="宋体" w:cs="Times New Roman"/>
                      <w:color w:val="auto"/>
                    </w:rPr>
                    <w:t>VOCs</w:t>
                  </w:r>
                  <w:r>
                    <w:rPr>
                      <w:rFonts w:hint="eastAsia" w:ascii="Times New Roman" w:hAnsi="Times New Roman" w:eastAsia="宋体" w:cs="Times New Roman"/>
                      <w:color w:val="auto"/>
                    </w:rPr>
                    <w:t>）</w:t>
                  </w:r>
                  <w:r>
                    <w:rPr>
                      <w:rFonts w:hint="default" w:ascii="Times New Roman" w:hAnsi="Times New Roman" w:eastAsia="宋体" w:cs="Times New Roman"/>
                      <w:color w:val="auto"/>
                    </w:rPr>
                    <w:t>排放。严格控制VOCs排放总量，新建VOCs项目应实施等量或倍量替代。</w:t>
                  </w:r>
                </w:p>
              </w:tc>
              <w:tc>
                <w:tcPr>
                  <w:tcW w:w="1554" w:type="pct"/>
                  <w:tcBorders>
                    <w:tl2br w:val="nil"/>
                    <w:tr2bl w:val="nil"/>
                  </w:tcBorders>
                  <w:noWrap w:val="0"/>
                  <w:vAlign w:val="center"/>
                </w:tcPr>
                <w:p w14:paraId="0AD2BA40">
                  <w:pPr>
                    <w:pStyle w:val="104"/>
                    <w:keepNext w:val="0"/>
                    <w:keepLines w:val="0"/>
                    <w:widowControl/>
                    <w:suppressLineNumbers w:val="0"/>
                    <w:spacing w:before="0" w:beforeAutospacing="0" w:after="0" w:afterAutospacing="0"/>
                    <w:ind w:left="0" w:right="0"/>
                    <w:rPr>
                      <w:rFonts w:hint="eastAsia" w:ascii="Times New Roman" w:hAnsi="Times New Roman" w:eastAsia="宋体" w:cs="Times New Roman"/>
                      <w:color w:val="auto"/>
                      <w:lang w:eastAsia="zh-CN"/>
                    </w:rPr>
                  </w:pPr>
                  <w:r>
                    <w:rPr>
                      <w:rFonts w:hint="default" w:ascii="Times New Roman" w:hAnsi="Times New Roman" w:eastAsia="宋体" w:cs="Times New Roman"/>
                      <w:color w:val="auto"/>
                    </w:rPr>
                    <w:t>本项目不涉及工业炉窑，废气经采取有效措施后均能达标排放，</w:t>
                  </w:r>
                  <w:r>
                    <w:rPr>
                      <w:rFonts w:hint="eastAsia" w:ascii="Times New Roman" w:hAnsi="Times New Roman" w:eastAsia="宋体" w:cs="Times New Roman"/>
                      <w:color w:val="auto"/>
                      <w:lang w:val="en-US" w:eastAsia="zh-CN"/>
                    </w:rPr>
                    <w:t>本项目不涉及VOCs排放</w:t>
                  </w:r>
                  <w:r>
                    <w:rPr>
                      <w:rFonts w:hint="eastAsia" w:ascii="Times New Roman" w:hAnsi="Times New Roman" w:eastAsia="宋体" w:cs="Times New Roman"/>
                      <w:color w:val="auto"/>
                      <w:lang w:eastAsia="zh-CN"/>
                    </w:rPr>
                    <w:t>。</w:t>
                  </w:r>
                </w:p>
              </w:tc>
              <w:tc>
                <w:tcPr>
                  <w:tcW w:w="479" w:type="pct"/>
                  <w:tcBorders>
                    <w:tl2br w:val="nil"/>
                    <w:tr2bl w:val="nil"/>
                  </w:tcBorders>
                  <w:noWrap w:val="0"/>
                  <w:vAlign w:val="center"/>
                </w:tcPr>
                <w:p w14:paraId="68EEDCAA">
                  <w:pPr>
                    <w:pStyle w:val="104"/>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rPr>
                  </w:pPr>
                  <w:r>
                    <w:rPr>
                      <w:rFonts w:hint="default" w:ascii="Times New Roman" w:hAnsi="Times New Roman" w:eastAsia="宋体" w:cs="Times New Roman"/>
                      <w:color w:val="auto"/>
                    </w:rPr>
                    <w:t>符合</w:t>
                  </w:r>
                </w:p>
              </w:tc>
            </w:tr>
            <w:tr w14:paraId="159591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5" w:type="pct"/>
                  <w:tcBorders>
                    <w:tl2br w:val="nil"/>
                    <w:tr2bl w:val="nil"/>
                  </w:tcBorders>
                  <w:noWrap w:val="0"/>
                  <w:vAlign w:val="center"/>
                </w:tcPr>
                <w:p w14:paraId="6C6D8616">
                  <w:pPr>
                    <w:pStyle w:val="104"/>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rPr>
                  </w:pPr>
                  <w:r>
                    <w:rPr>
                      <w:rFonts w:hint="default" w:ascii="Times New Roman" w:hAnsi="Times New Roman" w:eastAsia="宋体" w:cs="Times New Roman"/>
                      <w:color w:val="auto"/>
                    </w:rPr>
                    <w:t>3</w:t>
                  </w:r>
                </w:p>
              </w:tc>
              <w:tc>
                <w:tcPr>
                  <w:tcW w:w="2621" w:type="pct"/>
                  <w:tcBorders>
                    <w:tl2br w:val="nil"/>
                    <w:tr2bl w:val="nil"/>
                  </w:tcBorders>
                  <w:noWrap w:val="0"/>
                  <w:vAlign w:val="center"/>
                </w:tcPr>
                <w:p w14:paraId="7074F7C8">
                  <w:pPr>
                    <w:pStyle w:val="104"/>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rPr>
                  </w:pPr>
                  <w:r>
                    <w:rPr>
                      <w:rFonts w:hint="default" w:ascii="Times New Roman" w:hAnsi="Times New Roman" w:eastAsia="宋体" w:cs="Times New Roman"/>
                      <w:color w:val="auto"/>
                    </w:rPr>
                    <w:t>强化水环境污染治理：强化工业污水综合整治。深入实施工业企业污水处理设施升级改造</w:t>
                  </w:r>
                  <w:r>
                    <w:rPr>
                      <w:rFonts w:hint="eastAsia" w:ascii="Times New Roman" w:hAnsi="Times New Roman" w:eastAsia="宋体" w:cs="Times New Roman"/>
                      <w:color w:val="auto"/>
                    </w:rPr>
                    <w:t>，</w:t>
                  </w:r>
                  <w:r>
                    <w:rPr>
                      <w:rFonts w:hint="default" w:ascii="Times New Roman" w:hAnsi="Times New Roman" w:eastAsia="宋体" w:cs="Times New Roman"/>
                      <w:color w:val="auto"/>
                    </w:rPr>
                    <w:t>重点开展电子信息、造纸、印染、化工、酿造等行业废水专项治理</w:t>
                  </w:r>
                  <w:r>
                    <w:rPr>
                      <w:rFonts w:hint="eastAsia" w:ascii="Times New Roman" w:hAnsi="Times New Roman" w:eastAsia="宋体" w:cs="Times New Roman"/>
                      <w:color w:val="auto"/>
                    </w:rPr>
                    <w:t>，</w:t>
                  </w:r>
                  <w:r>
                    <w:rPr>
                      <w:rFonts w:hint="default" w:ascii="Times New Roman" w:hAnsi="Times New Roman" w:eastAsia="宋体" w:cs="Times New Roman"/>
                      <w:color w:val="auto"/>
                    </w:rPr>
                    <w:t>全面实现工业废水达标排放。</w:t>
                  </w:r>
                </w:p>
              </w:tc>
              <w:tc>
                <w:tcPr>
                  <w:tcW w:w="1554" w:type="pct"/>
                  <w:tcBorders>
                    <w:tl2br w:val="nil"/>
                    <w:tr2bl w:val="nil"/>
                  </w:tcBorders>
                  <w:noWrap w:val="0"/>
                  <w:vAlign w:val="center"/>
                </w:tcPr>
                <w:p w14:paraId="5BAF9BEA">
                  <w:pPr>
                    <w:pStyle w:val="104"/>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eastAsia" w:ascii="Times New Roman" w:hAnsi="Times New Roman" w:eastAsia="宋体" w:cs="宋体"/>
                      <w:b w:val="0"/>
                      <w:bCs w:val="0"/>
                      <w:color w:val="auto"/>
                      <w:kern w:val="0"/>
                      <w:sz w:val="21"/>
                      <w:szCs w:val="21"/>
                      <w:lang w:val="en-US" w:eastAsia="zh-CN" w:bidi="ar-SA"/>
                    </w:rPr>
                    <w:t>本项目生活污水经预处理池处理后定期由槽罐车转运至</w:t>
                  </w:r>
                  <w:r>
                    <w:rPr>
                      <w:rFonts w:hint="eastAsia" w:cs="宋体"/>
                      <w:b w:val="0"/>
                      <w:bCs w:val="0"/>
                      <w:color w:val="auto"/>
                      <w:kern w:val="0"/>
                      <w:sz w:val="21"/>
                      <w:szCs w:val="21"/>
                      <w:lang w:val="en-US" w:eastAsia="zh-CN" w:bidi="ar-SA"/>
                    </w:rPr>
                    <w:t>邻水县大步口污水处理站</w:t>
                  </w:r>
                  <w:r>
                    <w:rPr>
                      <w:rFonts w:hint="eastAsia" w:ascii="Times New Roman" w:hAnsi="Times New Roman" w:eastAsia="宋体" w:cs="宋体"/>
                      <w:b w:val="0"/>
                      <w:bCs w:val="0"/>
                      <w:color w:val="auto"/>
                      <w:kern w:val="0"/>
                      <w:sz w:val="21"/>
                      <w:szCs w:val="21"/>
                      <w:lang w:val="en-US" w:eastAsia="zh-CN" w:bidi="ar-SA"/>
                    </w:rPr>
                    <w:t>进行进一步处理后排入大洪河</w:t>
                  </w:r>
                  <w:r>
                    <w:rPr>
                      <w:rFonts w:hint="eastAsia" w:cs="宋体"/>
                      <w:b w:val="0"/>
                      <w:bCs w:val="0"/>
                      <w:color w:val="auto"/>
                      <w:kern w:val="0"/>
                      <w:sz w:val="21"/>
                      <w:szCs w:val="21"/>
                      <w:lang w:val="en-US" w:eastAsia="zh-CN" w:bidi="ar-SA"/>
                    </w:rPr>
                    <w:t>；洗砂</w:t>
                  </w:r>
                  <w:r>
                    <w:rPr>
                      <w:rFonts w:hint="eastAsia" w:ascii="Times New Roman" w:hAnsi="Times New Roman" w:eastAsia="宋体" w:cs="宋体"/>
                      <w:b w:val="0"/>
                      <w:bCs w:val="0"/>
                      <w:color w:val="auto"/>
                      <w:kern w:val="0"/>
                      <w:sz w:val="21"/>
                      <w:szCs w:val="21"/>
                      <w:lang w:val="en-US" w:eastAsia="zh-CN" w:bidi="ar-SA"/>
                    </w:rPr>
                    <w:t>废水</w:t>
                  </w:r>
                  <w:r>
                    <w:rPr>
                      <w:rFonts w:hint="eastAsia" w:cs="宋体"/>
                      <w:b w:val="0"/>
                      <w:bCs w:val="0"/>
                      <w:color w:val="auto"/>
                      <w:kern w:val="0"/>
                      <w:sz w:val="21"/>
                      <w:szCs w:val="21"/>
                      <w:lang w:val="en-US" w:eastAsia="zh-CN" w:bidi="ar-SA"/>
                    </w:rPr>
                    <w:t>、降尘废水、车辆冲洗废水和初期雨水</w:t>
                  </w:r>
                  <w:r>
                    <w:rPr>
                      <w:rFonts w:hint="eastAsia" w:ascii="Times New Roman" w:hAnsi="Times New Roman" w:eastAsia="宋体" w:cs="宋体"/>
                      <w:b w:val="0"/>
                      <w:bCs w:val="0"/>
                      <w:color w:val="auto"/>
                      <w:kern w:val="0"/>
                      <w:sz w:val="21"/>
                      <w:szCs w:val="21"/>
                      <w:lang w:val="en-US" w:eastAsia="zh-CN" w:bidi="ar-SA"/>
                    </w:rPr>
                    <w:t>经絮凝沉淀+压滤处理后回用于生产</w:t>
                  </w:r>
                  <w:r>
                    <w:rPr>
                      <w:rFonts w:hint="eastAsia" w:cs="宋体"/>
                      <w:b w:val="0"/>
                      <w:bCs w:val="0"/>
                      <w:color w:val="000000"/>
                      <w:kern w:val="0"/>
                      <w:sz w:val="21"/>
                      <w:szCs w:val="21"/>
                      <w:lang w:val="en-US" w:eastAsia="zh-CN" w:bidi="ar"/>
                    </w:rPr>
                    <w:t>。</w:t>
                  </w:r>
                </w:p>
              </w:tc>
              <w:tc>
                <w:tcPr>
                  <w:tcW w:w="479" w:type="pct"/>
                  <w:tcBorders>
                    <w:tl2br w:val="nil"/>
                    <w:tr2bl w:val="nil"/>
                  </w:tcBorders>
                  <w:noWrap w:val="0"/>
                  <w:vAlign w:val="center"/>
                </w:tcPr>
                <w:p w14:paraId="3494FC30">
                  <w:pPr>
                    <w:pStyle w:val="104"/>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rPr>
                  </w:pPr>
                  <w:r>
                    <w:rPr>
                      <w:rFonts w:hint="default" w:ascii="Times New Roman" w:hAnsi="Times New Roman" w:eastAsia="宋体" w:cs="Times New Roman"/>
                      <w:color w:val="auto"/>
                    </w:rPr>
                    <w:t>符合</w:t>
                  </w:r>
                </w:p>
              </w:tc>
            </w:tr>
            <w:tr w14:paraId="693478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5" w:type="pct"/>
                  <w:tcBorders>
                    <w:tl2br w:val="nil"/>
                    <w:tr2bl w:val="nil"/>
                  </w:tcBorders>
                  <w:noWrap w:val="0"/>
                  <w:vAlign w:val="center"/>
                </w:tcPr>
                <w:p w14:paraId="3152C027">
                  <w:pPr>
                    <w:pStyle w:val="104"/>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rPr>
                  </w:pPr>
                  <w:r>
                    <w:rPr>
                      <w:rFonts w:hint="default" w:ascii="Times New Roman" w:hAnsi="Times New Roman" w:eastAsia="宋体" w:cs="Times New Roman"/>
                      <w:color w:val="auto"/>
                    </w:rPr>
                    <w:t>4</w:t>
                  </w:r>
                </w:p>
              </w:tc>
              <w:tc>
                <w:tcPr>
                  <w:tcW w:w="2621" w:type="pct"/>
                  <w:tcBorders>
                    <w:tl2br w:val="nil"/>
                    <w:tr2bl w:val="nil"/>
                  </w:tcBorders>
                  <w:noWrap w:val="0"/>
                  <w:vAlign w:val="center"/>
                </w:tcPr>
                <w:p w14:paraId="5D59D6B0">
                  <w:pPr>
                    <w:pStyle w:val="104"/>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rPr>
                  </w:pPr>
                  <w:r>
                    <w:rPr>
                      <w:rFonts w:hint="default" w:ascii="Times New Roman" w:hAnsi="Times New Roman" w:eastAsia="宋体" w:cs="Times New Roman"/>
                      <w:color w:val="auto"/>
                    </w:rPr>
                    <w:t>推进土壤污染源头防控：防范新增土壤污染。严格重点行业企业准入，规范新</w:t>
                  </w:r>
                  <w:r>
                    <w:rPr>
                      <w:rFonts w:hint="eastAsia" w:ascii="Times New Roman" w:hAnsi="Times New Roman" w:eastAsia="宋体" w:cs="Times New Roman"/>
                      <w:color w:val="auto"/>
                    </w:rPr>
                    <w:t>（</w:t>
                  </w:r>
                  <w:r>
                    <w:rPr>
                      <w:rFonts w:hint="default" w:ascii="Times New Roman" w:hAnsi="Times New Roman" w:eastAsia="宋体" w:cs="Times New Roman"/>
                      <w:color w:val="auto"/>
                    </w:rPr>
                    <w:t>改、扩</w:t>
                  </w:r>
                  <w:r>
                    <w:rPr>
                      <w:rFonts w:hint="eastAsia" w:ascii="Times New Roman" w:hAnsi="Times New Roman" w:eastAsia="宋体" w:cs="Times New Roman"/>
                      <w:color w:val="auto"/>
                    </w:rPr>
                    <w:t>）</w:t>
                  </w:r>
                  <w:r>
                    <w:rPr>
                      <w:rFonts w:hint="default" w:ascii="Times New Roman" w:hAnsi="Times New Roman" w:eastAsia="宋体" w:cs="Times New Roman"/>
                      <w:color w:val="auto"/>
                    </w:rPr>
                    <w:t>建项目土壤环境调查</w:t>
                  </w:r>
                  <w:r>
                    <w:rPr>
                      <w:rFonts w:hint="eastAsia" w:ascii="Times New Roman" w:hAnsi="Times New Roman" w:eastAsia="宋体" w:cs="Times New Roman"/>
                      <w:color w:val="auto"/>
                    </w:rPr>
                    <w:t>，</w:t>
                  </w:r>
                  <w:r>
                    <w:rPr>
                      <w:rFonts w:hint="default" w:ascii="Times New Roman" w:hAnsi="Times New Roman" w:eastAsia="宋体" w:cs="Times New Roman"/>
                      <w:color w:val="auto"/>
                    </w:rPr>
                    <w:t>落实涉及有毒有害物质土壤污染防治要求。</w:t>
                  </w:r>
                </w:p>
              </w:tc>
              <w:tc>
                <w:tcPr>
                  <w:tcW w:w="1554" w:type="pct"/>
                  <w:tcBorders>
                    <w:tl2br w:val="nil"/>
                    <w:tr2bl w:val="nil"/>
                  </w:tcBorders>
                  <w:noWrap w:val="0"/>
                  <w:vAlign w:val="center"/>
                </w:tcPr>
                <w:p w14:paraId="1FD69ECC">
                  <w:pPr>
                    <w:pStyle w:val="104"/>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eastAsia" w:cs="Times New Roman"/>
                      <w:color w:val="auto"/>
                      <w:lang w:val="en-US" w:eastAsia="zh-CN"/>
                    </w:rPr>
                    <w:t>项目采取分区防渗措施</w:t>
                  </w:r>
                </w:p>
              </w:tc>
              <w:tc>
                <w:tcPr>
                  <w:tcW w:w="479" w:type="pct"/>
                  <w:tcBorders>
                    <w:tl2br w:val="nil"/>
                    <w:tr2bl w:val="nil"/>
                  </w:tcBorders>
                  <w:noWrap w:val="0"/>
                  <w:vAlign w:val="center"/>
                </w:tcPr>
                <w:p w14:paraId="522E8E89">
                  <w:pPr>
                    <w:pStyle w:val="104"/>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rPr>
                  </w:pPr>
                  <w:r>
                    <w:rPr>
                      <w:rFonts w:hint="default" w:ascii="Times New Roman" w:hAnsi="Times New Roman" w:eastAsia="宋体" w:cs="Times New Roman"/>
                      <w:color w:val="auto"/>
                    </w:rPr>
                    <w:t>符合</w:t>
                  </w:r>
                </w:p>
              </w:tc>
            </w:tr>
            <w:tr w14:paraId="14627B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5" w:type="pct"/>
                  <w:tcBorders>
                    <w:tl2br w:val="nil"/>
                    <w:tr2bl w:val="nil"/>
                  </w:tcBorders>
                  <w:noWrap w:val="0"/>
                  <w:vAlign w:val="center"/>
                </w:tcPr>
                <w:p w14:paraId="612955A7">
                  <w:pPr>
                    <w:pStyle w:val="104"/>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rPr>
                  </w:pPr>
                  <w:r>
                    <w:rPr>
                      <w:rFonts w:hint="default" w:ascii="Times New Roman" w:hAnsi="Times New Roman" w:eastAsia="宋体" w:cs="Times New Roman"/>
                      <w:color w:val="auto"/>
                    </w:rPr>
                    <w:t>5</w:t>
                  </w:r>
                </w:p>
              </w:tc>
              <w:tc>
                <w:tcPr>
                  <w:tcW w:w="2621" w:type="pct"/>
                  <w:tcBorders>
                    <w:tl2br w:val="nil"/>
                    <w:tr2bl w:val="nil"/>
                  </w:tcBorders>
                  <w:noWrap w:val="0"/>
                  <w:vAlign w:val="center"/>
                </w:tcPr>
                <w:p w14:paraId="039987C8">
                  <w:pPr>
                    <w:pStyle w:val="104"/>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rPr>
                  </w:pPr>
                  <w:r>
                    <w:rPr>
                      <w:rFonts w:hint="default" w:ascii="Times New Roman" w:hAnsi="Times New Roman" w:eastAsia="宋体" w:cs="Times New Roman"/>
                      <w:color w:val="auto"/>
                    </w:rPr>
                    <w:t>强化固体废弃物分类处置：加强源头减量。推进工业减废行动，延伸重点行业产业链，鼓励固体废物产生量大的企业开展清洁生产，减少固体废物产生量。</w:t>
                  </w:r>
                </w:p>
              </w:tc>
              <w:tc>
                <w:tcPr>
                  <w:tcW w:w="1554" w:type="pct"/>
                  <w:tcBorders>
                    <w:tl2br w:val="nil"/>
                    <w:tr2bl w:val="nil"/>
                  </w:tcBorders>
                  <w:noWrap w:val="0"/>
                  <w:vAlign w:val="center"/>
                </w:tcPr>
                <w:p w14:paraId="471E82DB">
                  <w:pPr>
                    <w:pStyle w:val="104"/>
                    <w:keepNext w:val="0"/>
                    <w:keepLines w:val="0"/>
                    <w:widowControl/>
                    <w:suppressLineNumbers w:val="0"/>
                    <w:spacing w:before="0" w:beforeAutospacing="0" w:after="0" w:afterAutospacing="0"/>
                    <w:ind w:left="0" w:right="0"/>
                    <w:rPr>
                      <w:rFonts w:hint="eastAsia" w:ascii="Times New Roman" w:hAnsi="Times New Roman" w:eastAsia="宋体" w:cs="Times New Roman"/>
                      <w:color w:val="auto"/>
                      <w:lang w:eastAsia="zh-CN"/>
                    </w:rPr>
                  </w:pPr>
                  <w:r>
                    <w:rPr>
                      <w:rFonts w:hint="default" w:ascii="Times New Roman" w:hAnsi="Times New Roman" w:eastAsia="宋体" w:cs="Times New Roman"/>
                      <w:color w:val="auto"/>
                    </w:rPr>
                    <w:t>本项目生产过程中可回</w:t>
                  </w:r>
                  <w:r>
                    <w:rPr>
                      <w:rFonts w:hint="eastAsia" w:ascii="Times New Roman" w:hAnsi="Times New Roman" w:eastAsia="宋体" w:cs="Times New Roman"/>
                      <w:color w:val="auto"/>
                      <w:lang w:val="en-US" w:eastAsia="zh-CN"/>
                    </w:rPr>
                    <w:t>固废进行外售综合利用</w:t>
                  </w:r>
                  <w:r>
                    <w:rPr>
                      <w:rFonts w:hint="default" w:ascii="Times New Roman" w:hAnsi="Times New Roman" w:eastAsia="宋体" w:cs="Times New Roman"/>
                      <w:color w:val="auto"/>
                    </w:rPr>
                    <w:t>，从源头减少了危险废物</w:t>
                  </w:r>
                  <w:r>
                    <w:rPr>
                      <w:rFonts w:hint="eastAsia" w:ascii="Times New Roman" w:hAnsi="Times New Roman" w:eastAsia="宋体" w:cs="Times New Roman"/>
                      <w:color w:val="auto"/>
                      <w:lang w:eastAsia="zh-CN"/>
                    </w:rPr>
                    <w:t>。</w:t>
                  </w:r>
                </w:p>
              </w:tc>
              <w:tc>
                <w:tcPr>
                  <w:tcW w:w="479" w:type="pct"/>
                  <w:tcBorders>
                    <w:tl2br w:val="nil"/>
                    <w:tr2bl w:val="nil"/>
                  </w:tcBorders>
                  <w:noWrap w:val="0"/>
                  <w:vAlign w:val="center"/>
                </w:tcPr>
                <w:p w14:paraId="26822666">
                  <w:pPr>
                    <w:pStyle w:val="104"/>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rPr>
                  </w:pPr>
                  <w:r>
                    <w:rPr>
                      <w:rFonts w:hint="default" w:ascii="Times New Roman" w:hAnsi="Times New Roman" w:eastAsia="宋体" w:cs="Times New Roman"/>
                      <w:color w:val="auto"/>
                    </w:rPr>
                    <w:t>符合</w:t>
                  </w:r>
                </w:p>
              </w:tc>
            </w:tr>
            <w:tr w14:paraId="584772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5" w:type="pct"/>
                  <w:tcBorders>
                    <w:tl2br w:val="nil"/>
                    <w:tr2bl w:val="nil"/>
                  </w:tcBorders>
                  <w:noWrap w:val="0"/>
                  <w:vAlign w:val="center"/>
                </w:tcPr>
                <w:p w14:paraId="080E624E">
                  <w:pPr>
                    <w:pStyle w:val="104"/>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rPr>
                  </w:pPr>
                  <w:r>
                    <w:rPr>
                      <w:rFonts w:hint="default" w:ascii="Times New Roman" w:hAnsi="Times New Roman" w:eastAsia="宋体" w:cs="Times New Roman"/>
                      <w:color w:val="auto"/>
                    </w:rPr>
                    <w:t>6</w:t>
                  </w:r>
                </w:p>
              </w:tc>
              <w:tc>
                <w:tcPr>
                  <w:tcW w:w="2621" w:type="pct"/>
                  <w:tcBorders>
                    <w:tl2br w:val="nil"/>
                    <w:tr2bl w:val="nil"/>
                  </w:tcBorders>
                  <w:noWrap w:val="0"/>
                  <w:vAlign w:val="center"/>
                </w:tcPr>
                <w:p w14:paraId="7C8C8BA6">
                  <w:pPr>
                    <w:pStyle w:val="104"/>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rPr>
                  </w:pPr>
                  <w:r>
                    <w:rPr>
                      <w:rFonts w:hint="default" w:ascii="Times New Roman" w:hAnsi="Times New Roman" w:eastAsia="宋体" w:cs="Times New Roman"/>
                      <w:color w:val="auto"/>
                    </w:rPr>
                    <w:t>强化环境风险防范：加强行业、园区、企业风险防范管控。健全环境安全隐患治理制度，落实化工园区、饮用水水源地、尾矿库及涉危、涉重、涉有毒有害物质的重点区域、行业、领域环境风险防控措施，建立环境安全隐患动态清单，落实环境风险防范主体责任，防范化解重特大突发生态环境事件风险。</w:t>
                  </w:r>
                </w:p>
              </w:tc>
              <w:tc>
                <w:tcPr>
                  <w:tcW w:w="1554" w:type="pct"/>
                  <w:tcBorders>
                    <w:tl2br w:val="nil"/>
                    <w:tr2bl w:val="nil"/>
                  </w:tcBorders>
                  <w:noWrap w:val="0"/>
                  <w:vAlign w:val="center"/>
                </w:tcPr>
                <w:p w14:paraId="073D753B">
                  <w:pPr>
                    <w:pStyle w:val="104"/>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rPr>
                  </w:pPr>
                  <w:r>
                    <w:rPr>
                      <w:rFonts w:hint="default" w:ascii="Times New Roman" w:hAnsi="Times New Roman" w:eastAsia="宋体" w:cs="Times New Roman"/>
                      <w:color w:val="auto"/>
                    </w:rPr>
                    <w:t>环境风险评价认为，项目风险防范措施及应急预案可靠且可行，项目的风险处于环境可接受的水平。</w:t>
                  </w:r>
                </w:p>
              </w:tc>
              <w:tc>
                <w:tcPr>
                  <w:tcW w:w="479" w:type="pct"/>
                  <w:tcBorders>
                    <w:tl2br w:val="nil"/>
                    <w:tr2bl w:val="nil"/>
                  </w:tcBorders>
                  <w:noWrap w:val="0"/>
                  <w:vAlign w:val="center"/>
                </w:tcPr>
                <w:p w14:paraId="13CC25BB">
                  <w:pPr>
                    <w:pStyle w:val="104"/>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rPr>
                  </w:pPr>
                  <w:r>
                    <w:rPr>
                      <w:rFonts w:hint="default" w:ascii="Times New Roman" w:hAnsi="Times New Roman" w:eastAsia="宋体" w:cs="Times New Roman"/>
                      <w:color w:val="auto"/>
                    </w:rPr>
                    <w:t>符合</w:t>
                  </w:r>
                </w:p>
              </w:tc>
            </w:tr>
          </w:tbl>
          <w:p w14:paraId="2552A7F2">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0" w:firstLineChars="200"/>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color w:val="auto"/>
                <w:kern w:val="2"/>
                <w:sz w:val="24"/>
                <w:szCs w:val="24"/>
              </w:rPr>
              <w:t>根据上表可知，</w:t>
            </w:r>
            <w:r>
              <w:rPr>
                <w:rFonts w:hint="eastAsia" w:ascii="Times New Roman" w:hAnsi="Times New Roman" w:eastAsia="宋体" w:cs="Times New Roman"/>
                <w:color w:val="auto"/>
                <w:kern w:val="2"/>
                <w:sz w:val="24"/>
                <w:szCs w:val="24"/>
                <w:lang w:val="en-US" w:eastAsia="zh-CN"/>
              </w:rPr>
              <w:t>本</w:t>
            </w:r>
            <w:r>
              <w:rPr>
                <w:rFonts w:hint="eastAsia" w:ascii="Times New Roman" w:hAnsi="Times New Roman" w:eastAsia="宋体" w:cs="Times New Roman"/>
                <w:color w:val="auto"/>
                <w:kern w:val="2"/>
                <w:sz w:val="24"/>
                <w:szCs w:val="24"/>
              </w:rPr>
              <w:t>项目符合《四川省“十四五”生态环境保护规划》（川府发</w:t>
            </w:r>
            <w:r>
              <w:rPr>
                <w:rFonts w:hint="eastAsia" w:ascii="Times New Roman" w:hAnsi="Times New Roman" w:eastAsia="宋体" w:cs="Times New Roman"/>
                <w:color w:val="auto"/>
                <w:kern w:val="2"/>
                <w:sz w:val="24"/>
                <w:szCs w:val="24"/>
                <w:lang w:eastAsia="zh-CN"/>
              </w:rPr>
              <w:t>〔2022〕</w:t>
            </w:r>
            <w:r>
              <w:rPr>
                <w:rFonts w:hint="eastAsia" w:ascii="Times New Roman" w:hAnsi="Times New Roman" w:eastAsia="宋体" w:cs="Times New Roman"/>
                <w:color w:val="auto"/>
                <w:kern w:val="2"/>
                <w:sz w:val="24"/>
                <w:szCs w:val="24"/>
              </w:rPr>
              <w:t>2号）</w:t>
            </w:r>
            <w:r>
              <w:rPr>
                <w:rFonts w:hint="eastAsia" w:ascii="Times New Roman" w:hAnsi="Times New Roman" w:eastAsia="宋体" w:cs="Times New Roman"/>
                <w:color w:val="auto"/>
                <w:kern w:val="2"/>
                <w:sz w:val="24"/>
                <w:szCs w:val="24"/>
                <w:lang w:val="en-US" w:eastAsia="zh-CN"/>
              </w:rPr>
              <w:t>相关内容。</w:t>
            </w:r>
          </w:p>
          <w:p w14:paraId="361CD3BD">
            <w:pPr>
              <w:pStyle w:val="11"/>
              <w:keepNext w:val="0"/>
              <w:keepLines w:val="0"/>
              <w:pageBreakBefore w:val="0"/>
              <w:numPr>
                <w:ilvl w:val="0"/>
                <w:numId w:val="0"/>
              </w:numPr>
              <w:suppressLineNumbers w:val="0"/>
              <w:kinsoku/>
              <w:wordWrap/>
              <w:overflowPunct/>
              <w:topLinePunct w:val="0"/>
              <w:autoSpaceDE/>
              <w:autoSpaceDN/>
              <w:bidi w:val="0"/>
              <w:spacing w:before="0" w:beforeAutospacing="0" w:after="0" w:afterAutospacing="0" w:line="360" w:lineRule="auto"/>
              <w:ind w:left="0" w:right="0" w:rightChars="0"/>
              <w:textAlignment w:val="auto"/>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val="en-US" w:eastAsia="zh-CN"/>
              </w:rPr>
              <w:t>六、</w:t>
            </w:r>
            <w:r>
              <w:rPr>
                <w:rFonts w:hint="eastAsia" w:ascii="Times New Roman" w:hAnsi="Times New Roman" w:eastAsia="宋体" w:cs="Times New Roman"/>
                <w:b/>
                <w:bCs/>
                <w:color w:val="auto"/>
                <w:sz w:val="24"/>
                <w:szCs w:val="24"/>
              </w:rPr>
              <w:t>与《广安市“十四五”生态环境保护规划》符合性分析</w:t>
            </w:r>
          </w:p>
          <w:p w14:paraId="74962FCA">
            <w:pPr>
              <w:pStyle w:val="11"/>
              <w:keepNext w:val="0"/>
              <w:keepLines w:val="0"/>
              <w:pageBreakBefore w:val="0"/>
              <w:numPr>
                <w:ilvl w:val="0"/>
                <w:numId w:val="0"/>
              </w:numPr>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heme="minorEastAsia"/>
                <w:b/>
                <w:bCs/>
                <w:color w:val="auto"/>
                <w:kern w:val="0"/>
                <w:sz w:val="21"/>
                <w:szCs w:val="21"/>
                <w:lang w:val="en-US" w:eastAsia="zh-CN"/>
              </w:rPr>
            </w:pPr>
            <w:r>
              <w:rPr>
                <w:rFonts w:hint="eastAsia" w:ascii="Times New Roman" w:hAnsi="Times New Roman" w:eastAsia="宋体" w:cstheme="minorEastAsia"/>
                <w:b/>
                <w:bCs/>
                <w:color w:val="auto"/>
                <w:sz w:val="21"/>
                <w:szCs w:val="21"/>
                <w:lang w:val="en-US" w:eastAsia="zh-CN"/>
              </w:rPr>
              <w:t>表1-</w:t>
            </w:r>
            <w:r>
              <w:rPr>
                <w:rFonts w:hint="eastAsia" w:cstheme="minorEastAsia"/>
                <w:b/>
                <w:bCs/>
                <w:color w:val="auto"/>
                <w:sz w:val="21"/>
                <w:szCs w:val="21"/>
                <w:lang w:val="en-US" w:eastAsia="zh-CN"/>
              </w:rPr>
              <w:t>8</w:t>
            </w:r>
            <w:r>
              <w:rPr>
                <w:rFonts w:hint="eastAsia" w:ascii="Times New Roman" w:hAnsi="Times New Roman" w:eastAsia="宋体" w:cstheme="minorEastAsia"/>
                <w:b/>
                <w:bCs/>
                <w:color w:val="auto"/>
                <w:sz w:val="21"/>
                <w:szCs w:val="21"/>
                <w:lang w:val="en-US" w:eastAsia="zh-CN"/>
              </w:rPr>
              <w:t xml:space="preserve"> </w:t>
            </w:r>
            <w:r>
              <w:rPr>
                <w:rFonts w:hint="eastAsia" w:ascii="Times New Roman" w:hAnsi="Times New Roman" w:eastAsia="宋体" w:cstheme="minorEastAsia"/>
                <w:b/>
                <w:bCs/>
                <w:color w:val="auto"/>
                <w:kern w:val="0"/>
                <w:sz w:val="21"/>
                <w:szCs w:val="21"/>
                <w:lang w:val="en-US" w:eastAsia="zh-CN"/>
              </w:rPr>
              <w:t xml:space="preserve"> 项目与《广安市“十四五”生态环境保护规划》符合性分析</w:t>
            </w:r>
          </w:p>
          <w:tbl>
            <w:tblPr>
              <w:tblStyle w:val="25"/>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55"/>
              <w:gridCol w:w="4799"/>
              <w:gridCol w:w="1840"/>
              <w:gridCol w:w="565"/>
            </w:tblGrid>
            <w:tr w14:paraId="7E9101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7" w:type="pct"/>
                  <w:tcBorders>
                    <w:tl2br w:val="nil"/>
                    <w:tr2bl w:val="nil"/>
                  </w:tcBorders>
                  <w:noWrap w:val="0"/>
                  <w:vAlign w:val="center"/>
                </w:tcPr>
                <w:p w14:paraId="0FA08F57">
                  <w:pPr>
                    <w:pStyle w:val="104"/>
                    <w:keepNext w:val="0"/>
                    <w:keepLines w:val="0"/>
                    <w:widowControl/>
                    <w:suppressLineNumbers w:val="0"/>
                    <w:spacing w:before="0" w:beforeAutospacing="0" w:after="0" w:afterAutospacing="0"/>
                    <w:ind w:left="0" w:right="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编号</w:t>
                  </w:r>
                </w:p>
              </w:tc>
              <w:tc>
                <w:tcPr>
                  <w:tcW w:w="3132" w:type="pct"/>
                  <w:tcBorders>
                    <w:tl2br w:val="nil"/>
                    <w:tr2bl w:val="nil"/>
                  </w:tcBorders>
                  <w:noWrap w:val="0"/>
                  <w:vAlign w:val="center"/>
                </w:tcPr>
                <w:p w14:paraId="40477A0E">
                  <w:pPr>
                    <w:pStyle w:val="104"/>
                    <w:keepNext w:val="0"/>
                    <w:keepLines w:val="0"/>
                    <w:widowControl/>
                    <w:suppressLineNumbers w:val="0"/>
                    <w:spacing w:before="0" w:beforeAutospacing="0" w:after="0" w:afterAutospacing="0"/>
                    <w:ind w:left="0" w:right="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《广安市</w:t>
                  </w:r>
                  <w:r>
                    <w:rPr>
                      <w:rFonts w:hint="eastAsia" w:ascii="Times New Roman" w:hAnsi="Times New Roman" w:eastAsia="宋体" w:cs="Times New Roman"/>
                      <w:b/>
                      <w:bCs/>
                      <w:color w:val="auto"/>
                    </w:rPr>
                    <w:t>“</w:t>
                  </w:r>
                  <w:r>
                    <w:rPr>
                      <w:rFonts w:hint="default" w:ascii="Times New Roman" w:hAnsi="Times New Roman" w:eastAsia="宋体" w:cs="Times New Roman"/>
                      <w:b/>
                      <w:bCs/>
                      <w:color w:val="auto"/>
                    </w:rPr>
                    <w:t>十四五</w:t>
                  </w:r>
                  <w:r>
                    <w:rPr>
                      <w:rFonts w:hint="eastAsia" w:ascii="Times New Roman" w:hAnsi="Times New Roman" w:eastAsia="宋体" w:cs="Times New Roman"/>
                      <w:b/>
                      <w:bCs/>
                      <w:color w:val="auto"/>
                    </w:rPr>
                    <w:t>”</w:t>
                  </w:r>
                  <w:r>
                    <w:rPr>
                      <w:rFonts w:hint="default" w:ascii="Times New Roman" w:hAnsi="Times New Roman" w:eastAsia="宋体" w:cs="Times New Roman"/>
                      <w:b/>
                      <w:bCs/>
                      <w:color w:val="auto"/>
                    </w:rPr>
                    <w:t>生态环境保护规划》相关规定</w:t>
                  </w:r>
                </w:p>
              </w:tc>
              <w:tc>
                <w:tcPr>
                  <w:tcW w:w="1201" w:type="pct"/>
                  <w:tcBorders>
                    <w:tl2br w:val="nil"/>
                    <w:tr2bl w:val="nil"/>
                  </w:tcBorders>
                  <w:noWrap w:val="0"/>
                  <w:vAlign w:val="center"/>
                </w:tcPr>
                <w:p w14:paraId="1B1C0D6A">
                  <w:pPr>
                    <w:pStyle w:val="104"/>
                    <w:keepNext w:val="0"/>
                    <w:keepLines w:val="0"/>
                    <w:widowControl/>
                    <w:suppressLineNumbers w:val="0"/>
                    <w:spacing w:before="0" w:beforeAutospacing="0" w:after="0" w:afterAutospacing="0"/>
                    <w:ind w:left="0" w:right="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本项目</w:t>
                  </w:r>
                </w:p>
              </w:tc>
              <w:tc>
                <w:tcPr>
                  <w:tcW w:w="369" w:type="pct"/>
                  <w:tcBorders>
                    <w:tl2br w:val="nil"/>
                    <w:tr2bl w:val="nil"/>
                  </w:tcBorders>
                  <w:noWrap w:val="0"/>
                  <w:vAlign w:val="center"/>
                </w:tcPr>
                <w:p w14:paraId="56B9CCDE">
                  <w:pPr>
                    <w:pStyle w:val="104"/>
                    <w:keepNext w:val="0"/>
                    <w:keepLines w:val="0"/>
                    <w:widowControl/>
                    <w:suppressLineNumbers w:val="0"/>
                    <w:spacing w:before="0" w:beforeAutospacing="0" w:after="0" w:afterAutospacing="0"/>
                    <w:ind w:left="0" w:right="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符合性</w:t>
                  </w:r>
                </w:p>
              </w:tc>
            </w:tr>
            <w:tr w14:paraId="733524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7" w:type="pct"/>
                  <w:tcBorders>
                    <w:tl2br w:val="nil"/>
                    <w:tr2bl w:val="nil"/>
                  </w:tcBorders>
                  <w:noWrap w:val="0"/>
                  <w:vAlign w:val="center"/>
                </w:tcPr>
                <w:p w14:paraId="51302983">
                  <w:pPr>
                    <w:pStyle w:val="104"/>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rPr>
                  </w:pPr>
                  <w:r>
                    <w:rPr>
                      <w:rFonts w:hint="default" w:ascii="Times New Roman" w:hAnsi="Times New Roman" w:eastAsia="宋体" w:cs="Times New Roman"/>
                      <w:color w:val="auto"/>
                    </w:rPr>
                    <w:t>1</w:t>
                  </w:r>
                </w:p>
              </w:tc>
              <w:tc>
                <w:tcPr>
                  <w:tcW w:w="3132" w:type="pct"/>
                  <w:tcBorders>
                    <w:tl2br w:val="nil"/>
                    <w:tr2bl w:val="nil"/>
                  </w:tcBorders>
                  <w:noWrap w:val="0"/>
                  <w:vAlign w:val="center"/>
                </w:tcPr>
                <w:p w14:paraId="1EE19B5D">
                  <w:pPr>
                    <w:pStyle w:val="104"/>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rPr>
                  </w:pPr>
                  <w:r>
                    <w:rPr>
                      <w:rFonts w:hint="default" w:ascii="Times New Roman" w:hAnsi="Times New Roman" w:eastAsia="宋体" w:cs="Times New Roman"/>
                      <w:color w:val="auto"/>
                    </w:rPr>
                    <w:t>加强重点行业深度治理。以电力、建材、陶瓷玻璃等行业为重点加大行业结构调整和污染治理力度，严控“两高”项目污染排放。以火电行业为重点，严密监控大气污染物排放，进一步提升超低排放治理水平，减少大气污染物排放。推进实施水泥行业产能等量或减量替代，实施水泥行业深度治理。强化工业企业治理设施运行监管，加强废气无组织排放管控。加强“散乱污”企业专项治理，实现“散乱污”企业动态清零。严格落实“黑名单”制度，倒逼企业规范化运营。</w:t>
                  </w:r>
                </w:p>
              </w:tc>
              <w:tc>
                <w:tcPr>
                  <w:tcW w:w="1201" w:type="pct"/>
                  <w:tcBorders>
                    <w:tl2br w:val="nil"/>
                    <w:tr2bl w:val="nil"/>
                  </w:tcBorders>
                  <w:noWrap w:val="0"/>
                  <w:vAlign w:val="center"/>
                </w:tcPr>
                <w:p w14:paraId="0F87CD1A">
                  <w:pPr>
                    <w:pStyle w:val="104"/>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rPr>
                  </w:pPr>
                  <w:r>
                    <w:rPr>
                      <w:rFonts w:hint="default" w:ascii="Times New Roman" w:hAnsi="Times New Roman" w:eastAsia="宋体" w:cs="Times New Roman"/>
                      <w:color w:val="auto"/>
                    </w:rPr>
                    <w:t>本项目不属于</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两高</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项目；项目</w:t>
                  </w:r>
                  <w:r>
                    <w:rPr>
                      <w:rFonts w:hint="eastAsia" w:cs="Times New Roman"/>
                      <w:color w:val="auto"/>
                      <w:lang w:val="en-US" w:eastAsia="zh-CN"/>
                    </w:rPr>
                    <w:t>采用湿料加工，生产过程设置喷淋降尘</w:t>
                  </w:r>
                  <w:r>
                    <w:rPr>
                      <w:rFonts w:hint="default" w:ascii="Times New Roman" w:hAnsi="Times New Roman" w:eastAsia="宋体" w:cs="Times New Roman"/>
                      <w:color w:val="auto"/>
                    </w:rPr>
                    <w:t>，减少了无组织排放。</w:t>
                  </w:r>
                </w:p>
              </w:tc>
              <w:tc>
                <w:tcPr>
                  <w:tcW w:w="369" w:type="pct"/>
                  <w:tcBorders>
                    <w:tl2br w:val="nil"/>
                    <w:tr2bl w:val="nil"/>
                  </w:tcBorders>
                  <w:noWrap w:val="0"/>
                  <w:vAlign w:val="center"/>
                </w:tcPr>
                <w:p w14:paraId="36EDB2C8">
                  <w:pPr>
                    <w:pStyle w:val="104"/>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rPr>
                  </w:pPr>
                  <w:r>
                    <w:rPr>
                      <w:rFonts w:hint="default" w:ascii="Times New Roman" w:hAnsi="Times New Roman" w:eastAsia="宋体" w:cs="Times New Roman"/>
                      <w:color w:val="auto"/>
                    </w:rPr>
                    <w:t>符合</w:t>
                  </w:r>
                </w:p>
              </w:tc>
            </w:tr>
            <w:tr w14:paraId="4128D8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7" w:type="pct"/>
                  <w:tcBorders>
                    <w:tl2br w:val="nil"/>
                    <w:tr2bl w:val="nil"/>
                  </w:tcBorders>
                  <w:noWrap w:val="0"/>
                  <w:vAlign w:val="center"/>
                </w:tcPr>
                <w:p w14:paraId="350A282B">
                  <w:pPr>
                    <w:pStyle w:val="104"/>
                    <w:keepNext w:val="0"/>
                    <w:keepLines w:val="0"/>
                    <w:widowControl/>
                    <w:suppressLineNumbers w:val="0"/>
                    <w:spacing w:before="0" w:beforeAutospacing="0" w:after="0" w:afterAutospacing="0"/>
                    <w:ind w:left="0" w:right="0"/>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2</w:t>
                  </w:r>
                </w:p>
              </w:tc>
              <w:tc>
                <w:tcPr>
                  <w:tcW w:w="3132" w:type="pct"/>
                  <w:tcBorders>
                    <w:tl2br w:val="nil"/>
                    <w:tr2bl w:val="nil"/>
                  </w:tcBorders>
                  <w:noWrap w:val="0"/>
                  <w:vAlign w:val="center"/>
                </w:tcPr>
                <w:p w14:paraId="45355697">
                  <w:pPr>
                    <w:pStyle w:val="104"/>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rPr>
                  </w:pPr>
                  <w:r>
                    <w:rPr>
                      <w:rFonts w:hint="default" w:ascii="Times New Roman" w:hAnsi="Times New Roman" w:eastAsia="宋体" w:cs="Times New Roman"/>
                      <w:color w:val="auto"/>
                    </w:rPr>
                    <w:t>深化工业领域水污染防治。深入实施医药、化工、造纸、印染、农药、食品加工等工业企业行业污水处理设施升级改造，加强监管确保末端污水处理设施稳定运行。开展“三磷”整治，完成诚信化工、利尔化学等含磷农药企业整治。实施工业园区废水排放稳定达标行动，依法对不达标工业园区实行社会公开通报制度。完善现有产业园区污水集中处理设施建设和升级改造，开展污水管网排查和整治，重点推进城镇污水处理厂等重点工程减排项目。鼓励同步配套集中式污水处理设施并安装在线监控装置，提高企业与末端处理设施联动监控能力，保障污水处理设施正常运行。</w:t>
                  </w:r>
                </w:p>
              </w:tc>
              <w:tc>
                <w:tcPr>
                  <w:tcW w:w="1201" w:type="pct"/>
                  <w:tcBorders>
                    <w:tl2br w:val="nil"/>
                    <w:tr2bl w:val="nil"/>
                  </w:tcBorders>
                  <w:noWrap w:val="0"/>
                  <w:vAlign w:val="center"/>
                </w:tcPr>
                <w:p w14:paraId="4660CAF0">
                  <w:pPr>
                    <w:pStyle w:val="104"/>
                    <w:keepNext w:val="0"/>
                    <w:keepLines w:val="0"/>
                    <w:widowControl/>
                    <w:suppressLineNumbers w:val="0"/>
                    <w:spacing w:before="0" w:beforeAutospacing="0" w:after="0" w:afterAutospacing="0"/>
                    <w:ind w:left="0" w:right="0"/>
                    <w:rPr>
                      <w:rFonts w:hint="eastAsia" w:ascii="Times New Roman" w:hAnsi="Times New Roman" w:eastAsia="宋体" w:cs="Times New Roman"/>
                      <w:color w:val="auto"/>
                      <w:lang w:eastAsia="zh-CN"/>
                    </w:rPr>
                  </w:pPr>
                  <w:r>
                    <w:rPr>
                      <w:rFonts w:hint="eastAsia" w:ascii="Times New Roman" w:hAnsi="Times New Roman" w:eastAsia="宋体" w:cs="宋体"/>
                      <w:b w:val="0"/>
                      <w:bCs w:val="0"/>
                      <w:color w:val="auto"/>
                      <w:kern w:val="0"/>
                      <w:sz w:val="21"/>
                      <w:szCs w:val="21"/>
                      <w:lang w:val="en-US" w:eastAsia="zh-CN" w:bidi="ar-SA"/>
                    </w:rPr>
                    <w:t>本项目生活污水经预处理池处理后定期由槽罐车转运至</w:t>
                  </w:r>
                  <w:r>
                    <w:rPr>
                      <w:rFonts w:hint="eastAsia" w:cs="宋体"/>
                      <w:b w:val="0"/>
                      <w:bCs w:val="0"/>
                      <w:color w:val="auto"/>
                      <w:kern w:val="0"/>
                      <w:sz w:val="21"/>
                      <w:szCs w:val="21"/>
                      <w:lang w:val="en-US" w:eastAsia="zh-CN" w:bidi="ar-SA"/>
                    </w:rPr>
                    <w:t>邻水县大步口污水处理站</w:t>
                  </w:r>
                  <w:r>
                    <w:rPr>
                      <w:rFonts w:hint="eastAsia" w:ascii="Times New Roman" w:hAnsi="Times New Roman" w:eastAsia="宋体" w:cs="宋体"/>
                      <w:b w:val="0"/>
                      <w:bCs w:val="0"/>
                      <w:color w:val="auto"/>
                      <w:kern w:val="0"/>
                      <w:sz w:val="21"/>
                      <w:szCs w:val="21"/>
                      <w:lang w:val="en-US" w:eastAsia="zh-CN" w:bidi="ar-SA"/>
                    </w:rPr>
                    <w:t>进行进一步处理后排入大洪河</w:t>
                  </w:r>
                  <w:r>
                    <w:rPr>
                      <w:rFonts w:hint="eastAsia" w:cs="宋体"/>
                      <w:b w:val="0"/>
                      <w:bCs w:val="0"/>
                      <w:color w:val="auto"/>
                      <w:kern w:val="0"/>
                      <w:sz w:val="21"/>
                      <w:szCs w:val="21"/>
                      <w:lang w:val="en-US" w:eastAsia="zh-CN" w:bidi="ar-SA"/>
                    </w:rPr>
                    <w:t>；洗砂</w:t>
                  </w:r>
                  <w:r>
                    <w:rPr>
                      <w:rFonts w:hint="eastAsia" w:ascii="Times New Roman" w:hAnsi="Times New Roman" w:eastAsia="宋体" w:cs="宋体"/>
                      <w:b w:val="0"/>
                      <w:bCs w:val="0"/>
                      <w:color w:val="auto"/>
                      <w:kern w:val="0"/>
                      <w:sz w:val="21"/>
                      <w:szCs w:val="21"/>
                      <w:lang w:val="en-US" w:eastAsia="zh-CN" w:bidi="ar-SA"/>
                    </w:rPr>
                    <w:t>废水</w:t>
                  </w:r>
                  <w:r>
                    <w:rPr>
                      <w:rFonts w:hint="eastAsia" w:cs="宋体"/>
                      <w:b w:val="0"/>
                      <w:bCs w:val="0"/>
                      <w:color w:val="auto"/>
                      <w:kern w:val="0"/>
                      <w:sz w:val="21"/>
                      <w:szCs w:val="21"/>
                      <w:lang w:val="en-US" w:eastAsia="zh-CN" w:bidi="ar-SA"/>
                    </w:rPr>
                    <w:t>、降尘废水、车辆冲洗废水和初期雨水</w:t>
                  </w:r>
                  <w:r>
                    <w:rPr>
                      <w:rFonts w:hint="eastAsia" w:ascii="Times New Roman" w:hAnsi="Times New Roman" w:eastAsia="宋体" w:cs="宋体"/>
                      <w:b w:val="0"/>
                      <w:bCs w:val="0"/>
                      <w:color w:val="auto"/>
                      <w:kern w:val="0"/>
                      <w:sz w:val="21"/>
                      <w:szCs w:val="21"/>
                      <w:lang w:val="en-US" w:eastAsia="zh-CN" w:bidi="ar-SA"/>
                    </w:rPr>
                    <w:t>经絮凝沉淀+压滤处理后回用于生产</w:t>
                  </w:r>
                  <w:r>
                    <w:rPr>
                      <w:rFonts w:hint="eastAsia" w:cs="宋体"/>
                      <w:b w:val="0"/>
                      <w:bCs w:val="0"/>
                      <w:color w:val="000000"/>
                      <w:kern w:val="0"/>
                      <w:sz w:val="21"/>
                      <w:szCs w:val="21"/>
                      <w:lang w:val="en-US" w:eastAsia="zh-CN" w:bidi="ar"/>
                    </w:rPr>
                    <w:t>。</w:t>
                  </w:r>
                </w:p>
              </w:tc>
              <w:tc>
                <w:tcPr>
                  <w:tcW w:w="369" w:type="pct"/>
                  <w:tcBorders>
                    <w:tl2br w:val="nil"/>
                    <w:tr2bl w:val="nil"/>
                  </w:tcBorders>
                  <w:noWrap w:val="0"/>
                  <w:vAlign w:val="center"/>
                </w:tcPr>
                <w:p w14:paraId="0ED58F02">
                  <w:pPr>
                    <w:pStyle w:val="104"/>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rPr>
                  </w:pPr>
                  <w:r>
                    <w:rPr>
                      <w:rFonts w:hint="default" w:ascii="Times New Roman" w:hAnsi="Times New Roman" w:eastAsia="宋体" w:cs="Times New Roman"/>
                      <w:color w:val="auto"/>
                    </w:rPr>
                    <w:t>符合</w:t>
                  </w:r>
                </w:p>
              </w:tc>
            </w:tr>
            <w:tr w14:paraId="495885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7" w:type="pct"/>
                  <w:tcBorders>
                    <w:tl2br w:val="nil"/>
                    <w:tr2bl w:val="nil"/>
                  </w:tcBorders>
                  <w:noWrap w:val="0"/>
                  <w:vAlign w:val="center"/>
                </w:tcPr>
                <w:p w14:paraId="2200682D">
                  <w:pPr>
                    <w:pStyle w:val="104"/>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rPr>
                  </w:pPr>
                  <w:r>
                    <w:rPr>
                      <w:rFonts w:hint="default" w:ascii="Times New Roman" w:hAnsi="Times New Roman" w:eastAsia="宋体" w:cs="Times New Roman"/>
                      <w:color w:val="auto"/>
                    </w:rPr>
                    <w:t>4</w:t>
                  </w:r>
                </w:p>
              </w:tc>
              <w:tc>
                <w:tcPr>
                  <w:tcW w:w="3132" w:type="pct"/>
                  <w:tcBorders>
                    <w:tl2br w:val="nil"/>
                    <w:tr2bl w:val="nil"/>
                  </w:tcBorders>
                  <w:noWrap w:val="0"/>
                  <w:vAlign w:val="center"/>
                </w:tcPr>
                <w:p w14:paraId="57864E37">
                  <w:pPr>
                    <w:pStyle w:val="104"/>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rPr>
                  </w:pPr>
                  <w:r>
                    <w:rPr>
                      <w:rFonts w:hint="default" w:ascii="Times New Roman" w:hAnsi="Times New Roman" w:eastAsia="宋体" w:cs="Times New Roman"/>
                      <w:color w:val="auto"/>
                    </w:rPr>
                    <w:t>加强工业污染源防控。强化规划环评刚性约束，严格重点行业企业准入，鼓励工业企业集聚发展，提高土地节约集约利用水平，防止土壤污染。动态更新土壤污染重点监管单位名录，持续开展重点企业、固体废物堆存场所、再生利用行业企业等土壤污染隐患排查整治行动，督促土壤重点监管单位依法开展隐患排查、自行监测、信息公开，严格控制有毒有害物质排放，并有序纳入排污许可管理。严格企业拆除活动污染监管，督促企业制定并实施拆除活动土壤污染防治工作方案。支持企业进行绿色化提标改造，鼓励土壤污染重点监管单位因地制宜实施管道化、密闭化改造，重点区域进行防腐防渗防漏改造。</w:t>
                  </w:r>
                </w:p>
              </w:tc>
              <w:tc>
                <w:tcPr>
                  <w:tcW w:w="1201" w:type="pct"/>
                  <w:tcBorders>
                    <w:tl2br w:val="nil"/>
                    <w:tr2bl w:val="nil"/>
                  </w:tcBorders>
                  <w:noWrap w:val="0"/>
                  <w:vAlign w:val="center"/>
                </w:tcPr>
                <w:p w14:paraId="27D6937F">
                  <w:pPr>
                    <w:pStyle w:val="104"/>
                    <w:keepNext w:val="0"/>
                    <w:keepLines w:val="0"/>
                    <w:widowControl/>
                    <w:suppressLineNumbers w:val="0"/>
                    <w:spacing w:before="0" w:beforeAutospacing="0" w:after="0" w:afterAutospacing="0"/>
                    <w:ind w:left="0" w:right="0"/>
                    <w:rPr>
                      <w:rFonts w:hint="eastAsia" w:ascii="Times New Roman" w:hAnsi="Times New Roman" w:eastAsia="宋体" w:cs="Times New Roman"/>
                      <w:color w:val="auto"/>
                    </w:rPr>
                  </w:pPr>
                  <w:r>
                    <w:rPr>
                      <w:rFonts w:hint="eastAsia" w:cs="Times New Roman"/>
                      <w:color w:val="auto"/>
                      <w:lang w:val="en-US" w:eastAsia="zh-CN"/>
                    </w:rPr>
                    <w:t>项目进行了分区防渗建设</w:t>
                  </w:r>
                  <w:r>
                    <w:rPr>
                      <w:rFonts w:hint="default" w:ascii="Times New Roman" w:hAnsi="Times New Roman" w:eastAsia="宋体" w:cs="Times New Roman"/>
                      <w:color w:val="auto"/>
                    </w:rPr>
                    <w:t>。</w:t>
                  </w:r>
                  <w:r>
                    <w:rPr>
                      <w:rFonts w:hint="eastAsia" w:cs="Times New Roman"/>
                      <w:color w:val="auto"/>
                      <w:lang w:val="en-US" w:eastAsia="zh-CN"/>
                    </w:rPr>
                    <w:t>评价</w:t>
                  </w:r>
                  <w:r>
                    <w:rPr>
                      <w:rFonts w:hint="default" w:ascii="Times New Roman" w:hAnsi="Times New Roman" w:eastAsia="宋体" w:cs="Times New Roman"/>
                      <w:color w:val="auto"/>
                    </w:rPr>
                    <w:t>建议建设单位运营后，按要求进行土壤隐患排查、自行监测，并做好信息公开</w:t>
                  </w:r>
                  <w:r>
                    <w:rPr>
                      <w:rFonts w:hint="eastAsia" w:ascii="Times New Roman" w:hAnsi="Times New Roman" w:eastAsia="宋体" w:cs="Times New Roman"/>
                      <w:color w:val="auto"/>
                    </w:rPr>
                    <w:t>。</w:t>
                  </w:r>
                </w:p>
              </w:tc>
              <w:tc>
                <w:tcPr>
                  <w:tcW w:w="369" w:type="pct"/>
                  <w:tcBorders>
                    <w:tl2br w:val="nil"/>
                    <w:tr2bl w:val="nil"/>
                  </w:tcBorders>
                  <w:noWrap w:val="0"/>
                  <w:vAlign w:val="center"/>
                </w:tcPr>
                <w:p w14:paraId="47B60CE5">
                  <w:pPr>
                    <w:pStyle w:val="104"/>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rPr>
                  </w:pPr>
                  <w:r>
                    <w:rPr>
                      <w:rFonts w:hint="default" w:ascii="Times New Roman" w:hAnsi="Times New Roman" w:eastAsia="宋体" w:cs="Times New Roman"/>
                      <w:color w:val="auto"/>
                    </w:rPr>
                    <w:t>符合</w:t>
                  </w:r>
                </w:p>
              </w:tc>
            </w:tr>
            <w:tr w14:paraId="646781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7" w:type="pct"/>
                  <w:tcBorders>
                    <w:tl2br w:val="nil"/>
                    <w:tr2bl w:val="nil"/>
                  </w:tcBorders>
                  <w:noWrap w:val="0"/>
                  <w:vAlign w:val="center"/>
                </w:tcPr>
                <w:p w14:paraId="0815EB8C">
                  <w:pPr>
                    <w:pStyle w:val="104"/>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rPr>
                  </w:pPr>
                  <w:r>
                    <w:rPr>
                      <w:rFonts w:hint="default" w:ascii="Times New Roman" w:hAnsi="Times New Roman" w:eastAsia="宋体" w:cs="Times New Roman"/>
                      <w:color w:val="auto"/>
                    </w:rPr>
                    <w:t>5</w:t>
                  </w:r>
                </w:p>
              </w:tc>
              <w:tc>
                <w:tcPr>
                  <w:tcW w:w="3132" w:type="pct"/>
                  <w:tcBorders>
                    <w:tl2br w:val="nil"/>
                    <w:tr2bl w:val="nil"/>
                  </w:tcBorders>
                  <w:noWrap w:val="0"/>
                  <w:vAlign w:val="center"/>
                </w:tcPr>
                <w:p w14:paraId="00AE8840">
                  <w:pPr>
                    <w:pStyle w:val="104"/>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rPr>
                  </w:pPr>
                  <w:r>
                    <w:rPr>
                      <w:rFonts w:hint="default" w:ascii="Times New Roman" w:hAnsi="Times New Roman" w:eastAsia="宋体" w:cs="Times New Roman"/>
                      <w:color w:val="auto"/>
                    </w:rPr>
                    <w:t>强化工业固废减量。积极推进工业固废减量行动，依托全省固体废物管理信息系统、危险废物申报登记、全国第二次污染源普查结果，动态掌握固体废物（危险废物）产生、贮存、收集及利用处置情况。摸清固废底数基础上，引导鼓励固体废物产生量较大、综合利用率低的企业开展清洁生产和技术升级改造，延伸重点行业产业链，推广应用工业固废综合利用先进适用技术装备，强化资源高效利用和精深加工，全面实施工业固体废物排污许可管理，持续推进固体废物减量。</w:t>
                  </w:r>
                </w:p>
              </w:tc>
              <w:tc>
                <w:tcPr>
                  <w:tcW w:w="1201" w:type="pct"/>
                  <w:tcBorders>
                    <w:tl2br w:val="nil"/>
                    <w:tr2bl w:val="nil"/>
                  </w:tcBorders>
                  <w:noWrap w:val="0"/>
                  <w:vAlign w:val="center"/>
                </w:tcPr>
                <w:p w14:paraId="32F0DFC5">
                  <w:pPr>
                    <w:pStyle w:val="104"/>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eastAsia" w:cs="Times New Roman"/>
                      <w:color w:val="auto"/>
                      <w:lang w:val="en-US" w:eastAsia="zh-CN"/>
                    </w:rPr>
                    <w:t>本项目泥饼交</w:t>
                  </w:r>
                  <w:r>
                    <w:rPr>
                      <w:rFonts w:hint="eastAsia" w:ascii="Times New Roman" w:hAnsi="Times New Roman" w:eastAsia="宋体" w:cs="Times New Roman"/>
                      <w:color w:val="auto"/>
                      <w:szCs w:val="21"/>
                    </w:rPr>
                    <w:t>邻水县玖能空心砖厂制砖</w:t>
                  </w:r>
                  <w:r>
                    <w:rPr>
                      <w:rFonts w:hint="eastAsia" w:cs="Times New Roman"/>
                      <w:color w:val="auto"/>
                      <w:szCs w:val="21"/>
                      <w:lang w:eastAsia="zh-CN"/>
                    </w:rPr>
                    <w:t>，</w:t>
                  </w:r>
                  <w:r>
                    <w:rPr>
                      <w:rFonts w:hint="eastAsia" w:cs="Times New Roman"/>
                      <w:color w:val="auto"/>
                      <w:lang w:val="en-US" w:eastAsia="zh-CN"/>
                    </w:rPr>
                    <w:t>提高了工业固体废物的利用率。</w:t>
                  </w:r>
                </w:p>
              </w:tc>
              <w:tc>
                <w:tcPr>
                  <w:tcW w:w="369" w:type="pct"/>
                  <w:tcBorders>
                    <w:tl2br w:val="nil"/>
                    <w:tr2bl w:val="nil"/>
                  </w:tcBorders>
                  <w:noWrap w:val="0"/>
                  <w:vAlign w:val="center"/>
                </w:tcPr>
                <w:p w14:paraId="60EED55D">
                  <w:pPr>
                    <w:pStyle w:val="104"/>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rPr>
                  </w:pPr>
                  <w:r>
                    <w:rPr>
                      <w:rFonts w:hint="default" w:ascii="Times New Roman" w:hAnsi="Times New Roman" w:eastAsia="宋体" w:cs="Times New Roman"/>
                      <w:color w:val="auto"/>
                    </w:rPr>
                    <w:t>符合</w:t>
                  </w:r>
                </w:p>
              </w:tc>
            </w:tr>
            <w:tr w14:paraId="77752F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7" w:type="pct"/>
                  <w:tcBorders>
                    <w:tl2br w:val="nil"/>
                    <w:tr2bl w:val="nil"/>
                  </w:tcBorders>
                  <w:noWrap w:val="0"/>
                  <w:vAlign w:val="center"/>
                </w:tcPr>
                <w:p w14:paraId="278EC155">
                  <w:pPr>
                    <w:pStyle w:val="104"/>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rPr>
                  </w:pPr>
                  <w:r>
                    <w:rPr>
                      <w:rFonts w:hint="default" w:ascii="Times New Roman" w:hAnsi="Times New Roman" w:eastAsia="宋体" w:cs="Times New Roman"/>
                      <w:color w:val="auto"/>
                    </w:rPr>
                    <w:t>6</w:t>
                  </w:r>
                </w:p>
              </w:tc>
              <w:tc>
                <w:tcPr>
                  <w:tcW w:w="3132" w:type="pct"/>
                  <w:tcBorders>
                    <w:tl2br w:val="nil"/>
                    <w:tr2bl w:val="nil"/>
                  </w:tcBorders>
                  <w:noWrap w:val="0"/>
                  <w:vAlign w:val="center"/>
                </w:tcPr>
                <w:p w14:paraId="71A51B13">
                  <w:pPr>
                    <w:pStyle w:val="104"/>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rPr>
                  </w:pPr>
                  <w:r>
                    <w:rPr>
                      <w:rFonts w:hint="default" w:ascii="Times New Roman" w:hAnsi="Times New Roman" w:eastAsia="宋体" w:cs="Times New Roman"/>
                      <w:color w:val="auto"/>
                    </w:rPr>
                    <w:t>加强行业、园区、企业风险防范管控。健全环境安全隐患治理制度，落实涉危、涉重、有毒有害物质等重点行业，医药、化工园区等重点领域的环境风险防控措施，建立环境安全隐患动态清单，落实相关企业环境风险防范主体责任，防范化解重特大突发环境事件风险，推进重点工业园区水、大气、土壤协同预警体系建设。强化园区风险管控，以医药、化工园区为重点，开展园区风险防范及应急预案工作。建立重点环境风险企业清单，对沿江石油化工、医药、氯碱、磷化工、印染等重点企业深入开展突发环境事件风险企业信息登记和信息公开，督促企业完善环境安全管理制度和环境应急设施。</w:t>
                  </w:r>
                </w:p>
              </w:tc>
              <w:tc>
                <w:tcPr>
                  <w:tcW w:w="1201" w:type="pct"/>
                  <w:tcBorders>
                    <w:tl2br w:val="nil"/>
                    <w:tr2bl w:val="nil"/>
                  </w:tcBorders>
                  <w:noWrap w:val="0"/>
                  <w:vAlign w:val="center"/>
                </w:tcPr>
                <w:p w14:paraId="0DB27EC9">
                  <w:pPr>
                    <w:pStyle w:val="104"/>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rPr>
                  </w:pPr>
                  <w:r>
                    <w:rPr>
                      <w:rFonts w:hint="default" w:ascii="Times New Roman" w:hAnsi="Times New Roman" w:eastAsia="宋体" w:cs="Times New Roman"/>
                      <w:color w:val="auto"/>
                    </w:rPr>
                    <w:t>环境风险评价认为，项目风险防范措施及应急</w:t>
                  </w:r>
                  <w:r>
                    <w:rPr>
                      <w:rFonts w:hint="eastAsia" w:cs="Times New Roman"/>
                      <w:color w:val="auto"/>
                      <w:lang w:val="en-US" w:eastAsia="zh-CN"/>
                    </w:rPr>
                    <w:t>措施</w:t>
                  </w:r>
                  <w:r>
                    <w:rPr>
                      <w:rFonts w:hint="default" w:ascii="Times New Roman" w:hAnsi="Times New Roman" w:eastAsia="宋体" w:cs="Times New Roman"/>
                      <w:color w:val="auto"/>
                    </w:rPr>
                    <w:t>可靠且可行，项目的风险处于环境可接受的水平。</w:t>
                  </w:r>
                </w:p>
              </w:tc>
              <w:tc>
                <w:tcPr>
                  <w:tcW w:w="369" w:type="pct"/>
                  <w:tcBorders>
                    <w:tl2br w:val="nil"/>
                    <w:tr2bl w:val="nil"/>
                  </w:tcBorders>
                  <w:noWrap w:val="0"/>
                  <w:vAlign w:val="center"/>
                </w:tcPr>
                <w:p w14:paraId="14ED868A">
                  <w:pPr>
                    <w:pStyle w:val="104"/>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rPr>
                  </w:pPr>
                  <w:r>
                    <w:rPr>
                      <w:rFonts w:hint="default" w:ascii="Times New Roman" w:hAnsi="Times New Roman" w:eastAsia="宋体" w:cs="Times New Roman"/>
                      <w:color w:val="auto"/>
                    </w:rPr>
                    <w:t>符合</w:t>
                  </w:r>
                </w:p>
              </w:tc>
            </w:tr>
            <w:tr w14:paraId="197302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7" w:type="pct"/>
                  <w:tcBorders>
                    <w:tl2br w:val="nil"/>
                    <w:tr2bl w:val="nil"/>
                  </w:tcBorders>
                  <w:noWrap w:val="0"/>
                  <w:vAlign w:val="center"/>
                </w:tcPr>
                <w:p w14:paraId="3325B36C">
                  <w:pPr>
                    <w:pStyle w:val="104"/>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rPr>
                  </w:pPr>
                  <w:r>
                    <w:rPr>
                      <w:rFonts w:hint="default" w:ascii="Times New Roman" w:hAnsi="Times New Roman" w:eastAsia="宋体" w:cs="Times New Roman"/>
                      <w:color w:val="auto"/>
                    </w:rPr>
                    <w:t>7</w:t>
                  </w:r>
                </w:p>
              </w:tc>
              <w:tc>
                <w:tcPr>
                  <w:tcW w:w="3132" w:type="pct"/>
                  <w:tcBorders>
                    <w:tl2br w:val="nil"/>
                    <w:tr2bl w:val="nil"/>
                  </w:tcBorders>
                  <w:noWrap w:val="0"/>
                  <w:vAlign w:val="center"/>
                </w:tcPr>
                <w:p w14:paraId="3FD711E7">
                  <w:pPr>
                    <w:pStyle w:val="104"/>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rPr>
                  </w:pPr>
                  <w:r>
                    <w:rPr>
                      <w:rFonts w:hint="default" w:ascii="Times New Roman" w:hAnsi="Times New Roman" w:eastAsia="宋体" w:cs="Times New Roman"/>
                      <w:color w:val="auto"/>
                    </w:rPr>
                    <w:t>持续推进重金属环境风险防控。严格控制新增重金属排放，新建、改建重金属相关项目必须符合国家和省的产业政策和规划要求，新、改扩建重金属排放项目，严格控制重点行业发展规模。禁止新建污染物产生和排放强度超过行业平均水平项目。建立完善重金属污染物排放总量控制制度，严格涉重排放等量替换，严格新（改、扩）建涉重、涉危重点行业建设项目环境准入，引导涉重企业进入工业园区，统一布局涉重、涉废重点行业，实现集聚发展。加强重金属环境监管能力建设。强化废气和土壤重金属监测设备的配置和技术队伍建设，到2025年基本实现土壤重金属监测项目全覆盖。全面推进重金属重点监控企业重金属排放废水、废气在线</w:t>
                  </w:r>
                  <w:r>
                    <w:rPr>
                      <w:rFonts w:hint="eastAsia" w:ascii="Times New Roman" w:hAnsi="Times New Roman" w:eastAsia="宋体" w:cs="Times New Roman"/>
                      <w:color w:val="auto"/>
                    </w:rPr>
                    <w:t>监测</w:t>
                  </w:r>
                  <w:r>
                    <w:rPr>
                      <w:rFonts w:hint="default" w:ascii="Times New Roman" w:hAnsi="Times New Roman" w:eastAsia="宋体" w:cs="Times New Roman"/>
                      <w:color w:val="auto"/>
                    </w:rPr>
                    <w:t>系统的建设，开展特征重金属污染物自动监测。推进重金属污染生物检测、健康体检和诊疗救治机构与能力建设。</w:t>
                  </w:r>
                </w:p>
              </w:tc>
              <w:tc>
                <w:tcPr>
                  <w:tcW w:w="1201" w:type="pct"/>
                  <w:tcBorders>
                    <w:tl2br w:val="nil"/>
                    <w:tr2bl w:val="nil"/>
                  </w:tcBorders>
                  <w:noWrap w:val="0"/>
                  <w:vAlign w:val="center"/>
                </w:tcPr>
                <w:p w14:paraId="1A592DA8">
                  <w:pPr>
                    <w:pStyle w:val="104"/>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rPr>
                  </w:pPr>
                  <w:r>
                    <w:rPr>
                      <w:rFonts w:hint="default" w:ascii="Times New Roman" w:hAnsi="Times New Roman" w:eastAsia="宋体" w:cs="Times New Roman"/>
                      <w:color w:val="auto"/>
                    </w:rPr>
                    <w:t>根据《四川省</w:t>
                  </w:r>
                  <w:r>
                    <w:rPr>
                      <w:rFonts w:hint="eastAsia" w:ascii="Times New Roman" w:hAnsi="Times New Roman" w:eastAsia="宋体" w:cs="Times New Roman"/>
                      <w:color w:val="auto"/>
                    </w:rPr>
                    <w:t>“</w:t>
                  </w:r>
                  <w:r>
                    <w:rPr>
                      <w:rFonts w:hint="default" w:ascii="Times New Roman" w:hAnsi="Times New Roman" w:eastAsia="宋体" w:cs="Times New Roman"/>
                      <w:color w:val="auto"/>
                    </w:rPr>
                    <w:t>十四五</w:t>
                  </w:r>
                  <w:r>
                    <w:rPr>
                      <w:rFonts w:hint="eastAsia" w:ascii="Times New Roman" w:hAnsi="Times New Roman" w:eastAsia="宋体" w:cs="Times New Roman"/>
                      <w:color w:val="auto"/>
                    </w:rPr>
                    <w:t>”</w:t>
                  </w:r>
                  <w:r>
                    <w:rPr>
                      <w:rFonts w:hint="default" w:ascii="Times New Roman" w:hAnsi="Times New Roman" w:eastAsia="宋体" w:cs="Times New Roman"/>
                      <w:color w:val="auto"/>
                    </w:rPr>
                    <w:t>重金属污染防控工作方案》，重点重金属污染物包括铅、汞、镉、铬、砷、铊和锑，并对铅、汞、镉、铬和砷五种重金属污染物排放量实施总量控制。</w:t>
                  </w:r>
                  <w:r>
                    <w:rPr>
                      <w:rFonts w:hint="eastAsia" w:ascii="Times New Roman" w:hAnsi="Times New Roman" w:eastAsia="宋体" w:cs="Times New Roman"/>
                      <w:iCs/>
                      <w:color w:val="auto"/>
                    </w:rPr>
                    <w:t>本项目</w:t>
                  </w:r>
                  <w:r>
                    <w:rPr>
                      <w:rFonts w:hint="eastAsia" w:ascii="Times New Roman" w:hAnsi="Times New Roman" w:eastAsia="宋体" w:cs="Times New Roman"/>
                      <w:iCs/>
                      <w:color w:val="auto"/>
                      <w:lang w:val="en-US" w:eastAsia="zh-CN"/>
                    </w:rPr>
                    <w:t>不涉及重金属</w:t>
                  </w:r>
                  <w:r>
                    <w:rPr>
                      <w:rFonts w:hint="eastAsia" w:cs="Times New Roman"/>
                      <w:iCs/>
                      <w:color w:val="auto"/>
                      <w:lang w:val="en-US" w:eastAsia="zh-CN"/>
                    </w:rPr>
                    <w:t>排放</w:t>
                  </w:r>
                  <w:r>
                    <w:rPr>
                      <w:rFonts w:hint="default" w:ascii="Times New Roman" w:hAnsi="Times New Roman" w:eastAsia="宋体" w:cs="Times New Roman"/>
                      <w:color w:val="auto"/>
                    </w:rPr>
                    <w:t>。</w:t>
                  </w:r>
                </w:p>
              </w:tc>
              <w:tc>
                <w:tcPr>
                  <w:tcW w:w="369" w:type="pct"/>
                  <w:tcBorders>
                    <w:tl2br w:val="nil"/>
                    <w:tr2bl w:val="nil"/>
                  </w:tcBorders>
                  <w:noWrap w:val="0"/>
                  <w:vAlign w:val="center"/>
                </w:tcPr>
                <w:p w14:paraId="717B86C4">
                  <w:pPr>
                    <w:pStyle w:val="104"/>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rPr>
                  </w:pPr>
                  <w:r>
                    <w:rPr>
                      <w:rFonts w:hint="default" w:ascii="Times New Roman" w:hAnsi="Times New Roman" w:eastAsia="宋体" w:cs="Times New Roman"/>
                      <w:color w:val="auto"/>
                    </w:rPr>
                    <w:t>符合</w:t>
                  </w:r>
                </w:p>
              </w:tc>
            </w:tr>
          </w:tbl>
          <w:p w14:paraId="7C537FFE">
            <w:pPr>
              <w:pStyle w:val="46"/>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0" w:firstLineChars="200"/>
              <w:textAlignment w:val="auto"/>
              <w:rPr>
                <w:rFonts w:hint="eastAsia" w:ascii="Times New Roman" w:hAnsi="Times New Roman" w:eastAsia="宋体" w:cs="Times New Roman"/>
                <w:b/>
                <w:sz w:val="24"/>
                <w:lang w:val="en-US" w:eastAsia="zh-CN"/>
              </w:rPr>
            </w:pPr>
            <w:r>
              <w:rPr>
                <w:rFonts w:hint="eastAsia" w:ascii="Times New Roman" w:hAnsi="Times New Roman" w:eastAsia="宋体" w:cs="Times New Roman"/>
                <w:color w:val="auto"/>
                <w:kern w:val="2"/>
                <w:sz w:val="24"/>
                <w:szCs w:val="24"/>
              </w:rPr>
              <w:t>根据上表可知，</w:t>
            </w:r>
            <w:r>
              <w:rPr>
                <w:rFonts w:hint="eastAsia" w:ascii="Times New Roman" w:hAnsi="Times New Roman" w:eastAsia="宋体" w:cs="Times New Roman"/>
                <w:color w:val="auto"/>
                <w:kern w:val="2"/>
                <w:sz w:val="24"/>
                <w:szCs w:val="24"/>
                <w:lang w:val="en-US" w:eastAsia="zh-CN"/>
              </w:rPr>
              <w:t>本</w:t>
            </w:r>
            <w:r>
              <w:rPr>
                <w:rFonts w:hint="eastAsia" w:ascii="Times New Roman" w:hAnsi="Times New Roman" w:eastAsia="宋体" w:cs="Times New Roman"/>
                <w:color w:val="auto"/>
                <w:kern w:val="2"/>
                <w:sz w:val="24"/>
                <w:szCs w:val="24"/>
              </w:rPr>
              <w:t>项目符合《广安市“十四五”生态环境保护规划》</w:t>
            </w:r>
            <w:r>
              <w:rPr>
                <w:rFonts w:hint="eastAsia" w:ascii="Times New Roman" w:hAnsi="Times New Roman" w:eastAsia="宋体" w:cs="Times New Roman"/>
                <w:color w:val="auto"/>
                <w:kern w:val="2"/>
                <w:sz w:val="24"/>
                <w:szCs w:val="24"/>
                <w:lang w:val="en-US" w:eastAsia="zh-CN"/>
              </w:rPr>
              <w:t>相关内容。</w:t>
            </w:r>
          </w:p>
          <w:p w14:paraId="098D71EE">
            <w:pPr>
              <w:keepNext w:val="0"/>
              <w:keepLines w:val="0"/>
              <w:widowControl/>
              <w:suppressLineNumbers w:val="0"/>
              <w:spacing w:before="0" w:beforeAutospacing="0" w:after="0" w:afterAutospacing="0" w:line="360" w:lineRule="auto"/>
              <w:ind w:left="0" w:right="0"/>
              <w:rPr>
                <w:rFonts w:hint="default" w:ascii="Times New Roman" w:hAnsi="Times New Roman" w:eastAsia="宋体" w:cs="Times New Roman"/>
                <w:b/>
                <w:bCs/>
                <w:kern w:val="0"/>
                <w:sz w:val="24"/>
                <w:lang w:bidi="ar"/>
              </w:rPr>
            </w:pPr>
            <w:r>
              <w:rPr>
                <w:rFonts w:hint="eastAsia" w:ascii="Times New Roman" w:hAnsi="Times New Roman" w:eastAsia="宋体" w:cs="Times New Roman"/>
                <w:b/>
                <w:sz w:val="24"/>
                <w:lang w:val="en-US" w:eastAsia="zh-CN"/>
              </w:rPr>
              <w:t>七</w:t>
            </w:r>
            <w:r>
              <w:rPr>
                <w:rFonts w:hint="default" w:ascii="Times New Roman" w:hAnsi="Times New Roman" w:eastAsia="宋体" w:cs="Times New Roman"/>
                <w:b/>
                <w:sz w:val="24"/>
              </w:rPr>
              <w:t>、</w:t>
            </w:r>
            <w:r>
              <w:rPr>
                <w:rFonts w:hint="eastAsia" w:ascii="Times New Roman" w:hAnsi="Times New Roman" w:eastAsia="宋体" w:cs="Times New Roman"/>
                <w:b/>
                <w:sz w:val="24"/>
              </w:rPr>
              <w:t>本项目与污染防治相关政策的符合性分析</w:t>
            </w:r>
          </w:p>
          <w:p w14:paraId="3B4100A1">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本项目</w:t>
            </w:r>
            <w:r>
              <w:rPr>
                <w:rFonts w:hint="eastAsia" w:ascii="Times New Roman" w:hAnsi="Times New Roman" w:eastAsia="宋体" w:cs="Times New Roman"/>
                <w:sz w:val="24"/>
              </w:rPr>
              <w:t>与污染防治相关政策的符合性分析</w:t>
            </w:r>
            <w:r>
              <w:rPr>
                <w:rFonts w:hint="default" w:ascii="Times New Roman" w:hAnsi="Times New Roman" w:eastAsia="宋体" w:cs="Times New Roman"/>
                <w:sz w:val="24"/>
              </w:rPr>
              <w:t>如下：</w:t>
            </w:r>
          </w:p>
          <w:p w14:paraId="0CB3D859">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rPr>
            </w:pPr>
            <w:r>
              <w:rPr>
                <w:rFonts w:hint="default" w:ascii="Times New Roman" w:hAnsi="Times New Roman" w:eastAsia="宋体" w:cs="Times New Roman"/>
                <w:b/>
                <w:bCs/>
              </w:rPr>
              <w:t>表1-</w:t>
            </w:r>
            <w:r>
              <w:rPr>
                <w:rFonts w:hint="eastAsia" w:cs="Times New Roman"/>
                <w:b/>
                <w:bCs/>
                <w:lang w:val="en-US" w:eastAsia="zh-CN"/>
              </w:rPr>
              <w:t>9</w:t>
            </w:r>
            <w:r>
              <w:rPr>
                <w:rFonts w:hint="default" w:ascii="Times New Roman" w:hAnsi="Times New Roman" w:eastAsia="宋体" w:cs="Times New Roman"/>
                <w:b/>
                <w:bCs/>
              </w:rPr>
              <w:t xml:space="preserve"> </w:t>
            </w:r>
            <w:r>
              <w:rPr>
                <w:rFonts w:hint="eastAsia" w:ascii="Times New Roman" w:hAnsi="Times New Roman" w:eastAsia="宋体" w:cs="Times New Roman"/>
                <w:b/>
                <w:bCs/>
              </w:rPr>
              <w:t xml:space="preserve"> </w:t>
            </w:r>
            <w:r>
              <w:rPr>
                <w:rFonts w:hint="default" w:ascii="Times New Roman" w:hAnsi="Times New Roman" w:eastAsia="宋体" w:cs="Times New Roman"/>
                <w:b/>
                <w:bCs/>
              </w:rPr>
              <w:t>与污染防治等相关规划符合性</w:t>
            </w:r>
          </w:p>
          <w:tbl>
            <w:tblPr>
              <w:tblStyle w:val="25"/>
              <w:tblW w:w="499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1655"/>
              <w:gridCol w:w="2622"/>
              <w:gridCol w:w="2497"/>
              <w:gridCol w:w="443"/>
            </w:tblGrid>
            <w:tr w14:paraId="4DAA22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9" w:type="pct"/>
                  <w:noWrap w:val="0"/>
                  <w:vAlign w:val="center"/>
                </w:tcPr>
                <w:p w14:paraId="49E78F32">
                  <w:pPr>
                    <w:pStyle w:val="20"/>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宋体"/>
                      <w:b/>
                      <w:bCs/>
                      <w:szCs w:val="21"/>
                    </w:rPr>
                  </w:pPr>
                  <w:r>
                    <w:rPr>
                      <w:rFonts w:hint="eastAsia" w:ascii="Times New Roman" w:hAnsi="Times New Roman" w:eastAsia="宋体" w:cs="宋体"/>
                      <w:b/>
                      <w:bCs/>
                      <w:szCs w:val="21"/>
                    </w:rPr>
                    <w:t>序号</w:t>
                  </w:r>
                </w:p>
              </w:tc>
              <w:tc>
                <w:tcPr>
                  <w:tcW w:w="1083" w:type="pct"/>
                  <w:noWrap w:val="0"/>
                  <w:vAlign w:val="center"/>
                </w:tcPr>
                <w:p w14:paraId="1DC2D4E6">
                  <w:pPr>
                    <w:pStyle w:val="20"/>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宋体"/>
                      <w:b/>
                      <w:bCs/>
                      <w:szCs w:val="21"/>
                    </w:rPr>
                  </w:pPr>
                  <w:r>
                    <w:rPr>
                      <w:rFonts w:hint="eastAsia" w:ascii="Times New Roman" w:hAnsi="Times New Roman" w:eastAsia="宋体" w:cs="宋体"/>
                      <w:b/>
                      <w:bCs/>
                      <w:szCs w:val="21"/>
                    </w:rPr>
                    <w:t>相关政策</w:t>
                  </w:r>
                </w:p>
              </w:tc>
              <w:tc>
                <w:tcPr>
                  <w:tcW w:w="1715" w:type="pct"/>
                  <w:noWrap w:val="0"/>
                  <w:vAlign w:val="center"/>
                </w:tcPr>
                <w:p w14:paraId="28A9AB94">
                  <w:pPr>
                    <w:pStyle w:val="20"/>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宋体"/>
                      <w:b/>
                      <w:bCs/>
                      <w:szCs w:val="21"/>
                    </w:rPr>
                  </w:pPr>
                  <w:r>
                    <w:rPr>
                      <w:rFonts w:hint="eastAsia" w:ascii="Times New Roman" w:hAnsi="Times New Roman" w:eastAsia="宋体" w:cs="宋体"/>
                      <w:b/>
                      <w:bCs/>
                      <w:szCs w:val="21"/>
                    </w:rPr>
                    <w:t>文件要求</w:t>
                  </w:r>
                </w:p>
              </w:tc>
              <w:tc>
                <w:tcPr>
                  <w:tcW w:w="1633" w:type="pct"/>
                  <w:noWrap w:val="0"/>
                  <w:vAlign w:val="center"/>
                </w:tcPr>
                <w:p w14:paraId="08E3FC63">
                  <w:pPr>
                    <w:pStyle w:val="20"/>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宋体"/>
                      <w:b/>
                      <w:bCs/>
                      <w:szCs w:val="21"/>
                    </w:rPr>
                  </w:pPr>
                  <w:r>
                    <w:rPr>
                      <w:rFonts w:hint="eastAsia" w:ascii="Times New Roman" w:hAnsi="Times New Roman" w:eastAsia="宋体" w:cs="宋体"/>
                      <w:b/>
                      <w:bCs/>
                      <w:szCs w:val="21"/>
                    </w:rPr>
                    <w:t>本项目情况</w:t>
                  </w:r>
                </w:p>
              </w:tc>
              <w:tc>
                <w:tcPr>
                  <w:tcW w:w="289" w:type="pct"/>
                  <w:noWrap w:val="0"/>
                  <w:vAlign w:val="center"/>
                </w:tcPr>
                <w:p w14:paraId="325A894A">
                  <w:pPr>
                    <w:pStyle w:val="20"/>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宋体"/>
                      <w:b/>
                      <w:bCs/>
                      <w:szCs w:val="21"/>
                    </w:rPr>
                  </w:pPr>
                  <w:r>
                    <w:rPr>
                      <w:rFonts w:hint="eastAsia" w:ascii="Times New Roman" w:hAnsi="Times New Roman" w:eastAsia="宋体" w:cs="宋体"/>
                      <w:b/>
                      <w:bCs/>
                      <w:szCs w:val="21"/>
                    </w:rPr>
                    <w:t>符合性</w:t>
                  </w:r>
                </w:p>
              </w:tc>
            </w:tr>
            <w:tr w14:paraId="0CD40B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gridSpan w:val="5"/>
                  <w:noWrap w:val="0"/>
                  <w:vAlign w:val="center"/>
                </w:tcPr>
                <w:p w14:paraId="2E446D8E">
                  <w:pPr>
                    <w:pStyle w:val="20"/>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宋体"/>
                      <w:szCs w:val="21"/>
                    </w:rPr>
                  </w:pPr>
                  <w:r>
                    <w:rPr>
                      <w:rFonts w:hint="eastAsia" w:ascii="Times New Roman" w:hAnsi="Times New Roman" w:eastAsia="宋体" w:cs="宋体"/>
                      <w:b/>
                      <w:bCs/>
                      <w:szCs w:val="21"/>
                    </w:rPr>
                    <w:t>一、大气污染相关政策文件</w:t>
                  </w:r>
                </w:p>
              </w:tc>
            </w:tr>
            <w:tr w14:paraId="0C3F05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9" w:type="pct"/>
                  <w:noWrap w:val="0"/>
                  <w:vAlign w:val="center"/>
                </w:tcPr>
                <w:p w14:paraId="656435BD">
                  <w:pPr>
                    <w:pStyle w:val="20"/>
                    <w:keepNext w:val="0"/>
                    <w:keepLines w:val="0"/>
                    <w:suppressLineNumbers w:val="0"/>
                    <w:spacing w:before="0" w:beforeAutospacing="0" w:after="0" w:afterAutospacing="0"/>
                    <w:ind w:left="0" w:leftChars="0" w:right="0" w:firstLine="0" w:firstLineChars="0"/>
                    <w:jc w:val="center"/>
                    <w:rPr>
                      <w:rFonts w:hint="eastAsia" w:ascii="Times New Roman" w:hAnsi="Times New Roman" w:eastAsia="宋体" w:cs="宋体"/>
                      <w:szCs w:val="21"/>
                      <w:lang w:eastAsia="zh-CN"/>
                    </w:rPr>
                  </w:pPr>
                  <w:r>
                    <w:rPr>
                      <w:rFonts w:hint="eastAsia" w:ascii="Times New Roman" w:hAnsi="Times New Roman" w:eastAsia="宋体" w:cs="宋体"/>
                      <w:szCs w:val="21"/>
                      <w:lang w:val="en-US" w:eastAsia="zh-CN"/>
                    </w:rPr>
                    <w:t>1</w:t>
                  </w:r>
                </w:p>
              </w:tc>
              <w:tc>
                <w:tcPr>
                  <w:tcW w:w="1083" w:type="pct"/>
                  <w:noWrap w:val="0"/>
                  <w:vAlign w:val="center"/>
                </w:tcPr>
                <w:p w14:paraId="4B6ACEC6">
                  <w:pPr>
                    <w:pStyle w:val="20"/>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宋体"/>
                      <w:szCs w:val="21"/>
                    </w:rPr>
                  </w:pPr>
                  <w:r>
                    <w:rPr>
                      <w:rFonts w:hint="eastAsia" w:ascii="Times New Roman" w:hAnsi="Times New Roman" w:eastAsia="宋体" w:cs="宋体"/>
                      <w:szCs w:val="21"/>
                    </w:rPr>
                    <w:t>《四川省打赢蓝天保卫战等九个实施方案的通知（川府发〔2019〕4号）》</w:t>
                  </w:r>
                </w:p>
              </w:tc>
              <w:tc>
                <w:tcPr>
                  <w:tcW w:w="1715" w:type="pct"/>
                  <w:noWrap w:val="0"/>
                  <w:vAlign w:val="center"/>
                </w:tcPr>
                <w:p w14:paraId="0091F851">
                  <w:pPr>
                    <w:pStyle w:val="11"/>
                    <w:keepNext w:val="0"/>
                    <w:keepLines w:val="0"/>
                    <w:suppressLineNumbers w:val="0"/>
                    <w:spacing w:beforeAutospacing="0" w:after="0" w:afterAutospacing="0"/>
                    <w:ind w:left="0"/>
                    <w:jc w:val="center"/>
                    <w:rPr>
                      <w:rFonts w:hint="default" w:ascii="Times New Roman" w:hAnsi="Times New Roman" w:eastAsia="宋体" w:cs="宋体"/>
                      <w:color w:val="auto"/>
                      <w:sz w:val="21"/>
                      <w:szCs w:val="21"/>
                    </w:rPr>
                  </w:pPr>
                  <w:r>
                    <w:rPr>
                      <w:rFonts w:hint="eastAsia" w:ascii="Times New Roman" w:hAnsi="Times New Roman" w:eastAsia="宋体" w:cs="宋体"/>
                      <w:color w:val="auto"/>
                      <w:sz w:val="21"/>
                      <w:szCs w:val="21"/>
                    </w:rPr>
                    <w:t>重点区域内严禁新增钢铁、电力、水泥、玻璃、砖瓦、陶瓷、焦化、电解铝、有色等重点行业大气污染物排放</w:t>
                  </w:r>
                  <w:r>
                    <w:rPr>
                      <w:rFonts w:hint="eastAsia" w:ascii="Times New Roman" w:hAnsi="Times New Roman" w:eastAsia="宋体" w:cs="宋体"/>
                      <w:color w:val="auto"/>
                      <w:szCs w:val="21"/>
                      <w:lang w:eastAsia="zh-CN"/>
                    </w:rPr>
                    <w:t>。</w:t>
                  </w:r>
                </w:p>
              </w:tc>
              <w:tc>
                <w:tcPr>
                  <w:tcW w:w="1633" w:type="pct"/>
                  <w:noWrap w:val="0"/>
                  <w:vAlign w:val="center"/>
                </w:tcPr>
                <w:p w14:paraId="1B235D69">
                  <w:pPr>
                    <w:keepNext w:val="0"/>
                    <w:keepLines w:val="0"/>
                    <w:suppressLineNumbers w:val="0"/>
                    <w:spacing w:before="0" w:beforeAutospacing="0" w:after="0" w:afterAutospacing="0"/>
                    <w:ind w:left="0" w:right="0"/>
                    <w:jc w:val="center"/>
                    <w:rPr>
                      <w:rFonts w:hint="default" w:ascii="Times New Roman" w:hAnsi="Times New Roman" w:eastAsia="宋体" w:cs="宋体"/>
                      <w:color w:val="auto"/>
                      <w:sz w:val="21"/>
                      <w:szCs w:val="21"/>
                    </w:rPr>
                  </w:pPr>
                  <w:r>
                    <w:rPr>
                      <w:rFonts w:hint="default" w:ascii="Times New Roman" w:hAnsi="Times New Roman" w:eastAsia="宋体" w:cs="Times New Roman"/>
                      <w:color w:val="auto"/>
                      <w:szCs w:val="21"/>
                    </w:rPr>
                    <w:t>本项目</w:t>
                  </w:r>
                  <w:r>
                    <w:rPr>
                      <w:rFonts w:hint="eastAsia" w:ascii="Times New Roman" w:hAnsi="Times New Roman" w:eastAsia="宋体" w:cs="Times New Roman"/>
                      <w:color w:val="auto"/>
                      <w:szCs w:val="21"/>
                    </w:rPr>
                    <w:t>属</w:t>
                  </w:r>
                  <w:r>
                    <w:rPr>
                      <w:rFonts w:hint="eastAsia" w:cs="Times New Roman"/>
                      <w:color w:val="auto"/>
                      <w:szCs w:val="21"/>
                      <w:lang w:eastAsia="zh-CN"/>
                    </w:rPr>
                    <w:t>于其</w:t>
                  </w:r>
                  <w:r>
                    <w:rPr>
                      <w:rFonts w:hint="eastAsia" w:cs="宋体"/>
                      <w:b w:val="0"/>
                      <w:bCs w:val="0"/>
                      <w:color w:val="000000"/>
                      <w:kern w:val="0"/>
                      <w:sz w:val="21"/>
                      <w:szCs w:val="21"/>
                      <w:lang w:val="en-US" w:eastAsia="zh-CN" w:bidi="ar"/>
                    </w:rPr>
                    <w:t>他</w:t>
                  </w:r>
                  <w:r>
                    <w:rPr>
                      <w:rFonts w:hint="eastAsia" w:ascii="Times New Roman" w:hAnsi="Times New Roman" w:eastAsia="宋体" w:cs="宋体"/>
                      <w:b w:val="0"/>
                      <w:bCs w:val="0"/>
                      <w:color w:val="000000"/>
                      <w:kern w:val="0"/>
                      <w:sz w:val="21"/>
                      <w:szCs w:val="21"/>
                      <w:lang w:val="en-US" w:eastAsia="zh-CN" w:bidi="ar"/>
                    </w:rPr>
                    <w:t>非金属矿物制品制造、固体废物治理</w:t>
                  </w:r>
                  <w:r>
                    <w:rPr>
                      <w:rFonts w:hint="eastAsia" w:ascii="Times New Roman" w:hAnsi="Times New Roman" w:eastAsia="宋体" w:cs="宋体"/>
                      <w:color w:val="auto"/>
                      <w:sz w:val="21"/>
                      <w:szCs w:val="21"/>
                    </w:rPr>
                    <w:t>，不属于钢铁、电力、水泥、玻璃、砖瓦、陶瓷、焦化、电解铝、有色等重点行业大气污染物</w:t>
                  </w:r>
                  <w:r>
                    <w:rPr>
                      <w:rFonts w:hint="eastAsia" w:ascii="Times New Roman" w:hAnsi="Times New Roman" w:eastAsia="宋体" w:cs="宋体"/>
                      <w:color w:val="auto"/>
                      <w:szCs w:val="21"/>
                      <w:lang w:eastAsia="zh-CN"/>
                    </w:rPr>
                    <w:t>。</w:t>
                  </w:r>
                </w:p>
              </w:tc>
              <w:tc>
                <w:tcPr>
                  <w:tcW w:w="289" w:type="pct"/>
                  <w:noWrap w:val="0"/>
                  <w:vAlign w:val="center"/>
                </w:tcPr>
                <w:p w14:paraId="42158E2F">
                  <w:pPr>
                    <w:keepNext w:val="0"/>
                    <w:keepLines w:val="0"/>
                    <w:suppressLineNumbers w:val="0"/>
                    <w:spacing w:before="0" w:beforeAutospacing="0" w:after="0" w:afterAutospacing="0"/>
                    <w:ind w:left="0" w:right="0"/>
                    <w:jc w:val="center"/>
                    <w:rPr>
                      <w:rFonts w:hint="default" w:ascii="Times New Roman" w:hAnsi="Times New Roman" w:eastAsia="宋体" w:cs="宋体"/>
                      <w:szCs w:val="21"/>
                    </w:rPr>
                  </w:pPr>
                  <w:r>
                    <w:rPr>
                      <w:rFonts w:hint="eastAsia" w:ascii="Times New Roman" w:hAnsi="Times New Roman" w:eastAsia="宋体" w:cs="宋体"/>
                      <w:szCs w:val="21"/>
                    </w:rPr>
                    <w:t>符合</w:t>
                  </w:r>
                </w:p>
              </w:tc>
            </w:tr>
            <w:tr w14:paraId="41C69E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79" w:type="pct"/>
                  <w:vMerge w:val="restart"/>
                  <w:noWrap w:val="0"/>
                  <w:vAlign w:val="center"/>
                </w:tcPr>
                <w:p w14:paraId="7928E783">
                  <w:pPr>
                    <w:pStyle w:val="20"/>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宋体"/>
                      <w:szCs w:val="21"/>
                      <w:lang w:val="en-US" w:eastAsia="zh-CN"/>
                    </w:rPr>
                  </w:pPr>
                  <w:r>
                    <w:rPr>
                      <w:rFonts w:hint="eastAsia" w:ascii="Times New Roman" w:hAnsi="Times New Roman" w:eastAsia="宋体" w:cs="宋体"/>
                      <w:szCs w:val="21"/>
                      <w:lang w:val="en-US" w:eastAsia="zh-CN"/>
                    </w:rPr>
                    <w:t>2</w:t>
                  </w:r>
                </w:p>
              </w:tc>
              <w:tc>
                <w:tcPr>
                  <w:tcW w:w="1083" w:type="pct"/>
                  <w:vMerge w:val="restart"/>
                  <w:noWrap w:val="0"/>
                  <w:vAlign w:val="center"/>
                </w:tcPr>
                <w:p w14:paraId="6F4E2042">
                  <w:pPr>
                    <w:keepNext w:val="0"/>
                    <w:keepLines w:val="0"/>
                    <w:suppressLineNumbers w:val="0"/>
                    <w:spacing w:before="0" w:beforeAutospacing="0" w:after="0" w:afterAutospacing="0"/>
                    <w:ind w:left="0" w:right="0"/>
                    <w:jc w:val="center"/>
                    <w:rPr>
                      <w:rFonts w:hint="eastAsia" w:ascii="Times New Roman" w:hAnsi="Times New Roman" w:eastAsia="宋体" w:cs="宋体"/>
                      <w:color w:val="auto"/>
                      <w:szCs w:val="21"/>
                    </w:rPr>
                  </w:pPr>
                  <w:r>
                    <w:rPr>
                      <w:rFonts w:hint="eastAsia" w:ascii="Times New Roman" w:hAnsi="Times New Roman" w:eastAsia="宋体" w:cs="宋体"/>
                      <w:color w:val="auto"/>
                      <w:szCs w:val="21"/>
                    </w:rPr>
                    <w:t>《广安市打赢蓝天保卫战实施方案》</w:t>
                  </w:r>
                </w:p>
              </w:tc>
              <w:tc>
                <w:tcPr>
                  <w:tcW w:w="1715" w:type="pct"/>
                  <w:noWrap w:val="0"/>
                  <w:vAlign w:val="center"/>
                </w:tcPr>
                <w:p w14:paraId="6D534D2B">
                  <w:pPr>
                    <w:keepNext w:val="0"/>
                    <w:keepLines w:val="0"/>
                    <w:suppressLineNumbers w:val="0"/>
                    <w:spacing w:before="0" w:beforeAutospacing="0" w:after="0" w:afterAutospacing="0"/>
                    <w:ind w:left="0" w:right="0"/>
                    <w:jc w:val="center"/>
                    <w:rPr>
                      <w:rFonts w:hint="eastAsia" w:ascii="Times New Roman" w:hAnsi="Times New Roman" w:eastAsia="宋体" w:cs="宋体"/>
                      <w:color w:val="auto"/>
                      <w:szCs w:val="21"/>
                    </w:rPr>
                  </w:pPr>
                  <w:r>
                    <w:rPr>
                      <w:rFonts w:hint="default" w:ascii="Times New Roman" w:hAnsi="Times New Roman" w:eastAsia="宋体" w:cs="Times New Roman"/>
                      <w:color w:val="auto"/>
                      <w:spacing w:val="8"/>
                      <w:szCs w:val="21"/>
                    </w:rPr>
                    <w:t>（四）优化产业布局。各地完成生态保护红线、环境质量底线、资源利用上线、环境准入清单编制工作，明确禁止和限制发展的行业、生产工艺和产业目录。修订完善高耗能、高污染和资源型行业准入条件，环境空气质量未达标城市应制定更严格的产业准入门槛。积极推行区域、规划环境影响评价，新、改、扩建钢铁、石化、化工、焦化、建材、有色等项目的环境影响评价，应满足区域、规划环评要求</w:t>
                  </w:r>
                  <w:r>
                    <w:rPr>
                      <w:rFonts w:hint="eastAsia" w:ascii="Times New Roman" w:hAnsi="Times New Roman" w:eastAsia="宋体" w:cs="宋体"/>
                      <w:color w:val="auto"/>
                      <w:szCs w:val="21"/>
                      <w:lang w:eastAsia="zh-CN"/>
                    </w:rPr>
                    <w:t>。</w:t>
                  </w:r>
                </w:p>
              </w:tc>
              <w:tc>
                <w:tcPr>
                  <w:tcW w:w="1633" w:type="pct"/>
                  <w:noWrap w:val="0"/>
                  <w:vAlign w:val="center"/>
                </w:tcPr>
                <w:p w14:paraId="7A83C8D2">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eastAsia="zh-CN"/>
                    </w:rPr>
                  </w:pPr>
                  <w:r>
                    <w:rPr>
                      <w:rFonts w:hint="eastAsia" w:ascii="Times New Roman" w:hAnsi="Times New Roman" w:eastAsia="宋体" w:cs="宋体"/>
                      <w:color w:val="auto"/>
                      <w:szCs w:val="21"/>
                    </w:rPr>
                    <w:t>本项目符合“三线一单”要求</w:t>
                  </w:r>
                  <w:r>
                    <w:rPr>
                      <w:rFonts w:hint="eastAsia" w:ascii="Times New Roman" w:hAnsi="Times New Roman" w:eastAsia="宋体" w:cs="宋体"/>
                      <w:color w:val="auto"/>
                      <w:szCs w:val="21"/>
                      <w:lang w:eastAsia="zh-CN"/>
                    </w:rPr>
                    <w:t>。</w:t>
                  </w:r>
                </w:p>
              </w:tc>
              <w:tc>
                <w:tcPr>
                  <w:tcW w:w="289" w:type="pct"/>
                  <w:vMerge w:val="restart"/>
                  <w:noWrap w:val="0"/>
                  <w:vAlign w:val="center"/>
                </w:tcPr>
                <w:p w14:paraId="4733494D">
                  <w:pPr>
                    <w:keepNext w:val="0"/>
                    <w:keepLines w:val="0"/>
                    <w:suppressLineNumbers w:val="0"/>
                    <w:spacing w:before="0" w:beforeAutospacing="0" w:after="0" w:afterAutospacing="0"/>
                    <w:ind w:left="0" w:right="0"/>
                    <w:jc w:val="center"/>
                    <w:rPr>
                      <w:rFonts w:hint="eastAsia" w:ascii="Times New Roman" w:hAnsi="Times New Roman" w:eastAsia="宋体" w:cs="宋体"/>
                      <w:szCs w:val="21"/>
                    </w:rPr>
                  </w:pPr>
                  <w:r>
                    <w:rPr>
                      <w:rFonts w:hint="eastAsia" w:ascii="Times New Roman" w:hAnsi="Times New Roman" w:eastAsia="宋体" w:cs="宋体"/>
                      <w:szCs w:val="21"/>
                    </w:rPr>
                    <w:t>符合</w:t>
                  </w:r>
                </w:p>
              </w:tc>
            </w:tr>
            <w:tr w14:paraId="7A9A20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79" w:type="pct"/>
                  <w:vMerge w:val="continue"/>
                  <w:noWrap w:val="0"/>
                  <w:vAlign w:val="center"/>
                </w:tcPr>
                <w:p w14:paraId="0E23D1AF">
                  <w:pPr>
                    <w:pStyle w:val="96"/>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rPr>
                  </w:pPr>
                </w:p>
              </w:tc>
              <w:tc>
                <w:tcPr>
                  <w:tcW w:w="1083" w:type="pct"/>
                  <w:vMerge w:val="continue"/>
                  <w:noWrap w:val="0"/>
                  <w:vAlign w:val="center"/>
                </w:tcPr>
                <w:p w14:paraId="1B9362D3">
                  <w:pPr>
                    <w:pStyle w:val="96"/>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rPr>
                  </w:pPr>
                </w:p>
              </w:tc>
              <w:tc>
                <w:tcPr>
                  <w:tcW w:w="1715" w:type="pct"/>
                  <w:noWrap w:val="0"/>
                  <w:vAlign w:val="center"/>
                </w:tcPr>
                <w:p w14:paraId="7714C0D3">
                  <w:pPr>
                    <w:pStyle w:val="118"/>
                    <w:keepNext w:val="0"/>
                    <w:keepLines w:val="0"/>
                    <w:suppressLineNumbers w:val="0"/>
                    <w:spacing w:before="44" w:beforeAutospacing="0" w:after="0" w:afterAutospacing="0" w:line="228" w:lineRule="auto"/>
                    <w:ind w:left="119" w:leftChars="0" w:right="0"/>
                    <w:rPr>
                      <w:rFonts w:hint="eastAsia" w:ascii="Times New Roman" w:hAnsi="Times New Roman" w:eastAsia="宋体" w:cs="宋体"/>
                      <w:color w:val="auto"/>
                      <w:szCs w:val="21"/>
                    </w:rPr>
                  </w:pPr>
                  <w:r>
                    <w:rPr>
                      <w:rFonts w:hint="default" w:ascii="Times New Roman" w:hAnsi="Times New Roman" w:eastAsia="宋体"/>
                      <w:color w:val="auto"/>
                      <w:spacing w:val="8"/>
                      <w:sz w:val="21"/>
                      <w:szCs w:val="21"/>
                      <w:lang w:eastAsia="zh-CN"/>
                    </w:rPr>
                    <w:t>严控</w:t>
                  </w:r>
                  <w:r>
                    <w:rPr>
                      <w:rFonts w:hint="default" w:ascii="Times New Roman" w:hAnsi="Times New Roman" w:eastAsia="宋体" w:cs="Times New Roman"/>
                      <w:color w:val="auto"/>
                      <w:spacing w:val="8"/>
                      <w:sz w:val="21"/>
                      <w:szCs w:val="21"/>
                      <w:lang w:eastAsia="zh-CN"/>
                    </w:rPr>
                    <w:t>“</w:t>
                  </w:r>
                  <w:r>
                    <w:rPr>
                      <w:rFonts w:hint="default" w:ascii="Times New Roman" w:hAnsi="Times New Roman" w:eastAsia="宋体"/>
                      <w:color w:val="auto"/>
                      <w:spacing w:val="8"/>
                      <w:sz w:val="21"/>
                      <w:szCs w:val="21"/>
                      <w:lang w:eastAsia="zh-CN"/>
                    </w:rPr>
                    <w:t>两高</w:t>
                  </w:r>
                  <w:r>
                    <w:rPr>
                      <w:rFonts w:hint="default" w:ascii="Times New Roman" w:hAnsi="Times New Roman" w:eastAsia="宋体" w:cs="Times New Roman"/>
                      <w:color w:val="auto"/>
                      <w:spacing w:val="8"/>
                      <w:sz w:val="21"/>
                      <w:szCs w:val="21"/>
                      <w:lang w:eastAsia="zh-CN"/>
                    </w:rPr>
                    <w:t>”</w:t>
                  </w:r>
                  <w:r>
                    <w:rPr>
                      <w:rFonts w:hint="default" w:ascii="Times New Roman" w:hAnsi="Times New Roman" w:eastAsia="宋体"/>
                      <w:color w:val="auto"/>
                      <w:spacing w:val="8"/>
                      <w:sz w:val="21"/>
                      <w:szCs w:val="21"/>
                      <w:lang w:eastAsia="zh-CN"/>
                    </w:rPr>
                    <w:t>行业产能。重点区域严禁新增钢铁、焦化、电解铝、铸造、水泥和平板玻璃等</w:t>
                  </w:r>
                  <w:r>
                    <w:rPr>
                      <w:rFonts w:hint="default" w:ascii="Times New Roman" w:hAnsi="Times New Roman" w:eastAsia="宋体"/>
                      <w:color w:val="auto"/>
                      <w:spacing w:val="4"/>
                      <w:sz w:val="21"/>
                      <w:szCs w:val="21"/>
                      <w:lang w:eastAsia="zh-CN"/>
                    </w:rPr>
                    <w:t>产能</w:t>
                  </w:r>
                  <w:r>
                    <w:rPr>
                      <w:rFonts w:hint="eastAsia" w:ascii="Times New Roman" w:hAnsi="Times New Roman" w:eastAsia="宋体" w:cs="宋体"/>
                      <w:color w:val="auto"/>
                      <w:szCs w:val="21"/>
                      <w:lang w:eastAsia="zh-CN"/>
                    </w:rPr>
                    <w:t>。</w:t>
                  </w:r>
                </w:p>
              </w:tc>
              <w:tc>
                <w:tcPr>
                  <w:tcW w:w="1633" w:type="pct"/>
                  <w:noWrap w:val="0"/>
                  <w:vAlign w:val="center"/>
                </w:tcPr>
                <w:p w14:paraId="5FEC9CEA">
                  <w:pPr>
                    <w:keepNext w:val="0"/>
                    <w:keepLines w:val="0"/>
                    <w:suppressLineNumbers w:val="0"/>
                    <w:spacing w:before="0" w:beforeAutospacing="0" w:after="0" w:afterAutospacing="0"/>
                    <w:ind w:left="0" w:right="0"/>
                    <w:jc w:val="center"/>
                    <w:rPr>
                      <w:rFonts w:hint="eastAsia" w:ascii="Times New Roman" w:hAnsi="Times New Roman" w:eastAsia="宋体" w:cs="宋体"/>
                      <w:color w:val="auto"/>
                      <w:szCs w:val="21"/>
                    </w:rPr>
                  </w:pPr>
                  <w:r>
                    <w:rPr>
                      <w:rFonts w:hint="eastAsia" w:ascii="Times New Roman" w:hAnsi="Times New Roman" w:eastAsia="宋体" w:cs="Times New Roman"/>
                      <w:color w:val="auto"/>
                      <w:spacing w:val="7"/>
                      <w:szCs w:val="21"/>
                    </w:rPr>
                    <w:t>本项目</w:t>
                  </w:r>
                  <w:r>
                    <w:rPr>
                      <w:rFonts w:hint="default" w:ascii="Times New Roman" w:hAnsi="Times New Roman" w:eastAsia="宋体" w:cs="Times New Roman"/>
                      <w:color w:val="auto"/>
                      <w:spacing w:val="7"/>
                      <w:szCs w:val="21"/>
                    </w:rPr>
                    <w:t>不属于</w:t>
                  </w:r>
                  <w:r>
                    <w:rPr>
                      <w:rFonts w:hint="eastAsia" w:ascii="Times New Roman" w:hAnsi="Times New Roman" w:eastAsia="宋体" w:cs="Times New Roman"/>
                      <w:color w:val="auto"/>
                      <w:spacing w:val="7"/>
                      <w:szCs w:val="21"/>
                    </w:rPr>
                    <w:t>“</w:t>
                  </w:r>
                  <w:r>
                    <w:rPr>
                      <w:rFonts w:hint="default" w:ascii="Times New Roman" w:hAnsi="Times New Roman" w:eastAsia="宋体" w:cs="Times New Roman"/>
                      <w:color w:val="auto"/>
                      <w:spacing w:val="7"/>
                      <w:szCs w:val="21"/>
                    </w:rPr>
                    <w:t>两高</w:t>
                  </w:r>
                  <w:r>
                    <w:rPr>
                      <w:rFonts w:hint="eastAsia" w:ascii="Times New Roman" w:hAnsi="Times New Roman" w:eastAsia="宋体" w:cs="Times New Roman"/>
                      <w:color w:val="auto"/>
                      <w:spacing w:val="7"/>
                      <w:szCs w:val="21"/>
                    </w:rPr>
                    <w:t>”</w:t>
                  </w:r>
                  <w:r>
                    <w:rPr>
                      <w:rFonts w:hint="default" w:ascii="Times New Roman" w:hAnsi="Times New Roman" w:eastAsia="宋体" w:cs="Times New Roman"/>
                      <w:color w:val="auto"/>
                      <w:spacing w:val="7"/>
                      <w:szCs w:val="21"/>
                    </w:rPr>
                    <w:t>行业</w:t>
                  </w:r>
                  <w:r>
                    <w:rPr>
                      <w:rFonts w:hint="eastAsia" w:ascii="Times New Roman" w:hAnsi="Times New Roman" w:eastAsia="宋体" w:cs="宋体"/>
                      <w:color w:val="auto"/>
                      <w:szCs w:val="21"/>
                      <w:lang w:eastAsia="zh-CN"/>
                    </w:rPr>
                    <w:t>。</w:t>
                  </w:r>
                </w:p>
              </w:tc>
              <w:tc>
                <w:tcPr>
                  <w:tcW w:w="289" w:type="pct"/>
                  <w:vMerge w:val="continue"/>
                  <w:noWrap w:val="0"/>
                  <w:vAlign w:val="center"/>
                </w:tcPr>
                <w:p w14:paraId="0C7FDD3D">
                  <w:pPr>
                    <w:pStyle w:val="96"/>
                    <w:keepNext w:val="0"/>
                    <w:keepLines w:val="0"/>
                    <w:suppressLineNumbers w:val="0"/>
                    <w:adjustRightInd/>
                    <w:spacing w:before="0" w:beforeAutospacing="0" w:after="0" w:afterAutospacing="0" w:line="240" w:lineRule="auto"/>
                    <w:ind w:left="0" w:right="0" w:firstLine="0" w:firstLineChars="0"/>
                    <w:jc w:val="center"/>
                    <w:rPr>
                      <w:rFonts w:hint="eastAsia" w:ascii="Times New Roman" w:hAnsi="Times New Roman" w:eastAsia="宋体" w:cs="宋体"/>
                      <w:color w:val="auto"/>
                      <w:szCs w:val="21"/>
                    </w:rPr>
                  </w:pPr>
                </w:p>
              </w:tc>
            </w:tr>
            <w:tr w14:paraId="7F3C56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5"/>
                  <w:noWrap w:val="0"/>
                  <w:vAlign w:val="center"/>
                </w:tcPr>
                <w:p w14:paraId="18652C99">
                  <w:pPr>
                    <w:keepNext w:val="0"/>
                    <w:keepLines w:val="0"/>
                    <w:suppressLineNumbers w:val="0"/>
                    <w:spacing w:before="0" w:beforeAutospacing="0" w:after="0" w:afterAutospacing="0"/>
                    <w:ind w:left="0" w:right="0"/>
                    <w:jc w:val="center"/>
                    <w:rPr>
                      <w:rFonts w:hint="default" w:ascii="Times New Roman" w:hAnsi="Times New Roman" w:eastAsia="宋体" w:cs="宋体"/>
                      <w:szCs w:val="21"/>
                    </w:rPr>
                  </w:pPr>
                  <w:r>
                    <w:rPr>
                      <w:rFonts w:hint="eastAsia" w:ascii="Times New Roman" w:hAnsi="Times New Roman" w:eastAsia="宋体" w:cs="宋体"/>
                      <w:b/>
                      <w:bCs/>
                      <w:szCs w:val="21"/>
                    </w:rPr>
                    <w:t>二、水污染防治相关政策</w:t>
                  </w:r>
                </w:p>
              </w:tc>
            </w:tr>
            <w:tr w14:paraId="39564E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9" w:type="pct"/>
                  <w:noWrap w:val="0"/>
                  <w:vAlign w:val="center"/>
                </w:tcPr>
                <w:p w14:paraId="09C8A290">
                  <w:pPr>
                    <w:pStyle w:val="20"/>
                    <w:keepNext w:val="0"/>
                    <w:keepLines w:val="0"/>
                    <w:suppressLineNumbers w:val="0"/>
                    <w:spacing w:before="0" w:beforeAutospacing="0" w:after="0" w:afterAutospacing="0"/>
                    <w:ind w:left="0" w:leftChars="0" w:right="0" w:firstLine="0" w:firstLineChars="0"/>
                    <w:rPr>
                      <w:rFonts w:hint="default" w:ascii="Times New Roman" w:hAnsi="Times New Roman" w:eastAsia="宋体" w:cs="宋体"/>
                      <w:szCs w:val="21"/>
                    </w:rPr>
                  </w:pPr>
                  <w:r>
                    <w:rPr>
                      <w:rFonts w:hint="eastAsia" w:ascii="Times New Roman" w:hAnsi="Times New Roman" w:eastAsia="宋体" w:cs="宋体"/>
                      <w:szCs w:val="21"/>
                    </w:rPr>
                    <w:t>1</w:t>
                  </w:r>
                </w:p>
              </w:tc>
              <w:tc>
                <w:tcPr>
                  <w:tcW w:w="1083" w:type="pct"/>
                  <w:noWrap w:val="0"/>
                  <w:vAlign w:val="center"/>
                </w:tcPr>
                <w:p w14:paraId="37A4E9C1">
                  <w:pPr>
                    <w:keepNext w:val="0"/>
                    <w:keepLines w:val="0"/>
                    <w:suppressLineNumbers w:val="0"/>
                    <w:spacing w:before="0" w:beforeAutospacing="0" w:after="0" w:afterAutospacing="0"/>
                    <w:ind w:left="0" w:right="0"/>
                    <w:jc w:val="center"/>
                    <w:rPr>
                      <w:rFonts w:hint="default" w:ascii="Times New Roman" w:hAnsi="Times New Roman" w:eastAsia="宋体" w:cs="宋体"/>
                      <w:szCs w:val="21"/>
                    </w:rPr>
                  </w:pPr>
                  <w:r>
                    <w:rPr>
                      <w:rFonts w:hint="default" w:ascii="Times New Roman" w:hAnsi="Times New Roman" w:eastAsia="宋体" w:cs="Times New Roman"/>
                      <w:szCs w:val="21"/>
                    </w:rPr>
                    <w:t>国务院关于印发水污染防治行动计划的通知》(国发[2015]17号)</w:t>
                  </w:r>
                </w:p>
              </w:tc>
              <w:tc>
                <w:tcPr>
                  <w:tcW w:w="1715" w:type="pct"/>
                  <w:noWrap w:val="0"/>
                  <w:vAlign w:val="center"/>
                </w:tcPr>
                <w:p w14:paraId="4B41E325">
                  <w:pPr>
                    <w:keepNext w:val="0"/>
                    <w:keepLines w:val="0"/>
                    <w:suppressLineNumbers w:val="0"/>
                    <w:spacing w:before="0" w:beforeAutospacing="0" w:after="0" w:afterAutospacing="0"/>
                    <w:ind w:left="0" w:right="0"/>
                    <w:rPr>
                      <w:rFonts w:hint="default" w:ascii="Times New Roman" w:hAnsi="Times New Roman" w:eastAsia="宋体" w:cs="宋体"/>
                      <w:szCs w:val="21"/>
                    </w:rPr>
                  </w:pPr>
                  <w:r>
                    <w:rPr>
                      <w:rFonts w:hint="eastAsia" w:ascii="Times New Roman" w:hAnsi="Times New Roman" w:eastAsia="宋体" w:cs="宋体"/>
                      <w:spacing w:val="8"/>
                      <w:szCs w:val="21"/>
                    </w:rPr>
                    <w:t>取缔</w:t>
                  </w:r>
                  <w:r>
                    <w:rPr>
                      <w:rFonts w:hint="eastAsia" w:ascii="Times New Roman" w:hAnsi="Times New Roman" w:eastAsia="宋体" w:cs="宋体"/>
                      <w:spacing w:val="5"/>
                      <w:szCs w:val="21"/>
                    </w:rPr>
                    <w:t>“</w:t>
                  </w:r>
                  <w:r>
                    <w:rPr>
                      <w:rFonts w:hint="eastAsia" w:ascii="Times New Roman" w:hAnsi="Times New Roman" w:eastAsia="宋体" w:cs="宋体"/>
                      <w:spacing w:val="4"/>
                      <w:szCs w:val="21"/>
                    </w:rPr>
                    <w:t>十小”企业。全面排查装备水平低、环保设</w:t>
                  </w:r>
                  <w:r>
                    <w:rPr>
                      <w:rFonts w:hint="eastAsia" w:ascii="Times New Roman" w:hAnsi="Times New Roman" w:eastAsia="宋体" w:cs="宋体"/>
                      <w:spacing w:val="9"/>
                      <w:szCs w:val="21"/>
                    </w:rPr>
                    <w:t>施</w:t>
                  </w:r>
                  <w:r>
                    <w:rPr>
                      <w:rFonts w:hint="eastAsia" w:ascii="Times New Roman" w:hAnsi="Times New Roman" w:eastAsia="宋体" w:cs="宋体"/>
                      <w:spacing w:val="5"/>
                      <w:szCs w:val="21"/>
                    </w:rPr>
                    <w:t>差的小型工业企业。2016年底前，按照水污</w:t>
                  </w:r>
                  <w:r>
                    <w:rPr>
                      <w:rFonts w:hint="eastAsia" w:ascii="Times New Roman" w:hAnsi="Times New Roman" w:eastAsia="宋体" w:cs="宋体"/>
                      <w:spacing w:val="22"/>
                      <w:szCs w:val="21"/>
                    </w:rPr>
                    <w:t>染</w:t>
                  </w:r>
                  <w:r>
                    <w:rPr>
                      <w:rFonts w:hint="eastAsia" w:ascii="Times New Roman" w:hAnsi="Times New Roman" w:eastAsia="宋体" w:cs="宋体"/>
                      <w:spacing w:val="12"/>
                      <w:szCs w:val="21"/>
                    </w:rPr>
                    <w:t>防治法律法规要求，全部取缔不符合国家产业政</w:t>
                  </w:r>
                  <w:r>
                    <w:rPr>
                      <w:rFonts w:hint="eastAsia" w:ascii="Times New Roman" w:hAnsi="Times New Roman" w:eastAsia="宋体" w:cs="宋体"/>
                      <w:spacing w:val="9"/>
                      <w:szCs w:val="21"/>
                    </w:rPr>
                    <w:t>策</w:t>
                  </w:r>
                  <w:r>
                    <w:rPr>
                      <w:rFonts w:hint="eastAsia" w:ascii="Times New Roman" w:hAnsi="Times New Roman" w:eastAsia="宋体" w:cs="宋体"/>
                      <w:spacing w:val="6"/>
                      <w:szCs w:val="21"/>
                    </w:rPr>
                    <w:t>的小型造纸、制革、印染、染料、炼焦、</w:t>
                  </w:r>
                  <w:r>
                    <w:rPr>
                      <w:rFonts w:hint="eastAsia" w:ascii="Times New Roman" w:hAnsi="Times New Roman" w:eastAsia="宋体" w:cs="宋体"/>
                      <w:spacing w:val="22"/>
                      <w:szCs w:val="21"/>
                    </w:rPr>
                    <w:t>炼</w:t>
                  </w:r>
                  <w:r>
                    <w:rPr>
                      <w:rFonts w:hint="eastAsia" w:ascii="Times New Roman" w:hAnsi="Times New Roman" w:eastAsia="宋体" w:cs="宋体"/>
                      <w:spacing w:val="12"/>
                      <w:szCs w:val="21"/>
                    </w:rPr>
                    <w:t>硫、炼砷、炼油、电镀、农药等严重污染水</w:t>
                  </w:r>
                  <w:r>
                    <w:rPr>
                      <w:rFonts w:hint="eastAsia" w:ascii="Times New Roman" w:hAnsi="Times New Roman" w:eastAsia="宋体" w:cs="宋体"/>
                      <w:spacing w:val="5"/>
                      <w:szCs w:val="21"/>
                    </w:rPr>
                    <w:t>环境的生产项目</w:t>
                  </w:r>
                  <w:r>
                    <w:rPr>
                      <w:rFonts w:hint="eastAsia" w:ascii="Times New Roman" w:hAnsi="Times New Roman" w:eastAsia="宋体" w:cs="宋体"/>
                      <w:spacing w:val="4"/>
                      <w:szCs w:val="21"/>
                    </w:rPr>
                    <w:t>。</w:t>
                  </w:r>
                </w:p>
              </w:tc>
              <w:tc>
                <w:tcPr>
                  <w:tcW w:w="1633" w:type="pct"/>
                  <w:noWrap w:val="0"/>
                  <w:vAlign w:val="center"/>
                </w:tcPr>
                <w:p w14:paraId="334E7FA1">
                  <w:pPr>
                    <w:keepNext w:val="0"/>
                    <w:keepLines w:val="0"/>
                    <w:suppressLineNumbers w:val="0"/>
                    <w:spacing w:before="0" w:beforeAutospacing="0" w:after="0" w:afterAutospacing="0"/>
                    <w:ind w:left="0" w:right="0"/>
                    <w:rPr>
                      <w:rFonts w:hint="default" w:ascii="Times New Roman" w:hAnsi="Times New Roman" w:eastAsia="宋体" w:cs="宋体"/>
                      <w:szCs w:val="21"/>
                    </w:rPr>
                  </w:pPr>
                  <w:r>
                    <w:rPr>
                      <w:rFonts w:hint="eastAsia" w:ascii="Times New Roman" w:hAnsi="Times New Roman" w:eastAsia="宋体" w:cs="宋体"/>
                      <w:spacing w:val="-1"/>
                      <w:szCs w:val="21"/>
                    </w:rPr>
                    <w:t>本项目不</w:t>
                  </w:r>
                  <w:r>
                    <w:rPr>
                      <w:rFonts w:hint="eastAsia" w:ascii="Times New Roman" w:hAnsi="Times New Roman" w:eastAsia="宋体" w:cs="宋体"/>
                      <w:szCs w:val="21"/>
                    </w:rPr>
                    <w:t>属</w:t>
                  </w:r>
                  <w:r>
                    <w:rPr>
                      <w:rFonts w:hint="eastAsia" w:ascii="Times New Roman" w:hAnsi="Times New Roman" w:eastAsia="宋体" w:cs="宋体"/>
                      <w:spacing w:val="-19"/>
                      <w:szCs w:val="21"/>
                    </w:rPr>
                    <w:t>于</w:t>
                  </w:r>
                  <w:r>
                    <w:rPr>
                      <w:rFonts w:hint="eastAsia" w:ascii="Times New Roman" w:hAnsi="Times New Roman" w:eastAsia="宋体" w:cs="宋体"/>
                      <w:spacing w:val="-11"/>
                      <w:szCs w:val="21"/>
                    </w:rPr>
                    <w:t>“十小”企业，不属于</w:t>
                  </w:r>
                  <w:r>
                    <w:rPr>
                      <w:rFonts w:hint="eastAsia" w:ascii="Times New Roman" w:hAnsi="Times New Roman" w:eastAsia="宋体" w:cs="宋体"/>
                      <w:spacing w:val="-8"/>
                      <w:szCs w:val="21"/>
                    </w:rPr>
                    <w:t>取</w:t>
                  </w:r>
                  <w:r>
                    <w:rPr>
                      <w:rFonts w:hint="eastAsia" w:ascii="Times New Roman" w:hAnsi="Times New Roman" w:eastAsia="宋体" w:cs="宋体"/>
                      <w:spacing w:val="-5"/>
                      <w:szCs w:val="21"/>
                    </w:rPr>
                    <w:t>缔项目。</w:t>
                  </w:r>
                </w:p>
              </w:tc>
              <w:tc>
                <w:tcPr>
                  <w:tcW w:w="289" w:type="pct"/>
                  <w:noWrap w:val="0"/>
                  <w:vAlign w:val="center"/>
                </w:tcPr>
                <w:p w14:paraId="37952093">
                  <w:pPr>
                    <w:pStyle w:val="20"/>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宋体"/>
                      <w:szCs w:val="21"/>
                    </w:rPr>
                  </w:pPr>
                  <w:r>
                    <w:rPr>
                      <w:rFonts w:hint="eastAsia" w:ascii="Times New Roman" w:hAnsi="Times New Roman" w:eastAsia="宋体" w:cs="宋体"/>
                      <w:kern w:val="0"/>
                      <w:szCs w:val="21"/>
                      <w:lang w:bidi="ar"/>
                    </w:rPr>
                    <w:t>符合</w:t>
                  </w:r>
                </w:p>
              </w:tc>
            </w:tr>
            <w:tr w14:paraId="4F8430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279" w:type="pct"/>
                  <w:noWrap w:val="0"/>
                  <w:vAlign w:val="center"/>
                </w:tcPr>
                <w:p w14:paraId="225124F3">
                  <w:pPr>
                    <w:pStyle w:val="20"/>
                    <w:keepNext w:val="0"/>
                    <w:keepLines w:val="0"/>
                    <w:suppressLineNumbers w:val="0"/>
                    <w:spacing w:before="0" w:beforeAutospacing="0" w:after="0" w:afterAutospacing="0"/>
                    <w:ind w:left="0" w:leftChars="0" w:right="0" w:firstLine="0" w:firstLineChars="0"/>
                    <w:rPr>
                      <w:rFonts w:hint="default" w:ascii="Times New Roman" w:hAnsi="Times New Roman" w:eastAsia="宋体" w:cs="宋体"/>
                      <w:szCs w:val="21"/>
                    </w:rPr>
                  </w:pPr>
                  <w:r>
                    <w:rPr>
                      <w:rFonts w:hint="eastAsia" w:ascii="Times New Roman" w:hAnsi="Times New Roman" w:eastAsia="宋体" w:cs="宋体"/>
                      <w:szCs w:val="21"/>
                    </w:rPr>
                    <w:t>2</w:t>
                  </w:r>
                </w:p>
              </w:tc>
              <w:tc>
                <w:tcPr>
                  <w:tcW w:w="1083" w:type="pct"/>
                  <w:noWrap w:val="0"/>
                  <w:vAlign w:val="center"/>
                </w:tcPr>
                <w:p w14:paraId="5964A7A1">
                  <w:pPr>
                    <w:keepNext w:val="0"/>
                    <w:keepLines w:val="0"/>
                    <w:suppressLineNumbers w:val="0"/>
                    <w:spacing w:before="0" w:beforeAutospacing="0" w:after="0" w:afterAutospacing="0"/>
                    <w:ind w:left="0" w:right="0"/>
                    <w:jc w:val="center"/>
                    <w:rPr>
                      <w:rFonts w:hint="default" w:ascii="Times New Roman" w:hAnsi="Times New Roman" w:eastAsia="宋体" w:cs="宋体"/>
                      <w:spacing w:val="-4"/>
                      <w:szCs w:val="21"/>
                    </w:rPr>
                  </w:pPr>
                  <w:r>
                    <w:rPr>
                      <w:rFonts w:hint="eastAsia" w:ascii="Times New Roman" w:hAnsi="Times New Roman" w:eastAsia="宋体" w:cs="宋体"/>
                      <w:spacing w:val="-2"/>
                      <w:szCs w:val="21"/>
                    </w:rPr>
                    <w:t>《〈</w:t>
                  </w:r>
                  <w:r>
                    <w:rPr>
                      <w:rFonts w:hint="eastAsia" w:ascii="Times New Roman" w:hAnsi="Times New Roman" w:eastAsia="宋体" w:cs="宋体"/>
                      <w:spacing w:val="-1"/>
                      <w:szCs w:val="21"/>
                    </w:rPr>
                    <w:t>水污染防治行动计划四川省工</w:t>
                  </w:r>
                  <w:r>
                    <w:rPr>
                      <w:rFonts w:hint="eastAsia" w:ascii="Times New Roman" w:hAnsi="Times New Roman" w:eastAsia="宋体" w:cs="宋体"/>
                      <w:spacing w:val="-2"/>
                      <w:szCs w:val="21"/>
                    </w:rPr>
                    <w:t>作方</w:t>
                  </w:r>
                  <w:r>
                    <w:rPr>
                      <w:rFonts w:hint="eastAsia" w:ascii="Times New Roman" w:hAnsi="Times New Roman" w:eastAsia="宋体" w:cs="宋体"/>
                      <w:spacing w:val="-1"/>
                      <w:szCs w:val="21"/>
                    </w:rPr>
                    <w:t>案〉2018年度</w:t>
                  </w:r>
                  <w:r>
                    <w:rPr>
                      <w:rFonts w:hint="eastAsia" w:ascii="Times New Roman" w:hAnsi="Times New Roman" w:eastAsia="宋体" w:cs="宋体"/>
                      <w:spacing w:val="-3"/>
                      <w:szCs w:val="21"/>
                    </w:rPr>
                    <w:t>实施方案》</w:t>
                  </w:r>
                </w:p>
              </w:tc>
              <w:tc>
                <w:tcPr>
                  <w:tcW w:w="1715" w:type="pct"/>
                  <w:noWrap w:val="0"/>
                  <w:vAlign w:val="center"/>
                </w:tcPr>
                <w:p w14:paraId="7BB7654A">
                  <w:pPr>
                    <w:keepNext w:val="0"/>
                    <w:keepLines w:val="0"/>
                    <w:suppressLineNumbers w:val="0"/>
                    <w:spacing w:before="0" w:beforeAutospacing="0" w:after="0" w:afterAutospacing="0"/>
                    <w:ind w:left="0" w:right="0"/>
                    <w:rPr>
                      <w:rFonts w:hint="default" w:ascii="Times New Roman" w:hAnsi="Times New Roman" w:eastAsia="宋体" w:cs="宋体"/>
                      <w:spacing w:val="8"/>
                      <w:szCs w:val="21"/>
                    </w:rPr>
                  </w:pPr>
                  <w:r>
                    <w:rPr>
                      <w:rFonts w:hint="eastAsia" w:ascii="Times New Roman" w:hAnsi="Times New Roman" w:eastAsia="宋体" w:cs="宋体"/>
                      <w:spacing w:val="4"/>
                      <w:szCs w:val="21"/>
                    </w:rPr>
                    <w:t>严</w:t>
                  </w:r>
                  <w:r>
                    <w:rPr>
                      <w:rFonts w:hint="eastAsia" w:ascii="Times New Roman" w:hAnsi="Times New Roman" w:eastAsia="宋体" w:cs="宋体"/>
                      <w:spacing w:val="3"/>
                      <w:szCs w:val="21"/>
                    </w:rPr>
                    <w:t>格落实生态环境部园区污水处理设施建设专</w:t>
                  </w:r>
                  <w:r>
                    <w:rPr>
                      <w:rFonts w:hint="eastAsia" w:ascii="Times New Roman" w:hAnsi="Times New Roman" w:eastAsia="宋体" w:cs="宋体"/>
                      <w:spacing w:val="-16"/>
                      <w:szCs w:val="21"/>
                    </w:rPr>
                    <w:t>项</w:t>
                  </w:r>
                  <w:r>
                    <w:rPr>
                      <w:rFonts w:hint="eastAsia" w:ascii="Times New Roman" w:hAnsi="Times New Roman" w:eastAsia="宋体" w:cs="宋体"/>
                      <w:spacing w:val="-15"/>
                      <w:szCs w:val="21"/>
                    </w:rPr>
                    <w:t>行</w:t>
                  </w:r>
                  <w:r>
                    <w:rPr>
                      <w:rFonts w:hint="eastAsia" w:ascii="Times New Roman" w:hAnsi="Times New Roman" w:eastAsia="宋体" w:cs="宋体"/>
                      <w:spacing w:val="-8"/>
                      <w:szCs w:val="21"/>
                    </w:rPr>
                    <w:t>动，强化环境审批，严格落实环境保护“三</w:t>
                  </w:r>
                  <w:r>
                    <w:rPr>
                      <w:rFonts w:hint="eastAsia" w:ascii="Times New Roman" w:hAnsi="Times New Roman" w:eastAsia="宋体" w:cs="宋体"/>
                      <w:spacing w:val="-5"/>
                      <w:szCs w:val="21"/>
                    </w:rPr>
                    <w:t>同时”制度，督促指导已建成的工业集聚区集</w:t>
                  </w:r>
                  <w:r>
                    <w:rPr>
                      <w:rFonts w:hint="eastAsia" w:ascii="Times New Roman" w:hAnsi="Times New Roman" w:eastAsia="宋体" w:cs="宋体"/>
                      <w:spacing w:val="-4"/>
                      <w:szCs w:val="21"/>
                    </w:rPr>
                    <w:t>中</w:t>
                  </w:r>
                  <w:r>
                    <w:rPr>
                      <w:rFonts w:hint="eastAsia" w:ascii="Times New Roman" w:hAnsi="Times New Roman" w:eastAsia="宋体" w:cs="宋体"/>
                      <w:spacing w:val="3"/>
                      <w:szCs w:val="21"/>
                    </w:rPr>
                    <w:t>污染处理处置设施要正常稳定运行，集聚区内</w:t>
                  </w:r>
                  <w:r>
                    <w:rPr>
                      <w:rFonts w:hint="eastAsia" w:ascii="Times New Roman" w:hAnsi="Times New Roman" w:eastAsia="宋体" w:cs="宋体"/>
                      <w:spacing w:val="24"/>
                      <w:szCs w:val="21"/>
                    </w:rPr>
                    <w:t>的</w:t>
                  </w:r>
                  <w:r>
                    <w:rPr>
                      <w:rFonts w:hint="eastAsia" w:ascii="Times New Roman" w:hAnsi="Times New Roman" w:eastAsia="宋体" w:cs="宋体"/>
                      <w:spacing w:val="14"/>
                      <w:szCs w:val="21"/>
                    </w:rPr>
                    <w:t>工</w:t>
                  </w:r>
                  <w:r>
                    <w:rPr>
                      <w:rFonts w:hint="eastAsia" w:ascii="Times New Roman" w:hAnsi="Times New Roman" w:eastAsia="宋体" w:cs="宋体"/>
                      <w:spacing w:val="12"/>
                      <w:szCs w:val="21"/>
                    </w:rPr>
                    <w:t>业废水必须经预处理达到集中处理要求</w:t>
                  </w:r>
                  <w:r>
                    <w:rPr>
                      <w:rFonts w:hint="eastAsia" w:ascii="Times New Roman" w:hAnsi="Times New Roman" w:eastAsia="宋体" w:cs="宋体"/>
                      <w:spacing w:val="-4"/>
                      <w:szCs w:val="21"/>
                    </w:rPr>
                    <w:t>后</w:t>
                  </w:r>
                  <w:r>
                    <w:rPr>
                      <w:rFonts w:hint="eastAsia" w:ascii="Times New Roman" w:hAnsi="Times New Roman" w:eastAsia="宋体" w:cs="宋体"/>
                      <w:spacing w:val="-2"/>
                      <w:szCs w:val="21"/>
                    </w:rPr>
                    <w:t>，方可排入集中污水处理设施。</w:t>
                  </w:r>
                </w:p>
              </w:tc>
              <w:tc>
                <w:tcPr>
                  <w:tcW w:w="1633" w:type="pct"/>
                  <w:noWrap w:val="0"/>
                  <w:vAlign w:val="center"/>
                </w:tcPr>
                <w:p w14:paraId="0FF6F7B9">
                  <w:pPr>
                    <w:keepNext w:val="0"/>
                    <w:keepLines w:val="0"/>
                    <w:suppressLineNumbers w:val="0"/>
                    <w:spacing w:before="0" w:beforeAutospacing="0" w:after="0" w:afterAutospacing="0"/>
                    <w:ind w:left="0" w:right="0"/>
                    <w:rPr>
                      <w:rFonts w:hint="default" w:ascii="Times New Roman" w:hAnsi="Times New Roman" w:eastAsia="宋体" w:cs="宋体"/>
                      <w:spacing w:val="-19"/>
                      <w:szCs w:val="21"/>
                    </w:rPr>
                  </w:pPr>
                  <w:r>
                    <w:rPr>
                      <w:rFonts w:hint="eastAsia" w:ascii="Times New Roman" w:hAnsi="Times New Roman" w:eastAsia="宋体" w:cs="宋体"/>
                      <w:b w:val="0"/>
                      <w:bCs w:val="0"/>
                      <w:color w:val="auto"/>
                      <w:kern w:val="0"/>
                      <w:sz w:val="21"/>
                      <w:szCs w:val="21"/>
                      <w:lang w:val="en-US" w:eastAsia="zh-CN" w:bidi="ar-SA"/>
                    </w:rPr>
                    <w:t>本项目生活污水经预处理池处理后定期由槽罐车转运至</w:t>
                  </w:r>
                  <w:r>
                    <w:rPr>
                      <w:rFonts w:hint="eastAsia" w:cs="宋体"/>
                      <w:b w:val="0"/>
                      <w:bCs w:val="0"/>
                      <w:color w:val="auto"/>
                      <w:kern w:val="0"/>
                      <w:sz w:val="21"/>
                      <w:szCs w:val="21"/>
                      <w:lang w:val="en-US" w:eastAsia="zh-CN" w:bidi="ar-SA"/>
                    </w:rPr>
                    <w:t>邻水县大步口污水处理站</w:t>
                  </w:r>
                  <w:r>
                    <w:rPr>
                      <w:rFonts w:hint="eastAsia" w:ascii="Times New Roman" w:hAnsi="Times New Roman" w:eastAsia="宋体" w:cs="宋体"/>
                      <w:b w:val="0"/>
                      <w:bCs w:val="0"/>
                      <w:color w:val="auto"/>
                      <w:kern w:val="0"/>
                      <w:sz w:val="21"/>
                      <w:szCs w:val="21"/>
                      <w:lang w:val="en-US" w:eastAsia="zh-CN" w:bidi="ar-SA"/>
                    </w:rPr>
                    <w:t>进行进一步处理后排入大洪河</w:t>
                  </w:r>
                  <w:r>
                    <w:rPr>
                      <w:rFonts w:hint="eastAsia" w:cs="宋体"/>
                      <w:b w:val="0"/>
                      <w:bCs w:val="0"/>
                      <w:color w:val="auto"/>
                      <w:kern w:val="0"/>
                      <w:sz w:val="21"/>
                      <w:szCs w:val="21"/>
                      <w:lang w:val="en-US" w:eastAsia="zh-CN" w:bidi="ar-SA"/>
                    </w:rPr>
                    <w:t>；洗砂</w:t>
                  </w:r>
                  <w:r>
                    <w:rPr>
                      <w:rFonts w:hint="eastAsia" w:ascii="Times New Roman" w:hAnsi="Times New Roman" w:eastAsia="宋体" w:cs="宋体"/>
                      <w:b w:val="0"/>
                      <w:bCs w:val="0"/>
                      <w:color w:val="auto"/>
                      <w:kern w:val="0"/>
                      <w:sz w:val="21"/>
                      <w:szCs w:val="21"/>
                      <w:lang w:val="en-US" w:eastAsia="zh-CN" w:bidi="ar-SA"/>
                    </w:rPr>
                    <w:t>废水</w:t>
                  </w:r>
                  <w:r>
                    <w:rPr>
                      <w:rFonts w:hint="eastAsia" w:cs="宋体"/>
                      <w:b w:val="0"/>
                      <w:bCs w:val="0"/>
                      <w:color w:val="auto"/>
                      <w:kern w:val="0"/>
                      <w:sz w:val="21"/>
                      <w:szCs w:val="21"/>
                      <w:lang w:val="en-US" w:eastAsia="zh-CN" w:bidi="ar-SA"/>
                    </w:rPr>
                    <w:t>、降尘废水、车辆冲洗废水和初期雨水</w:t>
                  </w:r>
                  <w:r>
                    <w:rPr>
                      <w:rFonts w:hint="eastAsia" w:ascii="Times New Roman" w:hAnsi="Times New Roman" w:eastAsia="宋体" w:cs="宋体"/>
                      <w:b w:val="0"/>
                      <w:bCs w:val="0"/>
                      <w:color w:val="auto"/>
                      <w:kern w:val="0"/>
                      <w:sz w:val="21"/>
                      <w:szCs w:val="21"/>
                      <w:lang w:val="en-US" w:eastAsia="zh-CN" w:bidi="ar-SA"/>
                    </w:rPr>
                    <w:t>经絮凝沉淀+压滤处理后回用于生产</w:t>
                  </w:r>
                  <w:r>
                    <w:rPr>
                      <w:rFonts w:hint="eastAsia" w:cs="宋体"/>
                      <w:b w:val="0"/>
                      <w:bCs w:val="0"/>
                      <w:color w:val="000000"/>
                      <w:kern w:val="0"/>
                      <w:sz w:val="21"/>
                      <w:szCs w:val="21"/>
                      <w:lang w:val="en-US" w:eastAsia="zh-CN" w:bidi="ar"/>
                    </w:rPr>
                    <w:t>。</w:t>
                  </w:r>
                </w:p>
              </w:tc>
              <w:tc>
                <w:tcPr>
                  <w:tcW w:w="289" w:type="pct"/>
                  <w:noWrap w:val="0"/>
                  <w:vAlign w:val="center"/>
                </w:tcPr>
                <w:p w14:paraId="3FAB44B4">
                  <w:pPr>
                    <w:pStyle w:val="20"/>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宋体"/>
                      <w:szCs w:val="21"/>
                    </w:rPr>
                  </w:pPr>
                  <w:r>
                    <w:rPr>
                      <w:rFonts w:hint="eastAsia" w:ascii="Times New Roman" w:hAnsi="Times New Roman" w:eastAsia="宋体" w:cs="宋体"/>
                      <w:kern w:val="0"/>
                      <w:szCs w:val="21"/>
                      <w:lang w:bidi="ar"/>
                    </w:rPr>
                    <w:t>符合</w:t>
                  </w:r>
                </w:p>
              </w:tc>
            </w:tr>
            <w:tr w14:paraId="3816CC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9" w:type="pct"/>
                  <w:noWrap w:val="0"/>
                  <w:vAlign w:val="center"/>
                </w:tcPr>
                <w:p w14:paraId="496F05B6">
                  <w:pPr>
                    <w:pStyle w:val="20"/>
                    <w:keepNext w:val="0"/>
                    <w:keepLines w:val="0"/>
                    <w:suppressLineNumbers w:val="0"/>
                    <w:spacing w:before="0" w:beforeAutospacing="0" w:after="0" w:afterAutospacing="0"/>
                    <w:ind w:left="0" w:leftChars="0" w:right="0" w:firstLine="0" w:firstLineChars="0"/>
                    <w:rPr>
                      <w:rFonts w:hint="default" w:ascii="Times New Roman" w:hAnsi="Times New Roman" w:eastAsia="宋体" w:cs="宋体"/>
                      <w:szCs w:val="21"/>
                    </w:rPr>
                  </w:pPr>
                  <w:r>
                    <w:rPr>
                      <w:rFonts w:hint="eastAsia" w:ascii="Times New Roman" w:hAnsi="Times New Roman" w:eastAsia="宋体" w:cs="宋体"/>
                      <w:szCs w:val="21"/>
                    </w:rPr>
                    <w:t>3</w:t>
                  </w:r>
                </w:p>
              </w:tc>
              <w:tc>
                <w:tcPr>
                  <w:tcW w:w="1083" w:type="pct"/>
                  <w:noWrap w:val="0"/>
                  <w:vAlign w:val="center"/>
                </w:tcPr>
                <w:p w14:paraId="61BEE16F">
                  <w:pPr>
                    <w:keepNext w:val="0"/>
                    <w:keepLines w:val="0"/>
                    <w:widowControl/>
                    <w:suppressLineNumbers w:val="0"/>
                    <w:spacing w:before="0" w:beforeAutospacing="0" w:after="0" w:afterAutospacing="0"/>
                    <w:ind w:left="0" w:right="0"/>
                    <w:jc w:val="center"/>
                    <w:rPr>
                      <w:rFonts w:hint="default" w:ascii="Times New Roman" w:hAnsi="Times New Roman" w:eastAsia="宋体" w:cs="宋体"/>
                      <w:spacing w:val="-2"/>
                      <w:szCs w:val="21"/>
                    </w:rPr>
                  </w:pPr>
                  <w:r>
                    <w:rPr>
                      <w:rFonts w:hint="default" w:ascii="Times New Roman" w:hAnsi="Times New Roman" w:eastAsia="宋体" w:cs="Times New Roman"/>
                      <w:szCs w:val="21"/>
                    </w:rPr>
                    <w:t>《四川省打赢碧水保卫战实施方案》</w:t>
                  </w:r>
                </w:p>
              </w:tc>
              <w:tc>
                <w:tcPr>
                  <w:tcW w:w="1715" w:type="pct"/>
                  <w:noWrap w:val="0"/>
                  <w:vAlign w:val="center"/>
                </w:tcPr>
                <w:p w14:paraId="05FC52CD">
                  <w:pPr>
                    <w:keepNext w:val="0"/>
                    <w:keepLines w:val="0"/>
                    <w:widowControl/>
                    <w:suppressLineNumbers w:val="0"/>
                    <w:spacing w:before="0" w:beforeAutospacing="0" w:after="0" w:afterAutospacing="0"/>
                    <w:ind w:left="0" w:right="0"/>
                    <w:jc w:val="center"/>
                    <w:rPr>
                      <w:rFonts w:hint="default" w:ascii="Times New Roman" w:hAnsi="Times New Roman" w:eastAsia="宋体" w:cs="宋体"/>
                      <w:spacing w:val="4"/>
                      <w:szCs w:val="21"/>
                    </w:rPr>
                  </w:pPr>
                  <w:r>
                    <w:rPr>
                      <w:rFonts w:hint="default" w:ascii="Times New Roman" w:hAnsi="Times New Roman" w:eastAsia="宋体" w:cs="Times New Roman"/>
                      <w:szCs w:val="21"/>
                    </w:rPr>
                    <w:t>1、在处理设施建成前，依托生活污水处理厂、一体化应急设备全面处理工业废水，确保达标排放；处理设施建成后，加强运行维护，确保设施稳定运行。2、对工业循环用水大户和涉磷企业进行全面排查，建立总磷污染源数据库，实施循环水非磷配方药品替代改造，强化工业循环用水监管和总磷排放控制；从严控制新建、改建、扩建涉磷行业的项目建设，总磷超标地方执行总磷排放减量置换</w:t>
                  </w:r>
                  <w:r>
                    <w:rPr>
                      <w:rFonts w:hint="eastAsia" w:ascii="Times New Roman" w:hAnsi="Times New Roman" w:eastAsia="宋体" w:cs="宋体"/>
                      <w:color w:val="auto"/>
                      <w:szCs w:val="21"/>
                      <w:lang w:eastAsia="zh-CN"/>
                    </w:rPr>
                    <w:t>。</w:t>
                  </w:r>
                </w:p>
              </w:tc>
              <w:tc>
                <w:tcPr>
                  <w:tcW w:w="1633" w:type="pct"/>
                  <w:noWrap w:val="0"/>
                  <w:vAlign w:val="center"/>
                </w:tcPr>
                <w:p w14:paraId="197EB82E">
                  <w:pPr>
                    <w:keepNext w:val="0"/>
                    <w:keepLines w:val="0"/>
                    <w:widowControl/>
                    <w:suppressLineNumbers w:val="0"/>
                    <w:spacing w:before="0" w:beforeAutospacing="0" w:after="0" w:afterAutospacing="0"/>
                    <w:ind w:left="0" w:right="0"/>
                    <w:jc w:val="center"/>
                    <w:rPr>
                      <w:rFonts w:hint="default" w:ascii="Times New Roman" w:hAnsi="Times New Roman" w:eastAsia="宋体" w:cs="宋体"/>
                      <w:spacing w:val="-1"/>
                      <w:szCs w:val="21"/>
                    </w:rPr>
                  </w:pPr>
                  <w:r>
                    <w:rPr>
                      <w:rFonts w:hint="default" w:ascii="Times New Roman" w:hAnsi="Times New Roman" w:eastAsia="宋体" w:cs="Times New Roman"/>
                      <w:szCs w:val="21"/>
                    </w:rPr>
                    <w:t>1、</w:t>
                  </w:r>
                  <w:r>
                    <w:rPr>
                      <w:rFonts w:hint="eastAsia" w:ascii="Times New Roman" w:hAnsi="Times New Roman" w:eastAsia="宋体" w:cs="宋体"/>
                      <w:b w:val="0"/>
                      <w:bCs w:val="0"/>
                      <w:color w:val="auto"/>
                      <w:kern w:val="0"/>
                      <w:sz w:val="21"/>
                      <w:szCs w:val="21"/>
                      <w:lang w:val="en-US" w:eastAsia="zh-CN" w:bidi="ar-SA"/>
                    </w:rPr>
                    <w:t>本项目生活污水经预处理池处理后定期由槽罐车转运至</w:t>
                  </w:r>
                  <w:r>
                    <w:rPr>
                      <w:rFonts w:hint="eastAsia" w:cs="宋体"/>
                      <w:b w:val="0"/>
                      <w:bCs w:val="0"/>
                      <w:color w:val="auto"/>
                      <w:kern w:val="0"/>
                      <w:sz w:val="21"/>
                      <w:szCs w:val="21"/>
                      <w:lang w:val="en-US" w:eastAsia="zh-CN" w:bidi="ar-SA"/>
                    </w:rPr>
                    <w:t>邻水县大步口污水处理站</w:t>
                  </w:r>
                  <w:r>
                    <w:rPr>
                      <w:rFonts w:hint="eastAsia" w:ascii="Times New Roman" w:hAnsi="Times New Roman" w:eastAsia="宋体" w:cs="宋体"/>
                      <w:b w:val="0"/>
                      <w:bCs w:val="0"/>
                      <w:color w:val="auto"/>
                      <w:kern w:val="0"/>
                      <w:sz w:val="21"/>
                      <w:szCs w:val="21"/>
                      <w:lang w:val="en-US" w:eastAsia="zh-CN" w:bidi="ar-SA"/>
                    </w:rPr>
                    <w:t>进行进一步处理后排入大洪河</w:t>
                  </w:r>
                  <w:r>
                    <w:rPr>
                      <w:rFonts w:hint="eastAsia" w:cs="宋体"/>
                      <w:b w:val="0"/>
                      <w:bCs w:val="0"/>
                      <w:color w:val="auto"/>
                      <w:kern w:val="0"/>
                      <w:sz w:val="21"/>
                      <w:szCs w:val="21"/>
                      <w:lang w:val="en-US" w:eastAsia="zh-CN" w:bidi="ar-SA"/>
                    </w:rPr>
                    <w:t>；洗砂</w:t>
                  </w:r>
                  <w:r>
                    <w:rPr>
                      <w:rFonts w:hint="eastAsia" w:ascii="Times New Roman" w:hAnsi="Times New Roman" w:eastAsia="宋体" w:cs="宋体"/>
                      <w:b w:val="0"/>
                      <w:bCs w:val="0"/>
                      <w:color w:val="auto"/>
                      <w:kern w:val="0"/>
                      <w:sz w:val="21"/>
                      <w:szCs w:val="21"/>
                      <w:lang w:val="en-US" w:eastAsia="zh-CN" w:bidi="ar-SA"/>
                    </w:rPr>
                    <w:t>废水</w:t>
                  </w:r>
                  <w:r>
                    <w:rPr>
                      <w:rFonts w:hint="eastAsia" w:cs="宋体"/>
                      <w:b w:val="0"/>
                      <w:bCs w:val="0"/>
                      <w:color w:val="auto"/>
                      <w:kern w:val="0"/>
                      <w:sz w:val="21"/>
                      <w:szCs w:val="21"/>
                      <w:lang w:val="en-US" w:eastAsia="zh-CN" w:bidi="ar-SA"/>
                    </w:rPr>
                    <w:t>、降尘废水、车辆冲洗废水和初期雨水</w:t>
                  </w:r>
                  <w:r>
                    <w:rPr>
                      <w:rFonts w:hint="eastAsia" w:ascii="Times New Roman" w:hAnsi="Times New Roman" w:eastAsia="宋体" w:cs="宋体"/>
                      <w:b w:val="0"/>
                      <w:bCs w:val="0"/>
                      <w:color w:val="auto"/>
                      <w:kern w:val="0"/>
                      <w:sz w:val="21"/>
                      <w:szCs w:val="21"/>
                      <w:lang w:val="en-US" w:eastAsia="zh-CN" w:bidi="ar-SA"/>
                    </w:rPr>
                    <w:t>经絮凝沉淀+压滤处理后回用于生产</w:t>
                  </w:r>
                  <w:r>
                    <w:rPr>
                      <w:rFonts w:hint="eastAsia" w:ascii="Times New Roman" w:hAnsi="Times New Roman" w:eastAsia="宋体" w:cs="Times New Roman"/>
                      <w:szCs w:val="21"/>
                      <w:lang w:eastAsia="zh-CN"/>
                    </w:rPr>
                    <w:t>；</w:t>
                  </w:r>
                  <w:r>
                    <w:rPr>
                      <w:rFonts w:hint="default" w:ascii="Times New Roman" w:hAnsi="Times New Roman" w:eastAsia="宋体" w:cs="Times New Roman"/>
                      <w:szCs w:val="21"/>
                    </w:rPr>
                    <w:t>2、项目</w:t>
                  </w:r>
                  <w:r>
                    <w:rPr>
                      <w:rFonts w:hint="eastAsia" w:ascii="Times New Roman" w:hAnsi="Times New Roman" w:eastAsia="宋体" w:cs="Times New Roman"/>
                      <w:szCs w:val="21"/>
                    </w:rPr>
                    <w:t>用水量较小且</w:t>
                  </w:r>
                  <w:r>
                    <w:rPr>
                      <w:rFonts w:hint="default" w:ascii="Times New Roman" w:hAnsi="Times New Roman" w:eastAsia="宋体" w:cs="Times New Roman"/>
                      <w:szCs w:val="21"/>
                    </w:rPr>
                    <w:t>不属于涉磷行业，也不属于涉磷重点工业企业</w:t>
                  </w:r>
                  <w:r>
                    <w:rPr>
                      <w:rFonts w:hint="eastAsia" w:ascii="Times New Roman" w:hAnsi="Times New Roman" w:eastAsia="宋体" w:cs="宋体"/>
                      <w:color w:val="auto"/>
                      <w:szCs w:val="21"/>
                      <w:lang w:eastAsia="zh-CN"/>
                    </w:rPr>
                    <w:t>。</w:t>
                  </w:r>
                </w:p>
              </w:tc>
              <w:tc>
                <w:tcPr>
                  <w:tcW w:w="289" w:type="pct"/>
                  <w:noWrap w:val="0"/>
                  <w:vAlign w:val="center"/>
                </w:tcPr>
                <w:p w14:paraId="63A1C869">
                  <w:pPr>
                    <w:keepNext w:val="0"/>
                    <w:keepLines w:val="0"/>
                    <w:widowControl/>
                    <w:suppressLineNumbers w:val="0"/>
                    <w:spacing w:before="0" w:beforeAutospacing="0" w:after="0" w:afterAutospacing="0"/>
                    <w:ind w:left="0" w:right="0"/>
                    <w:jc w:val="center"/>
                    <w:rPr>
                      <w:rFonts w:hint="default" w:ascii="Times New Roman" w:hAnsi="Times New Roman" w:eastAsia="宋体" w:cs="宋体"/>
                      <w:kern w:val="0"/>
                      <w:szCs w:val="21"/>
                      <w:lang w:bidi="ar"/>
                    </w:rPr>
                  </w:pPr>
                  <w:r>
                    <w:rPr>
                      <w:rFonts w:hint="default" w:ascii="Times New Roman" w:hAnsi="Times New Roman" w:eastAsia="宋体" w:cs="Times New Roman"/>
                      <w:szCs w:val="21"/>
                    </w:rPr>
                    <w:t>符合</w:t>
                  </w:r>
                </w:p>
              </w:tc>
            </w:tr>
            <w:tr w14:paraId="5736B7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5"/>
                  <w:noWrap w:val="0"/>
                  <w:vAlign w:val="center"/>
                </w:tcPr>
                <w:p w14:paraId="64F7E539">
                  <w:pPr>
                    <w:keepNext w:val="0"/>
                    <w:keepLines w:val="0"/>
                    <w:widowControl/>
                    <w:suppressLineNumbers w:val="0"/>
                    <w:spacing w:before="0" w:beforeAutospacing="0" w:after="0" w:afterAutospacing="0"/>
                    <w:ind w:left="0" w:right="0"/>
                    <w:jc w:val="center"/>
                    <w:rPr>
                      <w:rFonts w:hint="default" w:ascii="Times New Roman" w:hAnsi="Times New Roman" w:eastAsia="宋体" w:cs="宋体"/>
                      <w:szCs w:val="21"/>
                    </w:rPr>
                  </w:pPr>
                  <w:r>
                    <w:rPr>
                      <w:rFonts w:hint="eastAsia" w:ascii="Times New Roman" w:hAnsi="Times New Roman" w:eastAsia="宋体" w:cs="宋体"/>
                      <w:b/>
                      <w:bCs/>
                      <w:kern w:val="0"/>
                      <w:szCs w:val="21"/>
                      <w:lang w:bidi="ar"/>
                    </w:rPr>
                    <w:t>三、固体废物污染防治相关政策</w:t>
                  </w:r>
                </w:p>
              </w:tc>
            </w:tr>
            <w:tr w14:paraId="0E4D9D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9" w:type="pct"/>
                  <w:noWrap w:val="0"/>
                  <w:vAlign w:val="center"/>
                </w:tcPr>
                <w:p w14:paraId="4633A454">
                  <w:pPr>
                    <w:keepNext w:val="0"/>
                    <w:keepLines w:val="0"/>
                    <w:widowControl/>
                    <w:suppressLineNumbers w:val="0"/>
                    <w:spacing w:before="0" w:beforeAutospacing="0" w:after="0" w:afterAutospacing="0"/>
                    <w:ind w:left="0" w:right="0"/>
                    <w:jc w:val="center"/>
                    <w:rPr>
                      <w:rFonts w:hint="default" w:ascii="Times New Roman" w:hAnsi="Times New Roman" w:eastAsia="宋体" w:cs="宋体"/>
                      <w:b/>
                      <w:bCs/>
                      <w:kern w:val="0"/>
                      <w:szCs w:val="21"/>
                      <w:lang w:bidi="ar"/>
                    </w:rPr>
                  </w:pPr>
                  <w:r>
                    <w:rPr>
                      <w:rFonts w:hint="eastAsia" w:ascii="Times New Roman" w:hAnsi="Times New Roman" w:eastAsia="宋体" w:cs="宋体"/>
                      <w:kern w:val="0"/>
                      <w:szCs w:val="21"/>
                      <w:lang w:bidi="ar"/>
                    </w:rPr>
                    <w:t>1</w:t>
                  </w:r>
                </w:p>
              </w:tc>
              <w:tc>
                <w:tcPr>
                  <w:tcW w:w="1083" w:type="pct"/>
                  <w:noWrap w:val="0"/>
                  <w:vAlign w:val="center"/>
                </w:tcPr>
                <w:p w14:paraId="3EF3D771">
                  <w:pPr>
                    <w:keepNext w:val="0"/>
                    <w:keepLines w:val="0"/>
                    <w:widowControl/>
                    <w:suppressLineNumbers w:val="0"/>
                    <w:spacing w:before="0" w:beforeAutospacing="0" w:after="0" w:afterAutospacing="0"/>
                    <w:ind w:left="0" w:right="0"/>
                    <w:jc w:val="left"/>
                    <w:rPr>
                      <w:rFonts w:hint="default" w:ascii="Times New Roman" w:hAnsi="Times New Roman" w:eastAsia="宋体" w:cs="宋体"/>
                      <w:b/>
                      <w:bCs/>
                      <w:kern w:val="0"/>
                      <w:szCs w:val="21"/>
                      <w:lang w:bidi="ar"/>
                    </w:rPr>
                  </w:pPr>
                  <w:r>
                    <w:rPr>
                      <w:rFonts w:hint="eastAsia" w:ascii="Times New Roman" w:hAnsi="Times New Roman" w:eastAsia="宋体" w:cs="宋体"/>
                      <w:kern w:val="0"/>
                      <w:szCs w:val="21"/>
                      <w:lang w:bidi="ar"/>
                    </w:rPr>
                    <w:t>《中华人民共和国固体废物污染环境防治法》</w:t>
                  </w:r>
                </w:p>
              </w:tc>
              <w:tc>
                <w:tcPr>
                  <w:tcW w:w="1715" w:type="pct"/>
                  <w:noWrap w:val="0"/>
                  <w:vAlign w:val="center"/>
                </w:tcPr>
                <w:p w14:paraId="3CC2E6F3">
                  <w:pPr>
                    <w:keepNext w:val="0"/>
                    <w:keepLines w:val="0"/>
                    <w:widowControl/>
                    <w:suppressLineNumbers w:val="0"/>
                    <w:spacing w:before="0" w:beforeAutospacing="0" w:after="0" w:afterAutospacing="0"/>
                    <w:ind w:left="0" w:right="0"/>
                    <w:jc w:val="left"/>
                    <w:rPr>
                      <w:rFonts w:hint="default" w:ascii="Times New Roman" w:hAnsi="Times New Roman" w:eastAsia="宋体" w:cs="宋体"/>
                      <w:b/>
                      <w:bCs/>
                      <w:kern w:val="0"/>
                      <w:szCs w:val="21"/>
                      <w:lang w:bidi="ar"/>
                    </w:rPr>
                  </w:pPr>
                  <w:r>
                    <w:rPr>
                      <w:rFonts w:hint="eastAsia" w:ascii="Times New Roman" w:hAnsi="Times New Roman" w:eastAsia="宋体" w:cs="宋体"/>
                      <w:kern w:val="0"/>
                      <w:szCs w:val="21"/>
                      <w:lang w:bidi="ar"/>
                    </w:rPr>
                    <w:t>第四条固体废物污染环境防治坚持减量化、资源化和无害化的原则。任何单位和个人都应当采取措施，减少固体废物的产生量，促进固体废物的综合利用，降低固体废物的危害性。第五条固体废物污染环境防治坚持污染担责的原则。产生、收集、贮存、运输、利用、处置固体废物的单位和个人，应当采取措施，防止或者减少固体废物对环境的污染，对所造成的环境污染依法承担责任</w:t>
                  </w:r>
                  <w:r>
                    <w:rPr>
                      <w:rFonts w:hint="eastAsia" w:ascii="Times New Roman" w:hAnsi="Times New Roman" w:eastAsia="宋体" w:cs="宋体"/>
                      <w:color w:val="auto"/>
                      <w:szCs w:val="21"/>
                      <w:lang w:eastAsia="zh-CN"/>
                    </w:rPr>
                    <w:t>。</w:t>
                  </w:r>
                </w:p>
              </w:tc>
              <w:tc>
                <w:tcPr>
                  <w:tcW w:w="1633" w:type="pct"/>
                  <w:noWrap w:val="0"/>
                  <w:vAlign w:val="center"/>
                </w:tcPr>
                <w:p w14:paraId="22278E91">
                  <w:pPr>
                    <w:keepNext w:val="0"/>
                    <w:keepLines w:val="0"/>
                    <w:widowControl/>
                    <w:suppressLineNumbers w:val="0"/>
                    <w:spacing w:before="0" w:beforeAutospacing="0" w:after="0" w:afterAutospacing="0"/>
                    <w:ind w:left="0" w:right="0"/>
                    <w:jc w:val="left"/>
                    <w:rPr>
                      <w:rFonts w:hint="default" w:ascii="Times New Roman" w:hAnsi="Times New Roman" w:eastAsia="宋体" w:cs="宋体"/>
                      <w:kern w:val="0"/>
                      <w:szCs w:val="21"/>
                      <w:lang w:bidi="ar"/>
                    </w:rPr>
                  </w:pPr>
                  <w:r>
                    <w:rPr>
                      <w:rFonts w:hint="eastAsia" w:ascii="Times New Roman" w:hAnsi="Times New Roman" w:eastAsia="宋体" w:cs="宋体"/>
                      <w:kern w:val="0"/>
                      <w:szCs w:val="21"/>
                      <w:lang w:bidi="ar"/>
                    </w:rPr>
                    <w:t>本项目运营期产生的固体废弃物均得到了妥善</w:t>
                  </w:r>
                  <w:r>
                    <w:rPr>
                      <w:rFonts w:hint="eastAsia" w:ascii="Times New Roman" w:hAnsi="Times New Roman" w:eastAsia="宋体" w:cs="宋体"/>
                      <w:kern w:val="0"/>
                      <w:szCs w:val="21"/>
                      <w:lang w:bidi="ar"/>
                    </w:rPr>
                    <w:cr/>
                  </w:r>
                  <w:r>
                    <w:rPr>
                      <w:rFonts w:hint="eastAsia" w:ascii="Times New Roman" w:hAnsi="Times New Roman" w:eastAsia="宋体" w:cs="宋体"/>
                      <w:kern w:val="0"/>
                      <w:szCs w:val="21"/>
                      <w:lang w:bidi="ar"/>
                    </w:rPr>
                    <w:t>置，有效地防止了固体废物的逸散和对环境的二次污染，不会对周围环境造成不利影响</w:t>
                  </w:r>
                  <w:r>
                    <w:rPr>
                      <w:rFonts w:hint="eastAsia" w:ascii="Times New Roman" w:hAnsi="Times New Roman" w:eastAsia="宋体" w:cs="宋体"/>
                      <w:color w:val="auto"/>
                      <w:szCs w:val="21"/>
                      <w:lang w:eastAsia="zh-CN"/>
                    </w:rPr>
                    <w:t>。</w:t>
                  </w:r>
                </w:p>
              </w:tc>
              <w:tc>
                <w:tcPr>
                  <w:tcW w:w="289" w:type="pct"/>
                  <w:noWrap w:val="0"/>
                  <w:vAlign w:val="center"/>
                </w:tcPr>
                <w:p w14:paraId="5666478F">
                  <w:pPr>
                    <w:keepNext w:val="0"/>
                    <w:keepLines w:val="0"/>
                    <w:widowControl/>
                    <w:suppressLineNumbers w:val="0"/>
                    <w:spacing w:before="0" w:beforeAutospacing="0" w:after="0" w:afterAutospacing="0"/>
                    <w:ind w:left="0" w:right="0"/>
                    <w:jc w:val="center"/>
                    <w:rPr>
                      <w:rFonts w:hint="default" w:ascii="Times New Roman" w:hAnsi="Times New Roman" w:eastAsia="宋体" w:cs="宋体"/>
                      <w:b/>
                      <w:bCs/>
                      <w:kern w:val="0"/>
                      <w:szCs w:val="21"/>
                      <w:lang w:bidi="ar"/>
                    </w:rPr>
                  </w:pPr>
                  <w:r>
                    <w:rPr>
                      <w:rFonts w:hint="eastAsia" w:ascii="Times New Roman" w:hAnsi="Times New Roman" w:eastAsia="宋体" w:cs="宋体"/>
                      <w:kern w:val="0"/>
                      <w:szCs w:val="21"/>
                      <w:lang w:bidi="ar"/>
                    </w:rPr>
                    <w:t>符合</w:t>
                  </w:r>
                </w:p>
              </w:tc>
            </w:tr>
            <w:tr w14:paraId="3CFCDE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5"/>
                  <w:noWrap w:val="0"/>
                  <w:vAlign w:val="center"/>
                </w:tcPr>
                <w:p w14:paraId="6148EF4A">
                  <w:pPr>
                    <w:keepNext w:val="0"/>
                    <w:keepLines w:val="0"/>
                    <w:widowControl/>
                    <w:suppressLineNumbers w:val="0"/>
                    <w:spacing w:before="0" w:beforeAutospacing="0" w:after="0" w:afterAutospacing="0"/>
                    <w:ind w:left="0" w:right="0"/>
                    <w:jc w:val="center"/>
                    <w:rPr>
                      <w:rFonts w:hint="default" w:ascii="Times New Roman" w:hAnsi="Times New Roman" w:eastAsia="宋体" w:cs="宋体"/>
                      <w:kern w:val="0"/>
                      <w:szCs w:val="21"/>
                      <w:lang w:bidi="ar"/>
                    </w:rPr>
                  </w:pPr>
                  <w:r>
                    <w:rPr>
                      <w:rFonts w:hint="eastAsia" w:ascii="Times New Roman" w:hAnsi="Times New Roman" w:eastAsia="宋体" w:cs="宋体"/>
                      <w:b/>
                      <w:bCs/>
                      <w:kern w:val="0"/>
                      <w:szCs w:val="21"/>
                      <w:lang w:bidi="ar"/>
                    </w:rPr>
                    <w:t>四、土壤污染防治相关政策</w:t>
                  </w:r>
                </w:p>
              </w:tc>
            </w:tr>
            <w:tr w14:paraId="5C73A3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9" w:type="pct"/>
                  <w:noWrap w:val="0"/>
                  <w:vAlign w:val="center"/>
                </w:tcPr>
                <w:p w14:paraId="4E7EA16A">
                  <w:pPr>
                    <w:keepNext w:val="0"/>
                    <w:keepLines w:val="0"/>
                    <w:widowControl/>
                    <w:suppressLineNumbers w:val="0"/>
                    <w:spacing w:before="0" w:beforeAutospacing="0" w:after="0" w:afterAutospacing="0"/>
                    <w:ind w:left="0" w:right="0"/>
                    <w:jc w:val="center"/>
                    <w:rPr>
                      <w:rFonts w:hint="default" w:ascii="Times New Roman" w:hAnsi="Times New Roman" w:eastAsia="宋体" w:cs="宋体"/>
                      <w:kern w:val="0"/>
                      <w:szCs w:val="21"/>
                      <w:lang w:bidi="ar"/>
                    </w:rPr>
                  </w:pPr>
                  <w:r>
                    <w:rPr>
                      <w:rFonts w:hint="eastAsia" w:ascii="Times New Roman" w:hAnsi="Times New Roman" w:eastAsia="宋体" w:cs="宋体"/>
                      <w:kern w:val="0"/>
                      <w:szCs w:val="21"/>
                      <w:lang w:bidi="ar"/>
                    </w:rPr>
                    <w:t>1</w:t>
                  </w:r>
                </w:p>
              </w:tc>
              <w:tc>
                <w:tcPr>
                  <w:tcW w:w="1083" w:type="pct"/>
                  <w:noWrap w:val="0"/>
                  <w:vAlign w:val="center"/>
                </w:tcPr>
                <w:p w14:paraId="00043F6D">
                  <w:pPr>
                    <w:keepNext w:val="0"/>
                    <w:keepLines w:val="0"/>
                    <w:widowControl/>
                    <w:suppressLineNumbers w:val="0"/>
                    <w:spacing w:before="0" w:beforeAutospacing="0" w:after="0" w:afterAutospacing="0"/>
                    <w:ind w:left="0" w:right="0"/>
                    <w:jc w:val="left"/>
                    <w:rPr>
                      <w:rFonts w:hint="default" w:ascii="Times New Roman" w:hAnsi="Times New Roman" w:eastAsia="宋体" w:cs="宋体"/>
                      <w:kern w:val="0"/>
                      <w:szCs w:val="21"/>
                      <w:lang w:bidi="ar"/>
                    </w:rPr>
                  </w:pPr>
                  <w:r>
                    <w:rPr>
                      <w:rFonts w:hint="eastAsia" w:ascii="Times New Roman" w:hAnsi="Times New Roman" w:eastAsia="宋体" w:cs="宋体"/>
                      <w:kern w:val="0"/>
                      <w:szCs w:val="21"/>
                      <w:lang w:bidi="ar"/>
                    </w:rPr>
                    <w:t>《土壤污染防治行动计划四川省工作方案》</w:t>
                  </w:r>
                </w:p>
              </w:tc>
              <w:tc>
                <w:tcPr>
                  <w:tcW w:w="1715" w:type="pct"/>
                  <w:noWrap w:val="0"/>
                  <w:vAlign w:val="center"/>
                </w:tcPr>
                <w:p w14:paraId="358865B1">
                  <w:pPr>
                    <w:keepNext w:val="0"/>
                    <w:keepLines w:val="0"/>
                    <w:widowControl/>
                    <w:suppressLineNumbers w:val="0"/>
                    <w:spacing w:before="0" w:beforeAutospacing="0" w:after="0" w:afterAutospacing="0"/>
                    <w:ind w:left="0" w:right="0"/>
                    <w:jc w:val="left"/>
                    <w:rPr>
                      <w:rFonts w:hint="default" w:ascii="Times New Roman" w:hAnsi="Times New Roman" w:eastAsia="宋体" w:cs="宋体"/>
                      <w:b/>
                      <w:bCs/>
                      <w:kern w:val="0"/>
                      <w:szCs w:val="21"/>
                      <w:lang w:bidi="ar"/>
                    </w:rPr>
                  </w:pPr>
                  <w:r>
                    <w:rPr>
                      <w:rFonts w:hint="eastAsia" w:ascii="Times New Roman" w:hAnsi="Times New Roman" w:eastAsia="宋体" w:cs="宋体"/>
                      <w:kern w:val="0"/>
                      <w:szCs w:val="21"/>
                      <w:lang w:bidi="ar"/>
                    </w:rPr>
                    <w:t>1、从2018年起，排放重点污染物的建设项目，在开展环境影响评价时，要增加对土壤环境影响的评价内容，并提出防范土壤污染的具体措施；需要建设的土壤污染防治设施，要与主体工程同时设计、同时施工、同时投产使用；2、严格执行重金属污染物排放标准并落实相关总量控制指标，涉重金属产业发展规划必须开展规划环境影响评价，严禁在生态红线管控区、人口聚集区新建涉及重金属排放的项目。深化重金属污染治理，采取“以奖代补”方式鼓励现有重金属污染企业升级改造，降低重金属排放强度，实现稳定达标排放。......2020年，重点行业的重点重金属排放量要比2013年下降10%。继续淘汰涉重金属重点行业落后产能，执行重金属相关行业准入条件，禁止新建落后产能或产能严重过剩行业的建设项目。认真执行国家涉重金属重点行业清洁生产技术推行方案，鼓励企业采用先进的生产工艺和技术；</w:t>
                  </w:r>
                </w:p>
              </w:tc>
              <w:tc>
                <w:tcPr>
                  <w:tcW w:w="1633" w:type="pct"/>
                  <w:noWrap w:val="0"/>
                  <w:vAlign w:val="center"/>
                </w:tcPr>
                <w:p w14:paraId="3CF66A32">
                  <w:pPr>
                    <w:keepNext w:val="0"/>
                    <w:keepLines w:val="0"/>
                    <w:widowControl/>
                    <w:suppressLineNumbers w:val="0"/>
                    <w:spacing w:before="0" w:beforeAutospacing="0" w:after="0" w:afterAutospacing="0"/>
                    <w:ind w:left="0" w:right="0"/>
                    <w:jc w:val="left"/>
                    <w:rPr>
                      <w:rFonts w:hint="default" w:ascii="Times New Roman" w:hAnsi="Times New Roman" w:eastAsia="宋体" w:cs="宋体"/>
                      <w:kern w:val="0"/>
                      <w:szCs w:val="21"/>
                      <w:lang w:bidi="ar"/>
                    </w:rPr>
                  </w:pPr>
                  <w:r>
                    <w:rPr>
                      <w:rFonts w:hint="eastAsia" w:ascii="Times New Roman" w:hAnsi="Times New Roman" w:eastAsia="宋体" w:cs="宋体"/>
                      <w:kern w:val="0"/>
                      <w:szCs w:val="21"/>
                      <w:lang w:bidi="ar"/>
                    </w:rPr>
                    <w:t>1、项目属于</w:t>
                  </w:r>
                  <w:r>
                    <w:rPr>
                      <w:rFonts w:hint="eastAsia" w:cs="宋体"/>
                      <w:kern w:val="0"/>
                      <w:szCs w:val="21"/>
                      <w:lang w:val="en-US" w:eastAsia="zh-CN" w:bidi="ar"/>
                    </w:rPr>
                    <w:t>其</w:t>
                  </w:r>
                  <w:r>
                    <w:rPr>
                      <w:rFonts w:hint="eastAsia" w:cs="宋体"/>
                      <w:b w:val="0"/>
                      <w:bCs w:val="0"/>
                      <w:color w:val="000000"/>
                      <w:kern w:val="0"/>
                      <w:sz w:val="21"/>
                      <w:szCs w:val="21"/>
                      <w:lang w:val="en-US" w:eastAsia="zh-CN" w:bidi="ar"/>
                    </w:rPr>
                    <w:t>他</w:t>
                  </w:r>
                  <w:r>
                    <w:rPr>
                      <w:rFonts w:hint="eastAsia" w:ascii="Times New Roman" w:hAnsi="Times New Roman" w:eastAsia="宋体" w:cs="宋体"/>
                      <w:b w:val="0"/>
                      <w:bCs w:val="0"/>
                      <w:color w:val="000000"/>
                      <w:kern w:val="0"/>
                      <w:sz w:val="21"/>
                      <w:szCs w:val="21"/>
                      <w:lang w:val="en-US" w:eastAsia="zh-CN" w:bidi="ar"/>
                    </w:rPr>
                    <w:t>非金属矿物制品制造、固体废物治理</w:t>
                  </w:r>
                  <w:r>
                    <w:rPr>
                      <w:rFonts w:hint="eastAsia" w:ascii="Times New Roman" w:hAnsi="Times New Roman" w:eastAsia="宋体" w:cs="宋体"/>
                      <w:kern w:val="0"/>
                      <w:szCs w:val="21"/>
                      <w:lang w:bidi="ar"/>
                    </w:rPr>
                    <w:t>，项目采取了有针对性的地下水及土壤污染分区防渗措施；</w:t>
                  </w:r>
                </w:p>
                <w:p w14:paraId="3E11737C">
                  <w:pPr>
                    <w:keepNext w:val="0"/>
                    <w:keepLines w:val="0"/>
                    <w:widowControl/>
                    <w:suppressLineNumbers w:val="0"/>
                    <w:spacing w:before="0" w:beforeAutospacing="0" w:after="0" w:afterAutospacing="0"/>
                    <w:ind w:left="0" w:right="0"/>
                    <w:jc w:val="left"/>
                    <w:rPr>
                      <w:rFonts w:hint="default" w:ascii="Times New Roman" w:hAnsi="Times New Roman" w:eastAsia="宋体" w:cs="宋体"/>
                      <w:kern w:val="0"/>
                      <w:szCs w:val="21"/>
                      <w:lang w:bidi="ar"/>
                    </w:rPr>
                  </w:pPr>
                  <w:r>
                    <w:rPr>
                      <w:rFonts w:hint="eastAsia" w:ascii="Times New Roman" w:hAnsi="Times New Roman" w:eastAsia="宋体" w:cs="宋体"/>
                      <w:kern w:val="0"/>
                      <w:szCs w:val="21"/>
                      <w:lang w:bidi="ar"/>
                    </w:rPr>
                    <w:t>2、本项目不涉及重金属污染物的排放。项目位于</w:t>
                  </w:r>
                  <w:r>
                    <w:rPr>
                      <w:rFonts w:hint="eastAsia" w:ascii="Times New Roman" w:hAnsi="Times New Roman" w:eastAsia="宋体" w:cs="Times New Roman"/>
                      <w:color w:val="auto"/>
                      <w:szCs w:val="21"/>
                    </w:rPr>
                    <w:t>邻水县石滓镇晒金村8组</w:t>
                  </w:r>
                  <w:r>
                    <w:rPr>
                      <w:rFonts w:hint="eastAsia" w:ascii="Times New Roman" w:hAnsi="Times New Roman" w:eastAsia="宋体" w:cs="宋体"/>
                      <w:kern w:val="0"/>
                      <w:szCs w:val="21"/>
                      <w:lang w:bidi="ar"/>
                    </w:rPr>
                    <w:t>，不属于生态红线管控区，不涉及落后产能，符合现行国家产业政策，不属于落后产能建设项目</w:t>
                  </w:r>
                  <w:r>
                    <w:rPr>
                      <w:rFonts w:hint="eastAsia" w:ascii="Times New Roman" w:hAnsi="Times New Roman" w:eastAsia="宋体" w:cs="宋体"/>
                      <w:color w:val="auto"/>
                      <w:szCs w:val="21"/>
                      <w:lang w:eastAsia="zh-CN"/>
                    </w:rPr>
                    <w:t>。</w:t>
                  </w:r>
                </w:p>
              </w:tc>
              <w:tc>
                <w:tcPr>
                  <w:tcW w:w="289" w:type="pct"/>
                  <w:noWrap w:val="0"/>
                  <w:vAlign w:val="center"/>
                </w:tcPr>
                <w:p w14:paraId="32E6D648">
                  <w:pPr>
                    <w:keepNext w:val="0"/>
                    <w:keepLines w:val="0"/>
                    <w:widowControl/>
                    <w:suppressLineNumbers w:val="0"/>
                    <w:spacing w:before="0" w:beforeAutospacing="0" w:after="0" w:afterAutospacing="0"/>
                    <w:ind w:left="0" w:right="0"/>
                    <w:jc w:val="center"/>
                    <w:rPr>
                      <w:rFonts w:hint="default" w:ascii="Times New Roman" w:hAnsi="Times New Roman" w:eastAsia="宋体" w:cs="宋体"/>
                      <w:kern w:val="0"/>
                      <w:szCs w:val="21"/>
                      <w:lang w:bidi="ar"/>
                    </w:rPr>
                  </w:pPr>
                  <w:r>
                    <w:rPr>
                      <w:rFonts w:hint="eastAsia" w:ascii="Times New Roman" w:hAnsi="Times New Roman" w:eastAsia="宋体" w:cs="宋体"/>
                      <w:kern w:val="0"/>
                      <w:szCs w:val="21"/>
                      <w:lang w:bidi="ar"/>
                    </w:rPr>
                    <w:t>符合</w:t>
                  </w:r>
                </w:p>
              </w:tc>
            </w:tr>
            <w:tr w14:paraId="40FF27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9" w:type="pct"/>
                  <w:noWrap w:val="0"/>
                  <w:vAlign w:val="center"/>
                </w:tcPr>
                <w:p w14:paraId="3A4B8899">
                  <w:pPr>
                    <w:keepNext w:val="0"/>
                    <w:keepLines w:val="0"/>
                    <w:widowControl/>
                    <w:suppressLineNumbers w:val="0"/>
                    <w:spacing w:before="0" w:beforeAutospacing="0" w:after="0" w:afterAutospacing="0"/>
                    <w:ind w:left="0" w:right="0"/>
                    <w:jc w:val="center"/>
                    <w:rPr>
                      <w:rFonts w:hint="default" w:ascii="Times New Roman" w:hAnsi="Times New Roman" w:eastAsia="宋体" w:cs="宋体"/>
                      <w:kern w:val="0"/>
                      <w:szCs w:val="21"/>
                      <w:lang w:bidi="ar"/>
                    </w:rPr>
                  </w:pPr>
                  <w:r>
                    <w:rPr>
                      <w:rFonts w:hint="eastAsia" w:ascii="Times New Roman" w:hAnsi="Times New Roman" w:eastAsia="宋体" w:cs="宋体"/>
                      <w:kern w:val="0"/>
                      <w:szCs w:val="21"/>
                      <w:lang w:bidi="ar"/>
                    </w:rPr>
                    <w:t>2</w:t>
                  </w:r>
                </w:p>
              </w:tc>
              <w:tc>
                <w:tcPr>
                  <w:tcW w:w="1083" w:type="pct"/>
                  <w:noWrap w:val="0"/>
                  <w:vAlign w:val="center"/>
                </w:tcPr>
                <w:p w14:paraId="38219222">
                  <w:pPr>
                    <w:keepNext w:val="0"/>
                    <w:keepLines w:val="0"/>
                    <w:widowControl/>
                    <w:suppressLineNumbers w:val="0"/>
                    <w:spacing w:before="0" w:beforeAutospacing="0" w:after="0" w:afterAutospacing="0"/>
                    <w:ind w:left="0" w:right="0"/>
                    <w:jc w:val="left"/>
                    <w:rPr>
                      <w:rFonts w:hint="default" w:ascii="Times New Roman" w:hAnsi="Times New Roman" w:eastAsia="宋体" w:cs="宋体"/>
                      <w:kern w:val="0"/>
                      <w:szCs w:val="21"/>
                      <w:lang w:bidi="ar"/>
                    </w:rPr>
                  </w:pPr>
                  <w:r>
                    <w:rPr>
                      <w:rFonts w:hint="eastAsia" w:ascii="Times New Roman" w:hAnsi="Times New Roman" w:eastAsia="宋体" w:cs="Times New Roman"/>
                    </w:rPr>
                    <w:t>《四川省土壤污染防治条例》</w:t>
                  </w:r>
                </w:p>
              </w:tc>
              <w:tc>
                <w:tcPr>
                  <w:tcW w:w="1715" w:type="pct"/>
                  <w:noWrap w:val="0"/>
                  <w:vAlign w:val="center"/>
                </w:tcPr>
                <w:p w14:paraId="2FCCDD64">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szCs w:val="21"/>
                    </w:rPr>
                  </w:pPr>
                  <w:r>
                    <w:rPr>
                      <w:rFonts w:hint="eastAsia" w:ascii="Times New Roman" w:hAnsi="Times New Roman" w:eastAsia="宋体" w:cs="Times New Roman"/>
                    </w:rPr>
                    <w:t>1、各类涉及土地利用的规划和可能造成土壤污染的建设项目，应当依法进行环境影响评价。环境影响评价</w:t>
                  </w:r>
                  <w:r>
                    <w:rPr>
                      <w:rFonts w:hint="eastAsia" w:ascii="Times New Roman" w:hAnsi="Times New Roman" w:eastAsia="宋体" w:cs="Times New Roman"/>
                      <w:szCs w:val="21"/>
                    </w:rPr>
                    <w:t>文件应当包括对土壤和地下水可能造成的不良影响以及应当采取的防治措施等内容。</w:t>
                  </w:r>
                </w:p>
                <w:p w14:paraId="258E9E3B">
                  <w:pPr>
                    <w:keepNext w:val="0"/>
                    <w:keepLines w:val="0"/>
                    <w:widowControl/>
                    <w:suppressLineNumbers w:val="0"/>
                    <w:spacing w:before="0" w:beforeAutospacing="0" w:after="0" w:afterAutospacing="0"/>
                    <w:ind w:left="0" w:right="0"/>
                    <w:jc w:val="left"/>
                    <w:rPr>
                      <w:rFonts w:hint="default" w:ascii="Times New Roman" w:hAnsi="Times New Roman" w:eastAsia="宋体" w:cs="宋体"/>
                      <w:kern w:val="0"/>
                      <w:szCs w:val="21"/>
                      <w:lang w:bidi="ar"/>
                    </w:rPr>
                  </w:pPr>
                  <w:r>
                    <w:rPr>
                      <w:rFonts w:hint="eastAsia" w:ascii="Times New Roman" w:hAnsi="Times New Roman" w:eastAsia="宋体" w:cs="宋体"/>
                      <w:kern w:val="0"/>
                      <w:szCs w:val="21"/>
                      <w:lang w:bidi="ar"/>
                    </w:rPr>
                    <w:t>2、涉及重金属排放的企业事业单位和其他生产经营者应当遵守排污许可管理规定，执行重金属污染物排放标准，强化清洁生产，落实重金属污染物排放总量控制制度。</w:t>
                  </w:r>
                </w:p>
              </w:tc>
              <w:tc>
                <w:tcPr>
                  <w:tcW w:w="1633" w:type="pct"/>
                  <w:noWrap w:val="0"/>
                  <w:vAlign w:val="center"/>
                </w:tcPr>
                <w:p w14:paraId="1612F329">
                  <w:pPr>
                    <w:keepNext w:val="0"/>
                    <w:keepLines w:val="0"/>
                    <w:widowControl/>
                    <w:suppressLineNumbers w:val="0"/>
                    <w:spacing w:before="0" w:beforeAutospacing="0" w:after="0" w:afterAutospacing="0"/>
                    <w:ind w:left="0" w:right="0"/>
                    <w:jc w:val="left"/>
                    <w:rPr>
                      <w:rFonts w:hint="default" w:ascii="Times New Roman" w:hAnsi="Times New Roman" w:eastAsia="宋体" w:cs="宋体"/>
                      <w:kern w:val="0"/>
                      <w:szCs w:val="21"/>
                      <w:lang w:bidi="ar"/>
                    </w:rPr>
                  </w:pPr>
                  <w:r>
                    <w:rPr>
                      <w:rFonts w:hint="eastAsia" w:ascii="Times New Roman" w:hAnsi="Times New Roman" w:eastAsia="宋体" w:cs="宋体"/>
                      <w:kern w:val="0"/>
                      <w:szCs w:val="21"/>
                      <w:lang w:bidi="ar"/>
                    </w:rPr>
                    <w:t>本项目依法进行了环境影响评价工作，环评报告表中提出了明确的分区防渗措施，尽可能避免项目营运中对区域土壤环境影响；本项目营运过程不涉及重金属排放</w:t>
                  </w:r>
                  <w:r>
                    <w:rPr>
                      <w:rFonts w:hint="eastAsia" w:ascii="Times New Roman" w:hAnsi="Times New Roman" w:eastAsia="宋体" w:cs="宋体"/>
                      <w:color w:val="auto"/>
                      <w:szCs w:val="21"/>
                      <w:lang w:eastAsia="zh-CN"/>
                    </w:rPr>
                    <w:t>。</w:t>
                  </w:r>
                </w:p>
              </w:tc>
              <w:tc>
                <w:tcPr>
                  <w:tcW w:w="289" w:type="pct"/>
                  <w:noWrap w:val="0"/>
                  <w:vAlign w:val="center"/>
                </w:tcPr>
                <w:p w14:paraId="33701CCF">
                  <w:pPr>
                    <w:keepNext w:val="0"/>
                    <w:keepLines w:val="0"/>
                    <w:widowControl/>
                    <w:suppressLineNumbers w:val="0"/>
                    <w:spacing w:before="0" w:beforeAutospacing="0" w:after="0" w:afterAutospacing="0"/>
                    <w:ind w:left="0" w:right="0"/>
                    <w:jc w:val="center"/>
                    <w:rPr>
                      <w:rFonts w:hint="default" w:ascii="Times New Roman" w:hAnsi="Times New Roman" w:eastAsia="宋体" w:cs="宋体"/>
                      <w:kern w:val="0"/>
                      <w:szCs w:val="21"/>
                      <w:lang w:bidi="ar"/>
                    </w:rPr>
                  </w:pPr>
                  <w:r>
                    <w:rPr>
                      <w:rFonts w:hint="eastAsia" w:ascii="Times New Roman" w:hAnsi="Times New Roman" w:eastAsia="宋体" w:cs="宋体"/>
                      <w:kern w:val="0"/>
                      <w:szCs w:val="21"/>
                      <w:lang w:bidi="ar"/>
                    </w:rPr>
                    <w:t>符合</w:t>
                  </w:r>
                </w:p>
              </w:tc>
            </w:tr>
          </w:tbl>
          <w:p w14:paraId="519A9B47">
            <w:pPr>
              <w:pStyle w:val="46"/>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textAlignment w:val="auto"/>
              <w:rPr>
                <w:rFonts w:hint="eastAsia" w:ascii="Times New Roman" w:hAnsi="Times New Roman" w:eastAsia="宋体" w:cs="Times New Roman"/>
                <w:sz w:val="24"/>
              </w:rPr>
            </w:pPr>
            <w:r>
              <w:rPr>
                <w:rFonts w:hint="eastAsia" w:ascii="Times New Roman" w:hAnsi="Times New Roman" w:eastAsia="宋体" w:cs="Times New Roman"/>
                <w:b/>
                <w:sz w:val="24"/>
                <w:szCs w:val="24"/>
                <w:lang w:val="en-US" w:eastAsia="zh-CN"/>
              </w:rPr>
              <w:t>八</w:t>
            </w:r>
            <w:r>
              <w:rPr>
                <w:rFonts w:hint="eastAsia" w:ascii="Times New Roman" w:hAnsi="Times New Roman" w:eastAsia="宋体" w:cs="Times New Roman"/>
                <w:b/>
                <w:sz w:val="24"/>
                <w:szCs w:val="24"/>
              </w:rPr>
              <w:t>、项目选址合理性及外环境相容性分析</w:t>
            </w:r>
          </w:p>
          <w:p w14:paraId="5AF3DC02">
            <w:pPr>
              <w:pStyle w:val="16"/>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firstLine="482" w:firstLineChars="200"/>
              <w:textAlignment w:val="auto"/>
              <w:rPr>
                <w:rFonts w:hint="default" w:ascii="Times New Roman" w:hAnsi="Times New Roman" w:eastAsia="宋体" w:cs="宋体"/>
                <w:b/>
                <w:bCs/>
                <w:sz w:val="24"/>
              </w:rPr>
            </w:pPr>
            <w:r>
              <w:rPr>
                <w:rFonts w:hint="eastAsia" w:ascii="Times New Roman" w:hAnsi="Times New Roman" w:eastAsia="宋体" w:cs="宋体"/>
                <w:b/>
                <w:bCs/>
                <w:sz w:val="24"/>
              </w:rPr>
              <w:t>（1）选址合理性分析</w:t>
            </w:r>
          </w:p>
          <w:p w14:paraId="574940C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80" w:firstLineChars="200"/>
              <w:jc w:val="left"/>
              <w:textAlignment w:val="auto"/>
              <w:rPr>
                <w:rFonts w:hint="eastAsia"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sz w:val="24"/>
              </w:rPr>
              <w:t>本项目位于</w:t>
            </w:r>
            <w:r>
              <w:rPr>
                <w:rFonts w:hint="eastAsia" w:cs="Times New Roman"/>
                <w:sz w:val="24"/>
                <w:lang w:eastAsia="zh-CN"/>
              </w:rPr>
              <w:t>邻水县石滓镇晒金村8组</w:t>
            </w:r>
            <w:r>
              <w:rPr>
                <w:rFonts w:hint="eastAsia" w:ascii="Times New Roman" w:hAnsi="Times New Roman" w:eastAsia="宋体" w:cs="Times New Roman"/>
                <w:sz w:val="24"/>
              </w:rPr>
              <w:t>，</w:t>
            </w:r>
            <w:r>
              <w:rPr>
                <w:rFonts w:hint="eastAsia" w:cs="Times New Roman"/>
                <w:sz w:val="24"/>
                <w:lang w:val="en-US" w:eastAsia="zh-CN"/>
              </w:rPr>
              <w:t>系租赁大宇红砖厂闲置的土地用地进行建设，</w:t>
            </w:r>
            <w:r>
              <w:rPr>
                <w:rFonts w:hint="eastAsia" w:ascii="Times New Roman" w:hAnsi="Times New Roman"/>
                <w:color w:val="000000" w:themeColor="text1"/>
                <w:sz w:val="24"/>
                <w:lang w:val="en-US" w:eastAsia="zh-CN"/>
                <w14:textFill>
                  <w14:solidFill>
                    <w14:schemeClr w14:val="tx1"/>
                  </w14:solidFill>
                </w14:textFill>
              </w:rPr>
              <w:t>本项目</w:t>
            </w:r>
            <w:r>
              <w:rPr>
                <w:rFonts w:hint="eastAsia"/>
                <w:color w:val="000000" w:themeColor="text1"/>
                <w:sz w:val="24"/>
                <w:lang w:val="en-US" w:eastAsia="zh-CN"/>
                <w14:textFill>
                  <w14:solidFill>
                    <w14:schemeClr w14:val="tx1"/>
                  </w14:solidFill>
                </w14:textFill>
              </w:rPr>
              <w:t>建设地经邻水县</w:t>
            </w:r>
            <w:r>
              <w:rPr>
                <w:rFonts w:hint="eastAsia" w:ascii="Times New Roman" w:hAnsi="Times New Roman"/>
                <w:color w:val="000000" w:themeColor="text1"/>
                <w:sz w:val="24"/>
                <w:lang w:val="en-US" w:eastAsia="zh-CN"/>
                <w14:textFill>
                  <w14:solidFill>
                    <w14:schemeClr w14:val="tx1"/>
                  </w14:solidFill>
                </w14:textFill>
              </w:rPr>
              <w:t>自然资源</w:t>
            </w:r>
            <w:r>
              <w:rPr>
                <w:rFonts w:hint="eastAsia"/>
                <w:color w:val="000000" w:themeColor="text1"/>
                <w:sz w:val="24"/>
                <w:lang w:val="en-US" w:eastAsia="zh-CN"/>
                <w14:textFill>
                  <w14:solidFill>
                    <w14:schemeClr w14:val="tx1"/>
                  </w14:solidFill>
                </w14:textFill>
              </w:rPr>
              <w:t>和</w:t>
            </w:r>
            <w:r>
              <w:rPr>
                <w:rFonts w:hint="eastAsia" w:ascii="Times New Roman" w:hAnsi="Times New Roman"/>
                <w:color w:val="000000" w:themeColor="text1"/>
                <w:sz w:val="24"/>
                <w:lang w:val="en-US" w:eastAsia="zh-CN"/>
                <w14:textFill>
                  <w14:solidFill>
                    <w14:schemeClr w14:val="tx1"/>
                  </w14:solidFill>
                </w14:textFill>
              </w:rPr>
              <w:t>规划局、</w:t>
            </w:r>
            <w:r>
              <w:rPr>
                <w:rFonts w:hint="eastAsia"/>
                <w:color w:val="000000" w:themeColor="text1"/>
                <w:sz w:val="24"/>
                <w:lang w:val="en-US" w:eastAsia="zh-CN"/>
                <w14:textFill>
                  <w14:solidFill>
                    <w14:schemeClr w14:val="tx1"/>
                  </w14:solidFill>
                </w14:textFill>
              </w:rPr>
              <w:t>邻水</w:t>
            </w:r>
            <w:r>
              <w:rPr>
                <w:rFonts w:hint="eastAsia" w:ascii="Times New Roman" w:hAnsi="Times New Roman"/>
                <w:color w:val="000000" w:themeColor="text1"/>
                <w:sz w:val="24"/>
                <w:lang w:val="en-US" w:eastAsia="zh-CN"/>
                <w14:textFill>
                  <w14:solidFill>
                    <w14:schemeClr w14:val="tx1"/>
                  </w14:solidFill>
                </w14:textFill>
              </w:rPr>
              <w:t>县经济信息局</w:t>
            </w:r>
            <w:r>
              <w:rPr>
                <w:rFonts w:hint="eastAsia"/>
                <w:color w:val="000000" w:themeColor="text1"/>
                <w:sz w:val="24"/>
                <w:lang w:val="en-US" w:eastAsia="zh-CN"/>
                <w14:textFill>
                  <w14:solidFill>
                    <w14:schemeClr w14:val="tx1"/>
                  </w14:solidFill>
                </w14:textFill>
              </w:rPr>
              <w:t>、</w:t>
            </w:r>
            <w:r>
              <w:rPr>
                <w:rFonts w:hint="eastAsia" w:ascii="Times New Roman" w:hAnsi="Times New Roman"/>
                <w:color w:val="000000" w:themeColor="text1"/>
                <w:sz w:val="24"/>
                <w:lang w:val="en-US" w:eastAsia="zh-CN"/>
                <w14:textFill>
                  <w14:solidFill>
                    <w14:schemeClr w14:val="tx1"/>
                  </w14:solidFill>
                </w14:textFill>
              </w:rPr>
              <w:t>石滓镇人民政府</w:t>
            </w:r>
            <w:r>
              <w:rPr>
                <w:rFonts w:hint="eastAsia"/>
                <w:color w:val="000000" w:themeColor="text1"/>
                <w:sz w:val="24"/>
                <w:lang w:val="en-US" w:eastAsia="zh-CN"/>
                <w14:textFill>
                  <w14:solidFill>
                    <w14:schemeClr w14:val="tx1"/>
                  </w14:solidFill>
                </w14:textFill>
              </w:rPr>
              <w:t>等主管部门</w:t>
            </w:r>
            <w:r>
              <w:rPr>
                <w:rFonts w:hint="eastAsia" w:ascii="Times New Roman" w:hAnsi="Times New Roman"/>
                <w:color w:val="000000" w:themeColor="text1"/>
                <w:sz w:val="24"/>
                <w:lang w:val="en-US" w:eastAsia="zh-CN"/>
                <w14:textFill>
                  <w14:solidFill>
                    <w14:schemeClr w14:val="tx1"/>
                  </w14:solidFill>
                </w14:textFill>
              </w:rPr>
              <w:t>联合</w:t>
            </w:r>
            <w:r>
              <w:rPr>
                <w:rFonts w:hint="eastAsia"/>
                <w:color w:val="000000" w:themeColor="text1"/>
                <w:sz w:val="24"/>
                <w:lang w:val="en-US" w:eastAsia="zh-CN"/>
                <w14:textFill>
                  <w14:solidFill>
                    <w14:schemeClr w14:val="tx1"/>
                  </w14:solidFill>
                </w14:textFill>
              </w:rPr>
              <w:t>选址，一致同意本项目在该地块进行建设。经现场踏勘</w:t>
            </w:r>
            <w:r>
              <w:rPr>
                <w:rFonts w:hint="eastAsia" w:ascii="Times New Roman" w:hAnsi="Times New Roman" w:cs="Times New Roman"/>
                <w:color w:val="000000" w:themeColor="text1"/>
                <w:sz w:val="24"/>
                <w:lang w:val="en-US" w:eastAsia="zh-CN"/>
                <w14:textFill>
                  <w14:solidFill>
                    <w14:schemeClr w14:val="tx1"/>
                  </w14:solidFill>
                </w14:textFill>
              </w:rPr>
              <w:t>及查询“永久基本农田查询平台</w:t>
            </w:r>
            <w:r>
              <w:rPr>
                <w:rFonts w:hint="eastAsia" w:cs="Times New Roman"/>
                <w:color w:val="000000" w:themeColor="text1"/>
                <w:sz w:val="24"/>
                <w:lang w:val="en-US" w:eastAsia="zh-CN"/>
                <w14:textFill>
                  <w14:solidFill>
                    <w14:schemeClr w14:val="tx1"/>
                  </w14:solidFill>
                </w14:textFill>
              </w:rPr>
              <w:t>（https://yncxxcx.mnr.gov.</w:t>
            </w:r>
          </w:p>
          <w:p w14:paraId="3F8086D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left"/>
              <w:textAlignment w:val="auto"/>
              <w:rPr>
                <w:rFonts w:hint="eastAsia"/>
                <w:color w:val="000000" w:themeColor="text1"/>
                <w:sz w:val="24"/>
                <w:highlight w:val="none"/>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cn/yn/#/home）</w:t>
            </w:r>
            <w:r>
              <w:rPr>
                <w:rFonts w:hint="eastAsia" w:ascii="Times New Roman" w:hAnsi="Times New Roman" w:cs="Times New Roman"/>
                <w:color w:val="000000" w:themeColor="text1"/>
                <w:sz w:val="24"/>
                <w:lang w:val="en-US" w:eastAsia="zh-CN"/>
                <w14:textFill>
                  <w14:solidFill>
                    <w14:schemeClr w14:val="tx1"/>
                  </w14:solidFill>
                </w14:textFill>
              </w:rPr>
              <w:t>”，</w:t>
            </w:r>
            <w:r>
              <w:rPr>
                <w:rFonts w:hint="eastAsia" w:cs="宋体"/>
                <w:sz w:val="24"/>
                <w:highlight w:val="none"/>
                <w:lang w:eastAsia="zh-CN"/>
              </w:rPr>
              <w:t>项目所在地周围主要是农村环境，不属于基本农田及基本农</w:t>
            </w:r>
            <w:r>
              <w:rPr>
                <w:rFonts w:hint="eastAsia" w:cs="宋体"/>
                <w:sz w:val="24"/>
                <w:highlight w:val="none"/>
                <w:lang w:val="en-US" w:eastAsia="zh-CN"/>
              </w:rPr>
              <w:t>田保护区</w:t>
            </w:r>
            <w:r>
              <w:rPr>
                <w:rFonts w:hint="eastAsia" w:ascii="Times New Roman" w:hAnsi="Times New Roman" w:eastAsia="宋体" w:cs="宋体"/>
                <w:sz w:val="24"/>
                <w:highlight w:val="none"/>
              </w:rPr>
              <w:t>。项目拟建地周边道路、供电、供水基础设施完善，具备建设工业项目的基础条件。</w:t>
            </w:r>
          </w:p>
          <w:p w14:paraId="1ED585F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rightChars="0" w:firstLine="0" w:firstLineChars="0"/>
              <w:jc w:val="center"/>
              <w:textAlignment w:val="auto"/>
              <w:rPr>
                <w:rFonts w:hint="default"/>
                <w:color w:val="000000" w:themeColor="text1"/>
                <w:sz w:val="24"/>
                <w:lang w:val="en-US" w:eastAsia="zh-CN"/>
                <w14:textFill>
                  <w14:solidFill>
                    <w14:schemeClr w14:val="tx1"/>
                  </w14:solidFill>
                </w14:textFill>
              </w:rPr>
            </w:pPr>
            <w:r>
              <w:rPr>
                <w:rFonts w:hint="default"/>
                <w:color w:val="000000" w:themeColor="text1"/>
                <w:sz w:val="24"/>
                <w:lang w:val="en-US" w:eastAsia="zh-CN"/>
                <w14:textFill>
                  <w14:solidFill>
                    <w14:schemeClr w14:val="tx1"/>
                  </w14:solidFill>
                </w14:textFill>
              </w:rPr>
              <w:drawing>
                <wp:inline distT="0" distB="0" distL="114300" distR="114300">
                  <wp:extent cx="3665855" cy="3431540"/>
                  <wp:effectExtent l="0" t="0" r="10795" b="16510"/>
                  <wp:docPr id="15" name="图片 15" descr="基本农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基本农田"/>
                          <pic:cNvPicPr>
                            <a:picLocks noChangeAspect="1"/>
                          </pic:cNvPicPr>
                        </pic:nvPicPr>
                        <pic:blipFill>
                          <a:blip r:embed="rId14"/>
                          <a:stretch>
                            <a:fillRect/>
                          </a:stretch>
                        </pic:blipFill>
                        <pic:spPr>
                          <a:xfrm>
                            <a:off x="0" y="0"/>
                            <a:ext cx="3665855" cy="3431540"/>
                          </a:xfrm>
                          <a:prstGeom prst="rect">
                            <a:avLst/>
                          </a:prstGeom>
                        </pic:spPr>
                      </pic:pic>
                    </a:graphicData>
                  </a:graphic>
                </wp:inline>
              </w:drawing>
            </w:r>
          </w:p>
          <w:p w14:paraId="3149D216">
            <w:pPr>
              <w:pStyle w:val="16"/>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宋体"/>
                <w:b/>
                <w:bCs/>
                <w:sz w:val="21"/>
                <w:szCs w:val="21"/>
                <w:lang w:val="en-US" w:eastAsia="zh-CN"/>
              </w:rPr>
            </w:pPr>
            <w:r>
              <w:rPr>
                <w:rFonts w:hint="eastAsia" w:cs="宋体"/>
                <w:b/>
                <w:bCs/>
                <w:sz w:val="21"/>
                <w:szCs w:val="21"/>
                <w:lang w:val="en-US" w:eastAsia="zh-CN"/>
              </w:rPr>
              <w:t>图1-5  本项目与永久基本农田位置关系图</w:t>
            </w:r>
          </w:p>
          <w:p w14:paraId="5CCC9913">
            <w:pPr>
              <w:pStyle w:val="16"/>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firstLine="482" w:firstLineChars="200"/>
              <w:textAlignment w:val="auto"/>
              <w:rPr>
                <w:rFonts w:hint="default" w:ascii="Times New Roman" w:hAnsi="Times New Roman" w:eastAsia="宋体" w:cs="宋体"/>
                <w:b/>
                <w:bCs/>
                <w:sz w:val="24"/>
              </w:rPr>
            </w:pPr>
            <w:r>
              <w:rPr>
                <w:rFonts w:hint="eastAsia" w:ascii="Times New Roman" w:hAnsi="Times New Roman" w:eastAsia="宋体" w:cs="宋体"/>
                <w:b/>
                <w:bCs/>
                <w:sz w:val="24"/>
              </w:rPr>
              <w:t>综上分析，本项目选址合理。</w:t>
            </w:r>
          </w:p>
          <w:p w14:paraId="5126F2B3">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textAlignment w:val="auto"/>
              <w:rPr>
                <w:rFonts w:hint="default" w:ascii="Times New Roman" w:hAnsi="Times New Roman" w:eastAsia="宋体" w:cs="宋体"/>
                <w:b/>
                <w:bCs/>
                <w:sz w:val="24"/>
              </w:rPr>
            </w:pPr>
            <w:r>
              <w:rPr>
                <w:rFonts w:hint="eastAsia" w:ascii="Times New Roman" w:hAnsi="Times New Roman" w:eastAsia="宋体" w:cs="宋体"/>
                <w:b/>
                <w:bCs/>
                <w:sz w:val="24"/>
              </w:rPr>
              <w:t>（2）外环境相容性分析</w:t>
            </w:r>
          </w:p>
          <w:p w14:paraId="57761EA5">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jc w:val="left"/>
              <w:rPr>
                <w:rFonts w:hint="default" w:ascii="Times New Roman" w:hAnsi="Times New Roman" w:eastAsia="宋体" w:cs="Times New Roman"/>
                <w:b/>
                <w:bCs/>
                <w:kern w:val="0"/>
                <w:sz w:val="24"/>
              </w:rPr>
            </w:pPr>
            <w:r>
              <w:rPr>
                <w:rFonts w:hint="eastAsia" w:ascii="Times New Roman" w:hAnsi="Times New Roman" w:eastAsia="宋体" w:cs="Times New Roman"/>
                <w:b/>
                <w:bCs/>
                <w:kern w:val="0"/>
                <w:sz w:val="24"/>
              </w:rPr>
              <w:t>1）项目外环境关系</w:t>
            </w:r>
          </w:p>
          <w:p w14:paraId="37EA4B54">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szCs w:val="24"/>
              </w:rPr>
            </w:pPr>
            <w:r>
              <w:rPr>
                <w:rFonts w:hint="eastAsia" w:ascii="Times New Roman" w:hAnsi="Times New Roman" w:eastAsia="宋体" w:cs="宋体"/>
                <w:sz w:val="24"/>
              </w:rPr>
              <w:t>本项目位于</w:t>
            </w:r>
            <w:r>
              <w:rPr>
                <w:rFonts w:hint="eastAsia" w:cs="Times New Roman"/>
                <w:kern w:val="0"/>
                <w:sz w:val="24"/>
                <w:lang w:eastAsia="zh-CN"/>
              </w:rPr>
              <w:t>邻水县石滓镇晒金村8组</w:t>
            </w:r>
            <w:r>
              <w:rPr>
                <w:rFonts w:hint="eastAsia" w:ascii="Times New Roman" w:hAnsi="Times New Roman" w:eastAsia="宋体" w:cs="Times New Roman"/>
                <w:color w:val="auto"/>
                <w:sz w:val="24"/>
                <w:szCs w:val="24"/>
              </w:rPr>
              <w:t>，本项目外环境关系见下表。</w:t>
            </w:r>
          </w:p>
          <w:p w14:paraId="328A95DB">
            <w:pPr>
              <w:keepNext w:val="0"/>
              <w:keepLines w:val="0"/>
              <w:widowControl/>
              <w:suppressLineNumbers w:val="0"/>
              <w:snapToGrid w:val="0"/>
              <w:spacing w:before="0" w:beforeAutospacing="0" w:after="0" w:afterAutospacing="0" w:line="240" w:lineRule="auto"/>
              <w:ind w:left="0" w:right="0"/>
              <w:jc w:val="center"/>
              <w:rPr>
                <w:rFonts w:hint="default" w:ascii="Times New Roman" w:hAnsi="Times New Roman" w:eastAsia="宋体" w:cs="Times New Roman"/>
                <w:b/>
                <w:szCs w:val="21"/>
              </w:rPr>
            </w:pPr>
            <w:r>
              <w:rPr>
                <w:rFonts w:hint="default" w:ascii="Times New Roman" w:hAnsi="Times New Roman" w:eastAsia="宋体" w:cs="Times New Roman"/>
                <w:b/>
                <w:szCs w:val="21"/>
              </w:rPr>
              <w:t>表</w:t>
            </w:r>
            <w:r>
              <w:rPr>
                <w:rFonts w:hint="eastAsia" w:ascii="Times New Roman" w:hAnsi="Times New Roman" w:eastAsia="宋体" w:cs="Times New Roman"/>
                <w:b/>
                <w:szCs w:val="21"/>
              </w:rPr>
              <w:t>1-</w:t>
            </w:r>
            <w:r>
              <w:rPr>
                <w:rFonts w:hint="eastAsia" w:ascii="Times New Roman" w:hAnsi="Times New Roman" w:eastAsia="宋体" w:cs="Times New Roman"/>
                <w:b/>
                <w:szCs w:val="21"/>
                <w:lang w:val="en-US" w:eastAsia="zh-CN"/>
              </w:rPr>
              <w:t>1</w:t>
            </w:r>
            <w:r>
              <w:rPr>
                <w:rFonts w:hint="eastAsia" w:cs="Times New Roman"/>
                <w:b/>
                <w:szCs w:val="21"/>
                <w:lang w:val="en-US" w:eastAsia="zh-CN"/>
              </w:rPr>
              <w:t>0</w:t>
            </w:r>
            <w:r>
              <w:rPr>
                <w:rFonts w:hint="default" w:ascii="Times New Roman" w:hAnsi="Times New Roman" w:eastAsia="宋体" w:cs="Times New Roman"/>
                <w:b/>
                <w:szCs w:val="21"/>
              </w:rPr>
              <w:t xml:space="preserve">  </w:t>
            </w:r>
            <w:r>
              <w:rPr>
                <w:rFonts w:hint="eastAsia" w:ascii="Times New Roman" w:hAnsi="Times New Roman" w:eastAsia="宋体" w:cs="Times New Roman"/>
                <w:b/>
                <w:szCs w:val="21"/>
              </w:rPr>
              <w:t>本项目</w:t>
            </w:r>
            <w:r>
              <w:rPr>
                <w:rFonts w:hint="eastAsia" w:cs="Times New Roman"/>
                <w:b/>
                <w:szCs w:val="21"/>
                <w:lang w:val="en-US" w:eastAsia="zh-CN"/>
              </w:rPr>
              <w:t>外环境关系一览表</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39"/>
              <w:gridCol w:w="1376"/>
              <w:gridCol w:w="781"/>
              <w:gridCol w:w="1154"/>
              <w:gridCol w:w="1321"/>
              <w:gridCol w:w="1125"/>
              <w:gridCol w:w="1460"/>
            </w:tblGrid>
            <w:tr w14:paraId="3E5D37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87" w:type="pct"/>
                  <w:noWrap w:val="0"/>
                  <w:vAlign w:val="center"/>
                </w:tcPr>
                <w:p w14:paraId="14E7EB6F">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eastAsia" w:ascii="Times New Roman" w:hAnsi="Times New Roman" w:eastAsia="宋体" w:cs="Times New Roman"/>
                      <w:b/>
                      <w:bCs/>
                      <w:szCs w:val="21"/>
                    </w:rPr>
                  </w:pPr>
                  <w:r>
                    <w:rPr>
                      <w:rFonts w:hint="eastAsia" w:ascii="Times New Roman" w:hAnsi="Times New Roman" w:eastAsia="宋体" w:cs="Times New Roman"/>
                      <w:b/>
                      <w:bCs/>
                      <w:szCs w:val="21"/>
                    </w:rPr>
                    <w:t>序号</w:t>
                  </w:r>
                </w:p>
              </w:tc>
              <w:tc>
                <w:tcPr>
                  <w:tcW w:w="898" w:type="pct"/>
                  <w:noWrap w:val="0"/>
                  <w:vAlign w:val="center"/>
                </w:tcPr>
                <w:p w14:paraId="4BAA4017">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bCs/>
                      <w:szCs w:val="21"/>
                    </w:rPr>
                  </w:pPr>
                  <w:r>
                    <w:rPr>
                      <w:rFonts w:hint="eastAsia" w:ascii="Times New Roman" w:hAnsi="Times New Roman" w:eastAsia="宋体" w:cs="Times New Roman"/>
                      <w:b/>
                      <w:bCs/>
                      <w:szCs w:val="21"/>
                      <w:lang w:val="en-US" w:eastAsia="zh-CN"/>
                    </w:rPr>
                    <w:t>外环境</w:t>
                  </w:r>
                  <w:r>
                    <w:rPr>
                      <w:rFonts w:hint="eastAsia" w:ascii="Times New Roman" w:hAnsi="Times New Roman" w:eastAsia="宋体" w:cs="Times New Roman"/>
                      <w:b/>
                      <w:bCs/>
                      <w:szCs w:val="21"/>
                    </w:rPr>
                    <w:t>名称</w:t>
                  </w:r>
                </w:p>
              </w:tc>
              <w:tc>
                <w:tcPr>
                  <w:tcW w:w="510" w:type="pct"/>
                  <w:noWrap w:val="0"/>
                  <w:vAlign w:val="top"/>
                </w:tcPr>
                <w:p w14:paraId="2D4CB5E7">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bCs/>
                      <w:szCs w:val="21"/>
                      <w:lang w:val="en-US" w:eastAsia="zh-CN"/>
                    </w:rPr>
                  </w:pPr>
                  <w:r>
                    <w:rPr>
                      <w:rFonts w:hint="eastAsia" w:cs="Times New Roman"/>
                      <w:b/>
                      <w:bCs/>
                      <w:szCs w:val="21"/>
                      <w:lang w:val="en-US" w:eastAsia="zh-CN"/>
                    </w:rPr>
                    <w:t>方位</w:t>
                  </w:r>
                </w:p>
              </w:tc>
              <w:tc>
                <w:tcPr>
                  <w:tcW w:w="753" w:type="pct"/>
                  <w:noWrap w:val="0"/>
                  <w:vAlign w:val="top"/>
                </w:tcPr>
                <w:p w14:paraId="187DFB09">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kern w:val="2"/>
                      <w:sz w:val="21"/>
                      <w:szCs w:val="21"/>
                      <w:lang w:val="en-US" w:eastAsia="zh-CN" w:bidi="ar-SA"/>
                    </w:rPr>
                  </w:pPr>
                  <w:r>
                    <w:rPr>
                      <w:rFonts w:hint="eastAsia"/>
                      <w:b/>
                      <w:bCs/>
                      <w:vertAlign w:val="baseline"/>
                      <w:lang w:val="en-US" w:eastAsia="zh-CN"/>
                    </w:rPr>
                    <w:t>与厂界最近距离</w:t>
                  </w:r>
                </w:p>
              </w:tc>
              <w:tc>
                <w:tcPr>
                  <w:tcW w:w="862" w:type="pct"/>
                  <w:noWrap w:val="0"/>
                  <w:vAlign w:val="top"/>
                </w:tcPr>
                <w:p w14:paraId="4CDC99BD">
                  <w:pPr>
                    <w:keepNext w:val="0"/>
                    <w:keepLines w:val="0"/>
                    <w:suppressLineNumbers w:val="0"/>
                    <w:spacing w:before="0" w:beforeAutospacing="0" w:after="0" w:afterAutospacing="0"/>
                    <w:ind w:left="0" w:right="0"/>
                    <w:jc w:val="center"/>
                    <w:rPr>
                      <w:rFonts w:hint="eastAsia" w:cs="Times New Roman"/>
                      <w:b/>
                      <w:bCs/>
                      <w:szCs w:val="21"/>
                      <w:lang w:val="en-US" w:eastAsia="zh-CN"/>
                    </w:rPr>
                  </w:pPr>
                  <w:r>
                    <w:rPr>
                      <w:rFonts w:hint="eastAsia"/>
                      <w:b/>
                      <w:bCs/>
                      <w:vertAlign w:val="baseline"/>
                      <w:lang w:val="en-US" w:eastAsia="zh-CN"/>
                    </w:rPr>
                    <w:t>与生产车间最近距离</w:t>
                  </w:r>
                </w:p>
              </w:tc>
              <w:tc>
                <w:tcPr>
                  <w:tcW w:w="734" w:type="pct"/>
                  <w:noWrap w:val="0"/>
                  <w:vAlign w:val="center"/>
                </w:tcPr>
                <w:p w14:paraId="580444AB">
                  <w:pPr>
                    <w:keepNext w:val="0"/>
                    <w:keepLines w:val="0"/>
                    <w:suppressLineNumbers w:val="0"/>
                    <w:spacing w:before="0" w:beforeAutospacing="0" w:after="0" w:afterAutospacing="0"/>
                    <w:ind w:left="0" w:right="0"/>
                    <w:jc w:val="center"/>
                    <w:rPr>
                      <w:rFonts w:hint="default"/>
                      <w:b/>
                      <w:bCs/>
                      <w:vertAlign w:val="baseline"/>
                      <w:lang w:val="en-US" w:eastAsia="zh-CN"/>
                    </w:rPr>
                  </w:pPr>
                  <w:r>
                    <w:rPr>
                      <w:rFonts w:hint="eastAsia"/>
                      <w:b/>
                      <w:bCs/>
                      <w:vertAlign w:val="baseline"/>
                      <w:lang w:val="en-US" w:eastAsia="zh-CN"/>
                    </w:rPr>
                    <w:t>高程差</w:t>
                  </w:r>
                </w:p>
              </w:tc>
              <w:tc>
                <w:tcPr>
                  <w:tcW w:w="953" w:type="pct"/>
                  <w:noWrap w:val="0"/>
                  <w:vAlign w:val="center"/>
                </w:tcPr>
                <w:p w14:paraId="138C1BBA">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bCs/>
                      <w:szCs w:val="21"/>
                      <w:lang w:val="en-US" w:eastAsia="zh-CN"/>
                    </w:rPr>
                  </w:pPr>
                  <w:r>
                    <w:rPr>
                      <w:rFonts w:hint="eastAsia" w:ascii="Times New Roman" w:hAnsi="Times New Roman" w:eastAsia="宋体" w:cs="Times New Roman"/>
                      <w:b/>
                      <w:bCs/>
                      <w:szCs w:val="21"/>
                    </w:rPr>
                    <w:t>性质</w:t>
                  </w:r>
                  <w:r>
                    <w:rPr>
                      <w:rFonts w:hint="eastAsia" w:ascii="Times New Roman" w:hAnsi="Times New Roman" w:eastAsia="宋体" w:cs="Times New Roman"/>
                      <w:b/>
                      <w:bCs/>
                      <w:szCs w:val="21"/>
                      <w:lang w:val="en-US" w:eastAsia="zh-CN"/>
                    </w:rPr>
                    <w:t>/规模</w:t>
                  </w:r>
                </w:p>
              </w:tc>
            </w:tr>
            <w:tr w14:paraId="2CCD55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287" w:type="pct"/>
                  <w:noWrap w:val="0"/>
                  <w:vAlign w:val="center"/>
                </w:tcPr>
                <w:p w14:paraId="5397F8B0">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right="0"/>
                    <w:jc w:val="center"/>
                    <w:textAlignment w:val="auto"/>
                    <w:rPr>
                      <w:rFonts w:hint="default" w:ascii="Times New Roman" w:hAnsi="Times New Roman" w:eastAsia="宋体" w:cs="Times New Roman"/>
                      <w:szCs w:val="21"/>
                    </w:rPr>
                  </w:pPr>
                  <w:r>
                    <w:rPr>
                      <w:rFonts w:hint="eastAsia" w:ascii="Times New Roman" w:hAnsi="Times New Roman" w:eastAsia="宋体"/>
                      <w:color w:val="auto"/>
                      <w:sz w:val="21"/>
                      <w:szCs w:val="21"/>
                    </w:rPr>
                    <w:t>1</w:t>
                  </w:r>
                </w:p>
              </w:tc>
              <w:tc>
                <w:tcPr>
                  <w:tcW w:w="898" w:type="pct"/>
                  <w:noWrap w:val="0"/>
                  <w:vAlign w:val="center"/>
                </w:tcPr>
                <w:p w14:paraId="64AA8EED">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default" w:ascii="Times New Roman" w:hAnsi="Times New Roman" w:eastAsia="宋体" w:cs="Times New Roman"/>
                      <w:szCs w:val="21"/>
                    </w:rPr>
                  </w:pPr>
                  <w:r>
                    <w:rPr>
                      <w:rFonts w:hint="eastAsia"/>
                      <w:vertAlign w:val="baseline"/>
                      <w:lang w:val="en-US" w:eastAsia="zh-CN"/>
                    </w:rPr>
                    <w:t>空置厂房</w:t>
                  </w:r>
                </w:p>
              </w:tc>
              <w:tc>
                <w:tcPr>
                  <w:tcW w:w="510" w:type="pct"/>
                  <w:shd w:val="clear" w:color="auto" w:fill="auto"/>
                  <w:noWrap w:val="0"/>
                  <w:vAlign w:val="center"/>
                </w:tcPr>
                <w:p w14:paraId="6F522FB0">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olor w:val="auto"/>
                      <w:sz w:val="21"/>
                      <w:szCs w:val="21"/>
                      <w:lang w:val="en-US" w:eastAsia="zh-CN"/>
                    </w:rPr>
                    <w:t>西</w:t>
                  </w:r>
                  <w:r>
                    <w:rPr>
                      <w:rFonts w:hint="eastAsia" w:ascii="Times New Roman" w:hAnsi="Times New Roman" w:eastAsia="宋体"/>
                      <w:color w:val="auto"/>
                      <w:sz w:val="21"/>
                      <w:szCs w:val="21"/>
                    </w:rPr>
                    <w:t>侧</w:t>
                  </w:r>
                </w:p>
              </w:tc>
              <w:tc>
                <w:tcPr>
                  <w:tcW w:w="753" w:type="pct"/>
                  <w:noWrap w:val="0"/>
                  <w:vAlign w:val="center"/>
                </w:tcPr>
                <w:p w14:paraId="6483696A">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olor w:val="auto"/>
                      <w:sz w:val="21"/>
                      <w:szCs w:val="21"/>
                    </w:rPr>
                    <w:t>紧邻</w:t>
                  </w:r>
                </w:p>
              </w:tc>
              <w:tc>
                <w:tcPr>
                  <w:tcW w:w="862" w:type="pct"/>
                  <w:shd w:val="clear" w:color="auto" w:fill="auto"/>
                  <w:noWrap w:val="0"/>
                  <w:vAlign w:val="center"/>
                </w:tcPr>
                <w:p w14:paraId="5A87D0F7">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firstLine="0" w:firstLineChars="0"/>
                    <w:jc w:val="center"/>
                    <w:textAlignment w:val="auto"/>
                    <w:rPr>
                      <w:rFonts w:hint="eastAsia" w:eastAsia="宋体" w:asciiTheme="minorHAnsi" w:hAnsiTheme="minorHAnsi" w:cstheme="minorBidi"/>
                      <w:kern w:val="2"/>
                      <w:sz w:val="21"/>
                      <w:szCs w:val="24"/>
                      <w:vertAlign w:val="baseline"/>
                      <w:lang w:val="en-US" w:eastAsia="zh-CN" w:bidi="ar-SA"/>
                    </w:rPr>
                  </w:pPr>
                  <w:r>
                    <w:rPr>
                      <w:rFonts w:hint="eastAsia" w:ascii="Times New Roman" w:hAnsi="Times New Roman" w:eastAsia="宋体"/>
                      <w:color w:val="auto"/>
                      <w:sz w:val="21"/>
                      <w:szCs w:val="21"/>
                      <w:lang w:val="en-US" w:eastAsia="zh-CN"/>
                    </w:rPr>
                    <w:t>4</w:t>
                  </w:r>
                </w:p>
              </w:tc>
              <w:tc>
                <w:tcPr>
                  <w:tcW w:w="1125" w:type="dxa"/>
                  <w:noWrap w:val="0"/>
                  <w:vAlign w:val="center"/>
                </w:tcPr>
                <w:p w14:paraId="000DD0B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olor w:val="auto"/>
                      <w:sz w:val="21"/>
                      <w:szCs w:val="21"/>
                      <w:lang w:val="en-US" w:eastAsia="zh-CN"/>
                    </w:rPr>
                  </w:pPr>
                  <w:r>
                    <w:rPr>
                      <w:rFonts w:hint="eastAsia" w:ascii="宋体" w:hAnsi="宋体" w:eastAsia="宋体" w:cs="宋体"/>
                      <w:i w:val="0"/>
                      <w:iCs w:val="0"/>
                      <w:color w:val="000000"/>
                      <w:kern w:val="0"/>
                      <w:sz w:val="22"/>
                      <w:szCs w:val="22"/>
                      <w:u w:val="none"/>
                      <w:lang w:val="en-US" w:eastAsia="zh-CN" w:bidi="ar"/>
                    </w:rPr>
                    <w:t>0</w:t>
                  </w:r>
                </w:p>
              </w:tc>
              <w:tc>
                <w:tcPr>
                  <w:tcW w:w="953" w:type="pct"/>
                  <w:noWrap w:val="0"/>
                  <w:vAlign w:val="center"/>
                </w:tcPr>
                <w:p w14:paraId="4AFECE35">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eastAsia" w:ascii="Times New Roman" w:hAnsi="Times New Roman" w:eastAsia="宋体" w:cs="Times New Roman"/>
                      <w:szCs w:val="21"/>
                      <w:lang w:eastAsia="zh-CN"/>
                    </w:rPr>
                  </w:pPr>
                  <w:r>
                    <w:rPr>
                      <w:rFonts w:hint="eastAsia" w:cs="Times New Roman"/>
                      <w:szCs w:val="21"/>
                      <w:lang w:val="en-US" w:eastAsia="zh-CN"/>
                    </w:rPr>
                    <w:t>/</w:t>
                  </w:r>
                </w:p>
              </w:tc>
            </w:tr>
            <w:tr w14:paraId="17161C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287" w:type="pct"/>
                  <w:noWrap w:val="0"/>
                  <w:vAlign w:val="center"/>
                </w:tcPr>
                <w:p w14:paraId="02D3480B">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right="0"/>
                    <w:jc w:val="center"/>
                    <w:textAlignment w:val="auto"/>
                    <w:rPr>
                      <w:rFonts w:hint="default" w:ascii="Times New Roman" w:hAnsi="Times New Roman" w:eastAsia="宋体" w:cs="Times New Roman"/>
                      <w:szCs w:val="21"/>
                    </w:rPr>
                  </w:pPr>
                  <w:r>
                    <w:rPr>
                      <w:rFonts w:hint="eastAsia" w:ascii="Times New Roman" w:hAnsi="Times New Roman" w:eastAsia="宋体"/>
                      <w:color w:val="auto"/>
                      <w:sz w:val="21"/>
                      <w:szCs w:val="21"/>
                    </w:rPr>
                    <w:t>2</w:t>
                  </w:r>
                </w:p>
              </w:tc>
              <w:tc>
                <w:tcPr>
                  <w:tcW w:w="898" w:type="pct"/>
                  <w:noWrap w:val="0"/>
                  <w:vAlign w:val="center"/>
                </w:tcPr>
                <w:p w14:paraId="32BA39AA">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ascii="Times New Roman" w:hAnsi="Times New Roman" w:eastAsia="宋体" w:cs="Times New Roman"/>
                      <w:szCs w:val="21"/>
                    </w:rPr>
                  </w:pPr>
                  <w:r>
                    <w:rPr>
                      <w:rFonts w:hint="eastAsia" w:ascii="Times New Roman" w:hAnsi="Times New Roman" w:eastAsia="宋体"/>
                      <w:color w:val="auto"/>
                      <w:sz w:val="21"/>
                      <w:szCs w:val="21"/>
                      <w:lang w:val="en-US" w:eastAsia="zh-CN"/>
                    </w:rPr>
                    <w:t>空置库房</w:t>
                  </w:r>
                </w:p>
              </w:tc>
              <w:tc>
                <w:tcPr>
                  <w:tcW w:w="510" w:type="pct"/>
                  <w:shd w:val="clear" w:color="auto" w:fill="auto"/>
                  <w:noWrap w:val="0"/>
                  <w:vAlign w:val="center"/>
                </w:tcPr>
                <w:p w14:paraId="2A48CC97">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olor w:val="auto"/>
                      <w:sz w:val="21"/>
                      <w:szCs w:val="21"/>
                      <w:lang w:val="en-US" w:eastAsia="zh-CN"/>
                    </w:rPr>
                    <w:t>东南侧</w:t>
                  </w:r>
                </w:p>
              </w:tc>
              <w:tc>
                <w:tcPr>
                  <w:tcW w:w="753" w:type="pct"/>
                  <w:noWrap w:val="0"/>
                  <w:vAlign w:val="center"/>
                </w:tcPr>
                <w:p w14:paraId="17819655">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olor w:val="auto"/>
                      <w:sz w:val="21"/>
                      <w:szCs w:val="21"/>
                      <w:lang w:val="en-US" w:eastAsia="zh-CN"/>
                    </w:rPr>
                    <w:t>36m</w:t>
                  </w:r>
                </w:p>
              </w:tc>
              <w:tc>
                <w:tcPr>
                  <w:tcW w:w="862" w:type="pct"/>
                  <w:shd w:val="clear" w:color="auto" w:fill="auto"/>
                  <w:noWrap w:val="0"/>
                  <w:vAlign w:val="center"/>
                </w:tcPr>
                <w:p w14:paraId="7639F165">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eastAsia="宋体" w:asciiTheme="minorHAnsi" w:hAnsiTheme="minorHAnsi" w:cstheme="minorBidi"/>
                      <w:kern w:val="2"/>
                      <w:sz w:val="21"/>
                      <w:szCs w:val="24"/>
                      <w:vertAlign w:val="baseline"/>
                      <w:lang w:val="en-US" w:eastAsia="zh-CN" w:bidi="ar-SA"/>
                    </w:rPr>
                  </w:pPr>
                  <w:r>
                    <w:rPr>
                      <w:rFonts w:hint="eastAsia" w:ascii="Times New Roman" w:hAnsi="Times New Roman" w:eastAsia="宋体"/>
                      <w:color w:val="auto"/>
                      <w:sz w:val="21"/>
                      <w:szCs w:val="21"/>
                      <w:lang w:val="en-US" w:eastAsia="zh-CN"/>
                    </w:rPr>
                    <w:t>72m</w:t>
                  </w:r>
                </w:p>
              </w:tc>
              <w:tc>
                <w:tcPr>
                  <w:tcW w:w="1125" w:type="dxa"/>
                  <w:noWrap w:val="0"/>
                  <w:vAlign w:val="center"/>
                </w:tcPr>
                <w:p w14:paraId="3B744F0F">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olor w:val="auto"/>
                      <w:sz w:val="21"/>
                      <w:szCs w:val="21"/>
                      <w:lang w:val="en-US" w:eastAsia="zh-CN"/>
                    </w:rPr>
                  </w:pPr>
                  <w:r>
                    <w:rPr>
                      <w:rFonts w:hint="eastAsia" w:ascii="宋体" w:hAnsi="宋体" w:eastAsia="宋体" w:cs="宋体"/>
                      <w:i w:val="0"/>
                      <w:iCs w:val="0"/>
                      <w:color w:val="000000"/>
                      <w:kern w:val="0"/>
                      <w:sz w:val="22"/>
                      <w:szCs w:val="22"/>
                      <w:u w:val="none"/>
                      <w:lang w:val="en-US" w:eastAsia="zh-CN" w:bidi="ar"/>
                    </w:rPr>
                    <w:t>-2.6</w:t>
                  </w:r>
                  <w:r>
                    <w:rPr>
                      <w:rFonts w:hint="eastAsia" w:ascii="Times New Roman" w:hAnsi="Times New Roman" w:eastAsia="宋体"/>
                      <w:color w:val="auto"/>
                      <w:sz w:val="21"/>
                      <w:szCs w:val="21"/>
                      <w:lang w:val="en-US" w:eastAsia="zh-CN"/>
                    </w:rPr>
                    <w:t>m</w:t>
                  </w:r>
                </w:p>
              </w:tc>
              <w:tc>
                <w:tcPr>
                  <w:tcW w:w="953" w:type="pct"/>
                  <w:noWrap w:val="0"/>
                  <w:vAlign w:val="center"/>
                </w:tcPr>
                <w:p w14:paraId="346CA5C1">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szCs w:val="21"/>
                      <w:lang w:val="en-US" w:eastAsia="zh-CN"/>
                    </w:rPr>
                  </w:pPr>
                  <w:r>
                    <w:rPr>
                      <w:rFonts w:hint="eastAsia" w:cs="Times New Roman"/>
                      <w:szCs w:val="21"/>
                      <w:lang w:val="en-US" w:eastAsia="zh-CN"/>
                    </w:rPr>
                    <w:t>/</w:t>
                  </w:r>
                </w:p>
              </w:tc>
            </w:tr>
            <w:tr w14:paraId="4F5A7B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287" w:type="pct"/>
                  <w:noWrap w:val="0"/>
                  <w:vAlign w:val="center"/>
                </w:tcPr>
                <w:p w14:paraId="6E49ECD5">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right="0"/>
                    <w:jc w:val="center"/>
                    <w:textAlignment w:val="auto"/>
                    <w:rPr>
                      <w:rFonts w:hint="eastAsia" w:ascii="Times New Roman" w:hAnsi="Times New Roman" w:eastAsia="宋体" w:cs="Times New Roman"/>
                      <w:szCs w:val="21"/>
                    </w:rPr>
                  </w:pPr>
                  <w:r>
                    <w:rPr>
                      <w:rFonts w:hint="eastAsia" w:ascii="Times New Roman" w:hAnsi="Times New Roman" w:eastAsia="宋体"/>
                      <w:color w:val="auto"/>
                      <w:sz w:val="21"/>
                      <w:szCs w:val="21"/>
                    </w:rPr>
                    <w:t>3</w:t>
                  </w:r>
                </w:p>
              </w:tc>
              <w:tc>
                <w:tcPr>
                  <w:tcW w:w="898" w:type="pct"/>
                  <w:noWrap w:val="0"/>
                  <w:vAlign w:val="center"/>
                </w:tcPr>
                <w:p w14:paraId="1BED8FE3">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default" w:ascii="Times New Roman" w:hAnsi="Times New Roman" w:eastAsia="宋体" w:cs="Times New Roman"/>
                      <w:szCs w:val="21"/>
                    </w:rPr>
                  </w:pPr>
                  <w:r>
                    <w:rPr>
                      <w:rFonts w:hint="eastAsia"/>
                      <w:vertAlign w:val="baseline"/>
                      <w:lang w:val="en-US" w:eastAsia="zh-CN"/>
                    </w:rPr>
                    <w:t>大鱼箭1#居民点</w:t>
                  </w:r>
                </w:p>
              </w:tc>
              <w:tc>
                <w:tcPr>
                  <w:tcW w:w="510" w:type="pct"/>
                  <w:shd w:val="clear" w:color="auto" w:fill="auto"/>
                  <w:noWrap w:val="0"/>
                  <w:vAlign w:val="center"/>
                </w:tcPr>
                <w:p w14:paraId="18B263DC">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olor w:val="auto"/>
                      <w:sz w:val="21"/>
                      <w:szCs w:val="21"/>
                      <w:lang w:val="en-US" w:eastAsia="zh-CN"/>
                    </w:rPr>
                    <w:t>南</w:t>
                  </w:r>
                  <w:r>
                    <w:rPr>
                      <w:rFonts w:hint="eastAsia" w:ascii="Times New Roman" w:hAnsi="Times New Roman" w:eastAsia="宋体"/>
                      <w:color w:val="auto"/>
                      <w:sz w:val="21"/>
                      <w:szCs w:val="21"/>
                    </w:rPr>
                    <w:t>侧</w:t>
                  </w:r>
                </w:p>
              </w:tc>
              <w:tc>
                <w:tcPr>
                  <w:tcW w:w="753" w:type="pct"/>
                  <w:noWrap w:val="0"/>
                  <w:vAlign w:val="center"/>
                </w:tcPr>
                <w:p w14:paraId="7F82C560">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olor w:val="auto"/>
                      <w:sz w:val="21"/>
                      <w:szCs w:val="21"/>
                      <w:lang w:val="en-US" w:eastAsia="zh-CN"/>
                    </w:rPr>
                    <w:t>25</w:t>
                  </w:r>
                  <w:r>
                    <w:rPr>
                      <w:rFonts w:hint="eastAsia" w:ascii="Times New Roman" w:hAnsi="Times New Roman" w:eastAsia="宋体"/>
                      <w:color w:val="auto"/>
                      <w:sz w:val="21"/>
                      <w:szCs w:val="21"/>
                    </w:rPr>
                    <w:t>m</w:t>
                  </w:r>
                </w:p>
              </w:tc>
              <w:tc>
                <w:tcPr>
                  <w:tcW w:w="862" w:type="pct"/>
                  <w:shd w:val="clear" w:color="auto" w:fill="auto"/>
                  <w:noWrap w:val="0"/>
                  <w:vAlign w:val="center"/>
                </w:tcPr>
                <w:p w14:paraId="3FEC2DEA">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imes New Roman" w:hAnsi="Times New Roman" w:eastAsia="宋体"/>
                      <w:color w:val="auto"/>
                      <w:sz w:val="21"/>
                      <w:szCs w:val="21"/>
                      <w:lang w:val="en-US" w:eastAsia="zh-CN"/>
                    </w:rPr>
                    <w:t>72</w:t>
                  </w:r>
                  <w:r>
                    <w:rPr>
                      <w:rFonts w:hint="eastAsia" w:ascii="Times New Roman" w:hAnsi="Times New Roman" w:eastAsia="宋体"/>
                      <w:color w:val="auto"/>
                      <w:sz w:val="21"/>
                      <w:szCs w:val="21"/>
                    </w:rPr>
                    <w:t>m</w:t>
                  </w:r>
                </w:p>
              </w:tc>
              <w:tc>
                <w:tcPr>
                  <w:tcW w:w="1125" w:type="dxa"/>
                  <w:noWrap w:val="0"/>
                  <w:vAlign w:val="center"/>
                </w:tcPr>
                <w:p w14:paraId="07BF158E">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olor w:val="auto"/>
                      <w:sz w:val="21"/>
                      <w:szCs w:val="21"/>
                      <w:lang w:val="en-US" w:eastAsia="zh-CN"/>
                    </w:rPr>
                  </w:pPr>
                  <w:r>
                    <w:rPr>
                      <w:rFonts w:hint="eastAsia" w:ascii="宋体" w:hAnsi="宋体" w:eastAsia="宋体" w:cs="宋体"/>
                      <w:i w:val="0"/>
                      <w:iCs w:val="0"/>
                      <w:color w:val="000000"/>
                      <w:kern w:val="0"/>
                      <w:sz w:val="22"/>
                      <w:szCs w:val="22"/>
                      <w:u w:val="none"/>
                      <w:lang w:val="en-US" w:eastAsia="zh-CN" w:bidi="ar"/>
                    </w:rPr>
                    <w:t>-1.3</w:t>
                  </w:r>
                  <w:r>
                    <w:rPr>
                      <w:rFonts w:hint="eastAsia" w:ascii="Times New Roman" w:hAnsi="Times New Roman" w:eastAsia="宋体"/>
                      <w:color w:val="auto"/>
                      <w:sz w:val="21"/>
                      <w:szCs w:val="21"/>
                      <w:lang w:val="en-US" w:eastAsia="zh-CN"/>
                    </w:rPr>
                    <w:t>m</w:t>
                  </w:r>
                </w:p>
              </w:tc>
              <w:tc>
                <w:tcPr>
                  <w:tcW w:w="953" w:type="pct"/>
                  <w:noWrap w:val="0"/>
                  <w:vAlign w:val="center"/>
                </w:tcPr>
                <w:p w14:paraId="06AC64AC">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szCs w:val="21"/>
                      <w:lang w:val="en-US" w:eastAsia="zh-CN"/>
                    </w:rPr>
                  </w:pPr>
                  <w:r>
                    <w:rPr>
                      <w:rFonts w:hint="eastAsia" w:cs="Times New Roman"/>
                      <w:szCs w:val="21"/>
                      <w:lang w:val="en-US" w:eastAsia="zh-CN"/>
                    </w:rPr>
                    <w:t>3户，10人</w:t>
                  </w:r>
                </w:p>
              </w:tc>
            </w:tr>
            <w:tr w14:paraId="46C448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287" w:type="pct"/>
                  <w:noWrap w:val="0"/>
                  <w:vAlign w:val="center"/>
                </w:tcPr>
                <w:p w14:paraId="5DF243E3">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right="0"/>
                    <w:jc w:val="center"/>
                    <w:textAlignment w:val="auto"/>
                    <w:rPr>
                      <w:rFonts w:hint="default" w:ascii="Times New Roman" w:hAnsi="Times New Roman" w:eastAsia="宋体" w:cs="Times New Roman"/>
                      <w:szCs w:val="21"/>
                    </w:rPr>
                  </w:pPr>
                  <w:r>
                    <w:rPr>
                      <w:rFonts w:hint="eastAsia" w:ascii="Times New Roman" w:hAnsi="Times New Roman" w:eastAsia="宋体"/>
                      <w:color w:val="auto"/>
                      <w:sz w:val="21"/>
                      <w:szCs w:val="21"/>
                    </w:rPr>
                    <w:t>4</w:t>
                  </w:r>
                </w:p>
              </w:tc>
              <w:tc>
                <w:tcPr>
                  <w:tcW w:w="898" w:type="pct"/>
                  <w:noWrap w:val="0"/>
                  <w:vAlign w:val="center"/>
                </w:tcPr>
                <w:p w14:paraId="53E3F503">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default" w:ascii="Times New Roman" w:hAnsi="Times New Roman" w:eastAsia="宋体" w:cs="Times New Roman"/>
                      <w:szCs w:val="21"/>
                    </w:rPr>
                  </w:pPr>
                  <w:r>
                    <w:rPr>
                      <w:rFonts w:hint="eastAsia"/>
                      <w:vertAlign w:val="baseline"/>
                      <w:lang w:val="en-US" w:eastAsia="zh-CN"/>
                    </w:rPr>
                    <w:t>大鱼箭2#居民点</w:t>
                  </w:r>
                </w:p>
              </w:tc>
              <w:tc>
                <w:tcPr>
                  <w:tcW w:w="510" w:type="pct"/>
                  <w:shd w:val="clear" w:color="auto" w:fill="auto"/>
                  <w:noWrap w:val="0"/>
                  <w:vAlign w:val="center"/>
                </w:tcPr>
                <w:p w14:paraId="4DBBCF3C">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olor w:val="auto"/>
                      <w:sz w:val="21"/>
                      <w:szCs w:val="21"/>
                      <w:lang w:val="en-US" w:eastAsia="zh-CN"/>
                    </w:rPr>
                    <w:t>西南</w:t>
                  </w:r>
                  <w:r>
                    <w:rPr>
                      <w:rFonts w:hint="eastAsia" w:ascii="Times New Roman" w:hAnsi="Times New Roman" w:eastAsia="宋体"/>
                      <w:color w:val="auto"/>
                      <w:sz w:val="21"/>
                      <w:szCs w:val="21"/>
                    </w:rPr>
                    <w:t>侧</w:t>
                  </w:r>
                </w:p>
              </w:tc>
              <w:tc>
                <w:tcPr>
                  <w:tcW w:w="753" w:type="pct"/>
                  <w:noWrap w:val="0"/>
                  <w:vAlign w:val="center"/>
                </w:tcPr>
                <w:p w14:paraId="7EE459C7">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olor w:val="auto"/>
                      <w:sz w:val="21"/>
                      <w:szCs w:val="21"/>
                      <w:lang w:val="en-US" w:eastAsia="zh-CN"/>
                    </w:rPr>
                    <w:t>50</w:t>
                  </w:r>
                  <w:r>
                    <w:rPr>
                      <w:rFonts w:hint="eastAsia" w:ascii="Times New Roman" w:hAnsi="Times New Roman" w:eastAsia="宋体"/>
                      <w:color w:val="auto"/>
                      <w:sz w:val="21"/>
                      <w:szCs w:val="21"/>
                    </w:rPr>
                    <w:t>m</w:t>
                  </w:r>
                </w:p>
              </w:tc>
              <w:tc>
                <w:tcPr>
                  <w:tcW w:w="862" w:type="pct"/>
                  <w:shd w:val="clear" w:color="auto" w:fill="auto"/>
                  <w:noWrap w:val="0"/>
                  <w:vAlign w:val="center"/>
                </w:tcPr>
                <w:p w14:paraId="0E356908">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eastAsia="宋体" w:asciiTheme="minorHAnsi" w:hAnsiTheme="minorHAnsi" w:cstheme="minorBidi"/>
                      <w:kern w:val="2"/>
                      <w:sz w:val="21"/>
                      <w:szCs w:val="24"/>
                      <w:vertAlign w:val="baseline"/>
                      <w:lang w:val="en-US" w:eastAsia="zh-CN" w:bidi="ar-SA"/>
                    </w:rPr>
                  </w:pPr>
                  <w:r>
                    <w:rPr>
                      <w:rFonts w:hint="eastAsia" w:ascii="Times New Roman" w:hAnsi="Times New Roman" w:eastAsia="宋体"/>
                      <w:color w:val="auto"/>
                      <w:sz w:val="21"/>
                      <w:szCs w:val="21"/>
                      <w:lang w:val="en-US" w:eastAsia="zh-CN"/>
                    </w:rPr>
                    <w:t>70</w:t>
                  </w:r>
                  <w:r>
                    <w:rPr>
                      <w:rFonts w:hint="eastAsia" w:ascii="Times New Roman" w:hAnsi="Times New Roman" w:eastAsia="宋体"/>
                      <w:color w:val="auto"/>
                      <w:sz w:val="21"/>
                      <w:szCs w:val="21"/>
                    </w:rPr>
                    <w:t>m</w:t>
                  </w:r>
                </w:p>
              </w:tc>
              <w:tc>
                <w:tcPr>
                  <w:tcW w:w="1125" w:type="dxa"/>
                  <w:noWrap w:val="0"/>
                  <w:vAlign w:val="center"/>
                </w:tcPr>
                <w:p w14:paraId="58A97FF7">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olor w:val="auto"/>
                      <w:sz w:val="21"/>
                      <w:szCs w:val="21"/>
                      <w:lang w:val="en-US" w:eastAsia="zh-CN"/>
                    </w:rPr>
                  </w:pPr>
                  <w:r>
                    <w:rPr>
                      <w:rFonts w:hint="eastAsia" w:ascii="宋体" w:hAnsi="宋体" w:eastAsia="宋体" w:cs="宋体"/>
                      <w:i w:val="0"/>
                      <w:iCs w:val="0"/>
                      <w:color w:val="000000"/>
                      <w:kern w:val="0"/>
                      <w:sz w:val="22"/>
                      <w:szCs w:val="22"/>
                      <w:u w:val="none"/>
                      <w:lang w:val="en-US" w:eastAsia="zh-CN" w:bidi="ar"/>
                    </w:rPr>
                    <w:t>3.4</w:t>
                  </w:r>
                  <w:r>
                    <w:rPr>
                      <w:rFonts w:hint="eastAsia" w:ascii="Times New Roman" w:hAnsi="Times New Roman" w:eastAsia="宋体"/>
                      <w:color w:val="auto"/>
                      <w:sz w:val="21"/>
                      <w:szCs w:val="21"/>
                      <w:lang w:val="en-US" w:eastAsia="zh-CN"/>
                    </w:rPr>
                    <w:t>m</w:t>
                  </w:r>
                </w:p>
              </w:tc>
              <w:tc>
                <w:tcPr>
                  <w:tcW w:w="953" w:type="pct"/>
                  <w:noWrap w:val="0"/>
                  <w:vAlign w:val="center"/>
                </w:tcPr>
                <w:p w14:paraId="44DB0E41">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szCs w:val="21"/>
                      <w:lang w:val="en-US" w:eastAsia="zh-CN"/>
                    </w:rPr>
                  </w:pPr>
                  <w:r>
                    <w:rPr>
                      <w:rFonts w:hint="eastAsia" w:cs="Times New Roman"/>
                      <w:szCs w:val="21"/>
                      <w:lang w:val="en-US" w:eastAsia="zh-CN"/>
                    </w:rPr>
                    <w:t>2户，6人</w:t>
                  </w:r>
                </w:p>
              </w:tc>
            </w:tr>
            <w:tr w14:paraId="410484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287" w:type="pct"/>
                  <w:noWrap w:val="0"/>
                  <w:vAlign w:val="center"/>
                </w:tcPr>
                <w:p w14:paraId="2CA4A3B9">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right="0"/>
                    <w:jc w:val="center"/>
                    <w:textAlignment w:val="auto"/>
                    <w:rPr>
                      <w:rFonts w:hint="default" w:ascii="Times New Roman" w:hAnsi="Times New Roman" w:eastAsia="宋体" w:cs="Times New Roman"/>
                      <w:szCs w:val="21"/>
                    </w:rPr>
                  </w:pPr>
                  <w:r>
                    <w:rPr>
                      <w:rFonts w:hint="eastAsia" w:ascii="Times New Roman" w:hAnsi="Times New Roman" w:eastAsia="宋体"/>
                      <w:color w:val="auto"/>
                      <w:sz w:val="21"/>
                      <w:szCs w:val="21"/>
                    </w:rPr>
                    <w:t>5</w:t>
                  </w:r>
                </w:p>
              </w:tc>
              <w:tc>
                <w:tcPr>
                  <w:tcW w:w="898" w:type="pct"/>
                  <w:noWrap w:val="0"/>
                  <w:vAlign w:val="center"/>
                </w:tcPr>
                <w:p w14:paraId="484CC3DE">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default" w:ascii="Times New Roman" w:hAnsi="Times New Roman" w:eastAsia="宋体" w:cs="Times New Roman"/>
                      <w:szCs w:val="21"/>
                    </w:rPr>
                  </w:pPr>
                  <w:r>
                    <w:rPr>
                      <w:rFonts w:hint="eastAsia"/>
                      <w:vertAlign w:val="baseline"/>
                      <w:lang w:val="en-US" w:eastAsia="zh-CN"/>
                    </w:rPr>
                    <w:t>大鱼箭3#居民点</w:t>
                  </w:r>
                </w:p>
              </w:tc>
              <w:tc>
                <w:tcPr>
                  <w:tcW w:w="510" w:type="pct"/>
                  <w:shd w:val="clear" w:color="auto" w:fill="auto"/>
                  <w:noWrap w:val="0"/>
                  <w:vAlign w:val="center"/>
                </w:tcPr>
                <w:p w14:paraId="747AF44F">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olor w:val="auto"/>
                      <w:sz w:val="21"/>
                      <w:szCs w:val="21"/>
                      <w:lang w:val="en-US" w:eastAsia="zh-CN"/>
                    </w:rPr>
                    <w:t>西南</w:t>
                  </w:r>
                  <w:r>
                    <w:rPr>
                      <w:rFonts w:hint="eastAsia" w:ascii="Times New Roman" w:hAnsi="Times New Roman" w:eastAsia="宋体"/>
                      <w:color w:val="auto"/>
                      <w:sz w:val="21"/>
                      <w:szCs w:val="21"/>
                    </w:rPr>
                    <w:t>侧</w:t>
                  </w:r>
                </w:p>
              </w:tc>
              <w:tc>
                <w:tcPr>
                  <w:tcW w:w="753" w:type="pct"/>
                  <w:noWrap w:val="0"/>
                  <w:vAlign w:val="center"/>
                </w:tcPr>
                <w:p w14:paraId="33A80D15">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olor w:val="auto"/>
                      <w:sz w:val="21"/>
                      <w:szCs w:val="21"/>
                      <w:lang w:val="en-US" w:eastAsia="zh-CN"/>
                    </w:rPr>
                    <w:t>88</w:t>
                  </w:r>
                  <w:r>
                    <w:rPr>
                      <w:rFonts w:hint="eastAsia" w:ascii="Times New Roman" w:hAnsi="Times New Roman" w:eastAsia="宋体"/>
                      <w:color w:val="auto"/>
                      <w:sz w:val="21"/>
                      <w:szCs w:val="21"/>
                    </w:rPr>
                    <w:t>m</w:t>
                  </w:r>
                </w:p>
              </w:tc>
              <w:tc>
                <w:tcPr>
                  <w:tcW w:w="862" w:type="pct"/>
                  <w:shd w:val="clear" w:color="auto" w:fill="auto"/>
                  <w:noWrap w:val="0"/>
                  <w:vAlign w:val="center"/>
                </w:tcPr>
                <w:p w14:paraId="7C1DBD53">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ascii="Times New Roman" w:hAnsi="Times New Roman" w:eastAsia="宋体" w:cstheme="minorBidi"/>
                      <w:color w:val="auto"/>
                      <w:kern w:val="2"/>
                      <w:sz w:val="21"/>
                      <w:szCs w:val="21"/>
                      <w:lang w:val="en-US" w:eastAsia="zh-CN" w:bidi="ar-SA"/>
                    </w:rPr>
                  </w:pPr>
                  <w:r>
                    <w:rPr>
                      <w:rFonts w:hint="eastAsia" w:ascii="Times New Roman" w:hAnsi="Times New Roman" w:eastAsia="宋体"/>
                      <w:color w:val="auto"/>
                      <w:sz w:val="21"/>
                      <w:szCs w:val="21"/>
                      <w:lang w:val="en-US" w:eastAsia="zh-CN"/>
                    </w:rPr>
                    <w:t>113</w:t>
                  </w:r>
                  <w:r>
                    <w:rPr>
                      <w:rFonts w:hint="eastAsia" w:ascii="Times New Roman" w:hAnsi="Times New Roman" w:eastAsia="宋体"/>
                      <w:color w:val="auto"/>
                      <w:sz w:val="21"/>
                      <w:szCs w:val="21"/>
                    </w:rPr>
                    <w:t>m</w:t>
                  </w:r>
                </w:p>
              </w:tc>
              <w:tc>
                <w:tcPr>
                  <w:tcW w:w="1125" w:type="dxa"/>
                  <w:noWrap w:val="0"/>
                  <w:vAlign w:val="center"/>
                </w:tcPr>
                <w:p w14:paraId="7A8C8FD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olor w:val="auto"/>
                      <w:sz w:val="21"/>
                      <w:szCs w:val="21"/>
                      <w:lang w:val="en-US" w:eastAsia="zh-CN"/>
                    </w:rPr>
                  </w:pPr>
                  <w:r>
                    <w:rPr>
                      <w:rFonts w:hint="eastAsia" w:ascii="宋体" w:hAnsi="宋体" w:eastAsia="宋体" w:cs="宋体"/>
                      <w:i w:val="0"/>
                      <w:iCs w:val="0"/>
                      <w:color w:val="000000"/>
                      <w:kern w:val="0"/>
                      <w:sz w:val="22"/>
                      <w:szCs w:val="22"/>
                      <w:u w:val="none"/>
                      <w:lang w:val="en-US" w:eastAsia="zh-CN" w:bidi="ar"/>
                    </w:rPr>
                    <w:t>0.1</w:t>
                  </w:r>
                  <w:r>
                    <w:rPr>
                      <w:rFonts w:hint="eastAsia" w:ascii="Times New Roman" w:hAnsi="Times New Roman" w:eastAsia="宋体"/>
                      <w:color w:val="auto"/>
                      <w:sz w:val="21"/>
                      <w:szCs w:val="21"/>
                      <w:lang w:val="en-US" w:eastAsia="zh-CN"/>
                    </w:rPr>
                    <w:t>m</w:t>
                  </w:r>
                </w:p>
              </w:tc>
              <w:tc>
                <w:tcPr>
                  <w:tcW w:w="953" w:type="pct"/>
                  <w:noWrap w:val="0"/>
                  <w:vAlign w:val="center"/>
                </w:tcPr>
                <w:p w14:paraId="4E06700B">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szCs w:val="21"/>
                    </w:rPr>
                  </w:pPr>
                  <w:r>
                    <w:rPr>
                      <w:rFonts w:hint="eastAsia" w:cs="Times New Roman"/>
                      <w:szCs w:val="21"/>
                      <w:lang w:val="en-US" w:eastAsia="zh-CN"/>
                    </w:rPr>
                    <w:t>约11户，35人</w:t>
                  </w:r>
                </w:p>
              </w:tc>
            </w:tr>
            <w:tr w14:paraId="4C64B2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287" w:type="pct"/>
                  <w:noWrap w:val="0"/>
                  <w:vAlign w:val="center"/>
                </w:tcPr>
                <w:p w14:paraId="5A43431F">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right="0"/>
                    <w:jc w:val="center"/>
                    <w:textAlignment w:val="auto"/>
                    <w:rPr>
                      <w:rFonts w:hint="default" w:ascii="Times New Roman" w:hAnsi="Times New Roman" w:eastAsia="宋体" w:cs="Times New Roman"/>
                      <w:szCs w:val="21"/>
                    </w:rPr>
                  </w:pPr>
                  <w:r>
                    <w:rPr>
                      <w:rFonts w:hint="eastAsia" w:ascii="Times New Roman" w:hAnsi="Times New Roman" w:eastAsia="宋体"/>
                      <w:color w:val="auto"/>
                      <w:sz w:val="21"/>
                      <w:szCs w:val="21"/>
                    </w:rPr>
                    <w:t>6</w:t>
                  </w:r>
                </w:p>
              </w:tc>
              <w:tc>
                <w:tcPr>
                  <w:tcW w:w="898" w:type="pct"/>
                  <w:noWrap w:val="0"/>
                  <w:vAlign w:val="center"/>
                </w:tcPr>
                <w:p w14:paraId="537E0951">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default" w:ascii="Times New Roman" w:hAnsi="Times New Roman" w:eastAsia="宋体" w:cs="Times New Roman"/>
                      <w:szCs w:val="21"/>
                    </w:rPr>
                  </w:pPr>
                  <w:r>
                    <w:rPr>
                      <w:rFonts w:hint="eastAsia"/>
                      <w:vertAlign w:val="baseline"/>
                      <w:lang w:val="en-US" w:eastAsia="zh-CN"/>
                    </w:rPr>
                    <w:t>大鱼箭4#居民点</w:t>
                  </w:r>
                </w:p>
              </w:tc>
              <w:tc>
                <w:tcPr>
                  <w:tcW w:w="510" w:type="pct"/>
                  <w:shd w:val="clear" w:color="auto" w:fill="auto"/>
                  <w:noWrap w:val="0"/>
                  <w:vAlign w:val="center"/>
                </w:tcPr>
                <w:p w14:paraId="24A16464">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olor w:val="auto"/>
                      <w:sz w:val="21"/>
                      <w:szCs w:val="21"/>
                      <w:lang w:val="en-US" w:eastAsia="zh-CN"/>
                    </w:rPr>
                    <w:t>西南</w:t>
                  </w:r>
                  <w:r>
                    <w:rPr>
                      <w:rFonts w:hint="eastAsia" w:ascii="Times New Roman" w:hAnsi="Times New Roman" w:eastAsia="宋体"/>
                      <w:color w:val="auto"/>
                      <w:sz w:val="21"/>
                      <w:szCs w:val="21"/>
                    </w:rPr>
                    <w:t>侧</w:t>
                  </w:r>
                </w:p>
              </w:tc>
              <w:tc>
                <w:tcPr>
                  <w:tcW w:w="753" w:type="pct"/>
                  <w:noWrap w:val="0"/>
                  <w:vAlign w:val="center"/>
                </w:tcPr>
                <w:p w14:paraId="32FE59C5">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olor w:val="auto"/>
                      <w:sz w:val="21"/>
                      <w:szCs w:val="21"/>
                      <w:lang w:val="en-US" w:eastAsia="zh-CN"/>
                    </w:rPr>
                    <w:t>92</w:t>
                  </w:r>
                  <w:r>
                    <w:rPr>
                      <w:rFonts w:hint="eastAsia" w:ascii="Times New Roman" w:hAnsi="Times New Roman" w:eastAsia="宋体"/>
                      <w:color w:val="auto"/>
                      <w:sz w:val="21"/>
                      <w:szCs w:val="21"/>
                    </w:rPr>
                    <w:t>m</w:t>
                  </w:r>
                </w:p>
              </w:tc>
              <w:tc>
                <w:tcPr>
                  <w:tcW w:w="862" w:type="pct"/>
                  <w:shd w:val="clear" w:color="auto" w:fill="auto"/>
                  <w:noWrap w:val="0"/>
                  <w:vAlign w:val="center"/>
                </w:tcPr>
                <w:p w14:paraId="19665EDA">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ascii="Times New Roman" w:hAnsi="Times New Roman" w:eastAsia="宋体" w:cstheme="minorBidi"/>
                      <w:color w:val="auto"/>
                      <w:kern w:val="2"/>
                      <w:sz w:val="21"/>
                      <w:szCs w:val="21"/>
                      <w:lang w:val="en-US" w:eastAsia="zh-CN" w:bidi="ar-SA"/>
                    </w:rPr>
                  </w:pPr>
                  <w:r>
                    <w:rPr>
                      <w:rFonts w:hint="eastAsia" w:ascii="Times New Roman" w:hAnsi="Times New Roman" w:eastAsia="宋体"/>
                      <w:color w:val="auto"/>
                      <w:sz w:val="21"/>
                      <w:szCs w:val="21"/>
                      <w:lang w:val="en-US" w:eastAsia="zh-CN"/>
                    </w:rPr>
                    <w:t>107</w:t>
                  </w:r>
                  <w:r>
                    <w:rPr>
                      <w:rFonts w:hint="eastAsia" w:ascii="Times New Roman" w:hAnsi="Times New Roman" w:eastAsia="宋体"/>
                      <w:color w:val="auto"/>
                      <w:sz w:val="21"/>
                      <w:szCs w:val="21"/>
                    </w:rPr>
                    <w:t>m</w:t>
                  </w:r>
                </w:p>
              </w:tc>
              <w:tc>
                <w:tcPr>
                  <w:tcW w:w="1125" w:type="dxa"/>
                  <w:noWrap w:val="0"/>
                  <w:vAlign w:val="center"/>
                </w:tcPr>
                <w:p w14:paraId="5B13440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olor w:val="auto"/>
                      <w:sz w:val="21"/>
                      <w:szCs w:val="21"/>
                      <w:lang w:val="en-US" w:eastAsia="zh-CN"/>
                    </w:rPr>
                  </w:pPr>
                  <w:r>
                    <w:rPr>
                      <w:rFonts w:hint="eastAsia" w:ascii="宋体" w:hAnsi="宋体" w:eastAsia="宋体" w:cs="宋体"/>
                      <w:i w:val="0"/>
                      <w:iCs w:val="0"/>
                      <w:color w:val="000000"/>
                      <w:kern w:val="0"/>
                      <w:sz w:val="22"/>
                      <w:szCs w:val="22"/>
                      <w:u w:val="none"/>
                      <w:lang w:val="en-US" w:eastAsia="zh-CN" w:bidi="ar"/>
                    </w:rPr>
                    <w:t>1.5</w:t>
                  </w:r>
                  <w:r>
                    <w:rPr>
                      <w:rFonts w:hint="eastAsia" w:ascii="Times New Roman" w:hAnsi="Times New Roman" w:eastAsia="宋体"/>
                      <w:color w:val="auto"/>
                      <w:sz w:val="21"/>
                      <w:szCs w:val="21"/>
                      <w:lang w:val="en-US" w:eastAsia="zh-CN"/>
                    </w:rPr>
                    <w:t>m</w:t>
                  </w:r>
                </w:p>
              </w:tc>
              <w:tc>
                <w:tcPr>
                  <w:tcW w:w="953" w:type="pct"/>
                  <w:noWrap w:val="0"/>
                  <w:vAlign w:val="center"/>
                </w:tcPr>
                <w:p w14:paraId="52186A01">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szCs w:val="21"/>
                    </w:rPr>
                  </w:pPr>
                  <w:r>
                    <w:rPr>
                      <w:rFonts w:hint="eastAsia" w:cs="Times New Roman"/>
                      <w:szCs w:val="21"/>
                      <w:lang w:val="en-US" w:eastAsia="zh-CN"/>
                    </w:rPr>
                    <w:t>约20户，70人</w:t>
                  </w:r>
                </w:p>
              </w:tc>
            </w:tr>
            <w:tr w14:paraId="167C95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287" w:type="pct"/>
                  <w:noWrap w:val="0"/>
                  <w:vAlign w:val="center"/>
                </w:tcPr>
                <w:p w14:paraId="296AA1E6">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right="0"/>
                    <w:jc w:val="center"/>
                    <w:textAlignment w:val="auto"/>
                    <w:rPr>
                      <w:rFonts w:hint="eastAsia" w:ascii="Times New Roman" w:hAnsi="Times New Roman" w:eastAsia="宋体" w:cs="Times New Roman"/>
                      <w:szCs w:val="21"/>
                      <w:lang w:val="en-US" w:eastAsia="zh-CN"/>
                    </w:rPr>
                  </w:pPr>
                  <w:r>
                    <w:rPr>
                      <w:rFonts w:hint="eastAsia" w:ascii="Times New Roman" w:hAnsi="Times New Roman" w:eastAsia="宋体"/>
                      <w:color w:val="auto"/>
                      <w:sz w:val="21"/>
                      <w:szCs w:val="21"/>
                    </w:rPr>
                    <w:t>7</w:t>
                  </w:r>
                </w:p>
              </w:tc>
              <w:tc>
                <w:tcPr>
                  <w:tcW w:w="898" w:type="pct"/>
                  <w:noWrap w:val="0"/>
                  <w:vAlign w:val="center"/>
                </w:tcPr>
                <w:p w14:paraId="10E9E864">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ascii="Times New Roman" w:hAnsi="Times New Roman" w:eastAsia="宋体" w:cs="Times New Roman"/>
                      <w:bCs/>
                      <w:szCs w:val="21"/>
                    </w:rPr>
                  </w:pPr>
                  <w:r>
                    <w:rPr>
                      <w:rFonts w:hint="eastAsia" w:ascii="Times New Roman" w:hAnsi="Times New Roman" w:eastAsia="宋体"/>
                      <w:color w:val="auto"/>
                      <w:sz w:val="21"/>
                      <w:szCs w:val="21"/>
                      <w:lang w:val="en-US" w:eastAsia="zh-CN"/>
                    </w:rPr>
                    <w:t>栀子坝1#居民点</w:t>
                  </w:r>
                </w:p>
              </w:tc>
              <w:tc>
                <w:tcPr>
                  <w:tcW w:w="510" w:type="pct"/>
                  <w:shd w:val="clear" w:color="auto" w:fill="auto"/>
                  <w:noWrap w:val="0"/>
                  <w:vAlign w:val="center"/>
                </w:tcPr>
                <w:p w14:paraId="28BAA5E9">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olor w:val="auto"/>
                      <w:sz w:val="21"/>
                      <w:szCs w:val="21"/>
                      <w:lang w:val="en-US" w:eastAsia="zh-CN"/>
                    </w:rPr>
                    <w:t>西南</w:t>
                  </w:r>
                  <w:r>
                    <w:rPr>
                      <w:rFonts w:hint="eastAsia" w:ascii="Times New Roman" w:hAnsi="Times New Roman" w:eastAsia="宋体"/>
                      <w:color w:val="auto"/>
                      <w:sz w:val="21"/>
                      <w:szCs w:val="21"/>
                    </w:rPr>
                    <w:t>侧</w:t>
                  </w:r>
                </w:p>
              </w:tc>
              <w:tc>
                <w:tcPr>
                  <w:tcW w:w="753" w:type="pct"/>
                  <w:noWrap w:val="0"/>
                  <w:vAlign w:val="center"/>
                </w:tcPr>
                <w:p w14:paraId="7689747B">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ascii="Times New Roman" w:hAnsi="Times New Roman" w:eastAsia="宋体" w:cs="Times New Roman"/>
                      <w:szCs w:val="21"/>
                    </w:rPr>
                  </w:pPr>
                  <w:r>
                    <w:rPr>
                      <w:rFonts w:hint="eastAsia" w:ascii="Times New Roman" w:hAnsi="Times New Roman" w:eastAsia="宋体"/>
                      <w:color w:val="auto"/>
                      <w:sz w:val="21"/>
                      <w:szCs w:val="21"/>
                      <w:lang w:val="en-US" w:eastAsia="zh-CN"/>
                    </w:rPr>
                    <w:t>230</w:t>
                  </w:r>
                  <w:r>
                    <w:rPr>
                      <w:rFonts w:hint="eastAsia" w:ascii="Times New Roman" w:hAnsi="Times New Roman" w:eastAsia="宋体"/>
                      <w:color w:val="auto"/>
                      <w:sz w:val="21"/>
                      <w:szCs w:val="21"/>
                    </w:rPr>
                    <w:t>m</w:t>
                  </w:r>
                </w:p>
              </w:tc>
              <w:tc>
                <w:tcPr>
                  <w:tcW w:w="862" w:type="pct"/>
                  <w:shd w:val="clear" w:color="auto" w:fill="auto"/>
                  <w:noWrap w:val="0"/>
                  <w:vAlign w:val="center"/>
                </w:tcPr>
                <w:p w14:paraId="36D95948">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imes New Roman" w:hAnsi="Times New Roman" w:eastAsia="宋体"/>
                      <w:color w:val="auto"/>
                      <w:sz w:val="21"/>
                      <w:szCs w:val="21"/>
                      <w:lang w:val="en-US" w:eastAsia="zh-CN"/>
                    </w:rPr>
                    <w:t>255</w:t>
                  </w:r>
                  <w:r>
                    <w:rPr>
                      <w:rFonts w:hint="eastAsia" w:ascii="Times New Roman" w:hAnsi="Times New Roman" w:eastAsia="宋体"/>
                      <w:color w:val="auto"/>
                      <w:sz w:val="21"/>
                      <w:szCs w:val="21"/>
                    </w:rPr>
                    <w:t>m</w:t>
                  </w:r>
                </w:p>
              </w:tc>
              <w:tc>
                <w:tcPr>
                  <w:tcW w:w="1125" w:type="dxa"/>
                  <w:noWrap w:val="0"/>
                  <w:vAlign w:val="center"/>
                </w:tcPr>
                <w:p w14:paraId="45ACBB2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olor w:val="auto"/>
                      <w:sz w:val="21"/>
                      <w:szCs w:val="21"/>
                      <w:lang w:val="en-US" w:eastAsia="zh-CN"/>
                    </w:rPr>
                  </w:pPr>
                  <w:r>
                    <w:rPr>
                      <w:rFonts w:hint="eastAsia" w:ascii="宋体" w:hAnsi="宋体" w:eastAsia="宋体" w:cs="宋体"/>
                      <w:i w:val="0"/>
                      <w:iCs w:val="0"/>
                      <w:color w:val="000000"/>
                      <w:kern w:val="0"/>
                      <w:sz w:val="22"/>
                      <w:szCs w:val="22"/>
                      <w:u w:val="none"/>
                      <w:lang w:val="en-US" w:eastAsia="zh-CN" w:bidi="ar"/>
                    </w:rPr>
                    <w:t>-8.1</w:t>
                  </w:r>
                  <w:r>
                    <w:rPr>
                      <w:rFonts w:hint="eastAsia" w:ascii="Times New Roman" w:hAnsi="Times New Roman" w:eastAsia="宋体"/>
                      <w:color w:val="auto"/>
                      <w:sz w:val="21"/>
                      <w:szCs w:val="21"/>
                      <w:lang w:val="en-US" w:eastAsia="zh-CN"/>
                    </w:rPr>
                    <w:t>m</w:t>
                  </w:r>
                </w:p>
              </w:tc>
              <w:tc>
                <w:tcPr>
                  <w:tcW w:w="953" w:type="pct"/>
                  <w:noWrap w:val="0"/>
                  <w:vAlign w:val="center"/>
                </w:tcPr>
                <w:p w14:paraId="24F8FBE3">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eastAsia" w:ascii="Times New Roman" w:hAnsi="Times New Roman" w:eastAsia="宋体" w:cs="Times New Roman"/>
                      <w:szCs w:val="21"/>
                      <w:lang w:val="en-US" w:eastAsia="zh-CN"/>
                    </w:rPr>
                  </w:pPr>
                  <w:r>
                    <w:rPr>
                      <w:rFonts w:hint="eastAsia" w:cs="Times New Roman"/>
                      <w:szCs w:val="21"/>
                      <w:lang w:val="en-US" w:eastAsia="zh-CN"/>
                    </w:rPr>
                    <w:t>约16户，50人</w:t>
                  </w:r>
                </w:p>
              </w:tc>
            </w:tr>
            <w:tr w14:paraId="657B8C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287" w:type="pct"/>
                  <w:noWrap w:val="0"/>
                  <w:vAlign w:val="center"/>
                </w:tcPr>
                <w:p w14:paraId="592C962E">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right="0"/>
                    <w:jc w:val="center"/>
                    <w:textAlignment w:val="auto"/>
                    <w:rPr>
                      <w:rFonts w:hint="eastAsia" w:ascii="Times New Roman" w:hAnsi="Times New Roman" w:eastAsia="宋体" w:cs="Times New Roman"/>
                      <w:szCs w:val="21"/>
                      <w:lang w:eastAsia="zh-CN"/>
                    </w:rPr>
                  </w:pPr>
                  <w:r>
                    <w:rPr>
                      <w:rFonts w:hint="eastAsia" w:ascii="Times New Roman" w:hAnsi="Times New Roman" w:eastAsia="宋体"/>
                      <w:color w:val="auto"/>
                      <w:sz w:val="21"/>
                      <w:szCs w:val="21"/>
                    </w:rPr>
                    <w:t>8</w:t>
                  </w:r>
                </w:p>
              </w:tc>
              <w:tc>
                <w:tcPr>
                  <w:tcW w:w="898" w:type="pct"/>
                  <w:noWrap w:val="0"/>
                  <w:vAlign w:val="center"/>
                </w:tcPr>
                <w:p w14:paraId="1B5104A8">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default" w:ascii="Times New Roman" w:hAnsi="Times New Roman" w:eastAsia="宋体" w:cs="Times New Roman"/>
                      <w:szCs w:val="21"/>
                    </w:rPr>
                  </w:pPr>
                  <w:r>
                    <w:rPr>
                      <w:rFonts w:hint="eastAsia" w:ascii="Times New Roman" w:hAnsi="Times New Roman" w:eastAsia="宋体"/>
                      <w:color w:val="auto"/>
                      <w:sz w:val="21"/>
                      <w:szCs w:val="21"/>
                      <w:lang w:val="en-US" w:eastAsia="zh-CN"/>
                    </w:rPr>
                    <w:t>栀子坝2#居民点</w:t>
                  </w:r>
                </w:p>
              </w:tc>
              <w:tc>
                <w:tcPr>
                  <w:tcW w:w="510" w:type="pct"/>
                  <w:shd w:val="clear" w:color="auto" w:fill="auto"/>
                  <w:noWrap w:val="0"/>
                  <w:vAlign w:val="center"/>
                </w:tcPr>
                <w:p w14:paraId="62F1EEA3">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olor w:val="auto"/>
                      <w:sz w:val="21"/>
                      <w:szCs w:val="21"/>
                      <w:lang w:val="en-US" w:eastAsia="zh-CN"/>
                    </w:rPr>
                    <w:t>西南</w:t>
                  </w:r>
                  <w:r>
                    <w:rPr>
                      <w:rFonts w:hint="eastAsia" w:ascii="Times New Roman" w:hAnsi="Times New Roman" w:eastAsia="宋体"/>
                      <w:color w:val="auto"/>
                      <w:sz w:val="21"/>
                      <w:szCs w:val="21"/>
                    </w:rPr>
                    <w:t>侧</w:t>
                  </w:r>
                </w:p>
              </w:tc>
              <w:tc>
                <w:tcPr>
                  <w:tcW w:w="753" w:type="pct"/>
                  <w:noWrap w:val="0"/>
                  <w:vAlign w:val="center"/>
                </w:tcPr>
                <w:p w14:paraId="349B17C2">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olor w:val="auto"/>
                      <w:sz w:val="21"/>
                      <w:szCs w:val="21"/>
                      <w:lang w:val="en-US" w:eastAsia="zh-CN"/>
                    </w:rPr>
                    <w:t>398m</w:t>
                  </w:r>
                </w:p>
              </w:tc>
              <w:tc>
                <w:tcPr>
                  <w:tcW w:w="862" w:type="pct"/>
                  <w:shd w:val="clear" w:color="auto" w:fill="auto"/>
                  <w:noWrap w:val="0"/>
                  <w:vAlign w:val="center"/>
                </w:tcPr>
                <w:p w14:paraId="43C7C9FC">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eastAsia="宋体" w:asciiTheme="minorHAnsi" w:hAnsiTheme="minorHAnsi" w:cstheme="minorBidi"/>
                      <w:kern w:val="2"/>
                      <w:sz w:val="21"/>
                      <w:szCs w:val="24"/>
                      <w:vertAlign w:val="baseline"/>
                      <w:lang w:val="en-US" w:eastAsia="zh-CN" w:bidi="ar-SA"/>
                    </w:rPr>
                  </w:pPr>
                  <w:r>
                    <w:rPr>
                      <w:rFonts w:hint="eastAsia" w:ascii="Times New Roman" w:hAnsi="Times New Roman" w:eastAsia="宋体"/>
                      <w:color w:val="auto"/>
                      <w:sz w:val="21"/>
                      <w:szCs w:val="21"/>
                      <w:lang w:val="en-US" w:eastAsia="zh-CN"/>
                    </w:rPr>
                    <w:t>427m</w:t>
                  </w:r>
                </w:p>
              </w:tc>
              <w:tc>
                <w:tcPr>
                  <w:tcW w:w="1125" w:type="dxa"/>
                  <w:noWrap w:val="0"/>
                  <w:vAlign w:val="center"/>
                </w:tcPr>
                <w:p w14:paraId="208A6075">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olor w:val="auto"/>
                      <w:sz w:val="21"/>
                      <w:szCs w:val="21"/>
                      <w:lang w:val="en-US" w:eastAsia="zh-CN"/>
                    </w:rPr>
                  </w:pPr>
                  <w:r>
                    <w:rPr>
                      <w:rFonts w:hint="eastAsia" w:ascii="宋体" w:hAnsi="宋体" w:eastAsia="宋体" w:cs="宋体"/>
                      <w:i w:val="0"/>
                      <w:iCs w:val="0"/>
                      <w:color w:val="000000"/>
                      <w:kern w:val="0"/>
                      <w:sz w:val="22"/>
                      <w:szCs w:val="22"/>
                      <w:u w:val="none"/>
                      <w:lang w:val="en-US" w:eastAsia="zh-CN" w:bidi="ar"/>
                    </w:rPr>
                    <w:t>3.9</w:t>
                  </w:r>
                  <w:r>
                    <w:rPr>
                      <w:rFonts w:hint="eastAsia" w:ascii="Times New Roman" w:hAnsi="Times New Roman" w:eastAsia="宋体"/>
                      <w:color w:val="auto"/>
                      <w:sz w:val="21"/>
                      <w:szCs w:val="21"/>
                      <w:lang w:val="en-US" w:eastAsia="zh-CN"/>
                    </w:rPr>
                    <w:t>m</w:t>
                  </w:r>
                </w:p>
              </w:tc>
              <w:tc>
                <w:tcPr>
                  <w:tcW w:w="953" w:type="pct"/>
                  <w:noWrap w:val="0"/>
                  <w:vAlign w:val="center"/>
                </w:tcPr>
                <w:p w14:paraId="06C32685">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szCs w:val="21"/>
                    </w:rPr>
                  </w:pPr>
                  <w:r>
                    <w:rPr>
                      <w:rFonts w:hint="eastAsia" w:cs="Times New Roman"/>
                      <w:szCs w:val="21"/>
                      <w:lang w:val="en-US" w:eastAsia="zh-CN"/>
                    </w:rPr>
                    <w:t>约23户，70人</w:t>
                  </w:r>
                </w:p>
              </w:tc>
            </w:tr>
            <w:tr w14:paraId="4745E8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287" w:type="pct"/>
                  <w:noWrap w:val="0"/>
                  <w:vAlign w:val="center"/>
                </w:tcPr>
                <w:p w14:paraId="1C9C29B8">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right="0"/>
                    <w:jc w:val="center"/>
                    <w:textAlignment w:val="auto"/>
                    <w:rPr>
                      <w:rFonts w:hint="eastAsia" w:ascii="Times New Roman" w:hAnsi="Times New Roman" w:eastAsia="宋体" w:cs="Times New Roman"/>
                      <w:szCs w:val="21"/>
                      <w:lang w:eastAsia="zh-CN"/>
                    </w:rPr>
                  </w:pPr>
                  <w:r>
                    <w:rPr>
                      <w:rFonts w:hint="eastAsia" w:ascii="Times New Roman" w:hAnsi="Times New Roman" w:eastAsia="宋体"/>
                      <w:color w:val="auto"/>
                      <w:sz w:val="21"/>
                      <w:szCs w:val="21"/>
                    </w:rPr>
                    <w:t>9</w:t>
                  </w:r>
                </w:p>
              </w:tc>
              <w:tc>
                <w:tcPr>
                  <w:tcW w:w="898" w:type="pct"/>
                  <w:noWrap w:val="0"/>
                  <w:vAlign w:val="center"/>
                </w:tcPr>
                <w:p w14:paraId="00ED17DC">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default" w:ascii="Times New Roman" w:hAnsi="Times New Roman" w:eastAsia="宋体" w:cs="Times New Roman"/>
                      <w:szCs w:val="21"/>
                    </w:rPr>
                  </w:pPr>
                  <w:r>
                    <w:rPr>
                      <w:rFonts w:hint="eastAsia"/>
                      <w:vertAlign w:val="baseline"/>
                      <w:lang w:val="en-US" w:eastAsia="zh-CN"/>
                    </w:rPr>
                    <w:t>大鱼箭4#居民点</w:t>
                  </w:r>
                </w:p>
              </w:tc>
              <w:tc>
                <w:tcPr>
                  <w:tcW w:w="510" w:type="pct"/>
                  <w:shd w:val="clear" w:color="auto" w:fill="auto"/>
                  <w:noWrap w:val="0"/>
                  <w:vAlign w:val="center"/>
                </w:tcPr>
                <w:p w14:paraId="53AA6AD1">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olor w:val="auto"/>
                      <w:sz w:val="21"/>
                      <w:szCs w:val="21"/>
                      <w:lang w:val="en-US" w:eastAsia="zh-CN"/>
                    </w:rPr>
                    <w:t>西</w:t>
                  </w:r>
                  <w:r>
                    <w:rPr>
                      <w:rFonts w:hint="eastAsia" w:ascii="Times New Roman" w:hAnsi="Times New Roman" w:eastAsia="宋体"/>
                      <w:color w:val="auto"/>
                      <w:sz w:val="21"/>
                      <w:szCs w:val="21"/>
                    </w:rPr>
                    <w:t>侧</w:t>
                  </w:r>
                </w:p>
              </w:tc>
              <w:tc>
                <w:tcPr>
                  <w:tcW w:w="753" w:type="pct"/>
                  <w:noWrap w:val="0"/>
                  <w:vAlign w:val="center"/>
                </w:tcPr>
                <w:p w14:paraId="0CB6FD56">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auto"/>
                      <w:sz w:val="21"/>
                      <w:szCs w:val="21"/>
                      <w:lang w:val="en-US" w:eastAsia="zh-CN"/>
                    </w:rPr>
                    <w:t>62</w:t>
                  </w:r>
                  <w:r>
                    <w:rPr>
                      <w:rFonts w:hint="eastAsia" w:ascii="Times New Roman" w:hAnsi="Times New Roman" w:eastAsia="宋体"/>
                      <w:color w:val="auto"/>
                      <w:sz w:val="21"/>
                      <w:szCs w:val="21"/>
                    </w:rPr>
                    <w:t>m</w:t>
                  </w:r>
                </w:p>
              </w:tc>
              <w:tc>
                <w:tcPr>
                  <w:tcW w:w="862" w:type="pct"/>
                  <w:shd w:val="clear" w:color="auto" w:fill="auto"/>
                  <w:noWrap w:val="0"/>
                  <w:vAlign w:val="center"/>
                </w:tcPr>
                <w:p w14:paraId="5834EECD">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ascii="Times New Roman" w:hAnsi="Times New Roman" w:eastAsia="宋体" w:cstheme="minorBidi"/>
                      <w:color w:val="auto"/>
                      <w:kern w:val="2"/>
                      <w:sz w:val="21"/>
                      <w:szCs w:val="21"/>
                      <w:lang w:val="en-US" w:eastAsia="zh-CN" w:bidi="ar-SA"/>
                    </w:rPr>
                  </w:pPr>
                  <w:r>
                    <w:rPr>
                      <w:rFonts w:hint="eastAsia" w:ascii="Times New Roman" w:hAnsi="Times New Roman" w:eastAsia="宋体"/>
                      <w:color w:val="auto"/>
                      <w:sz w:val="21"/>
                      <w:szCs w:val="21"/>
                      <w:lang w:val="en-US" w:eastAsia="zh-CN"/>
                    </w:rPr>
                    <w:t>66</w:t>
                  </w:r>
                  <w:r>
                    <w:rPr>
                      <w:rFonts w:hint="eastAsia" w:ascii="Times New Roman" w:hAnsi="Times New Roman" w:eastAsia="宋体"/>
                      <w:color w:val="auto"/>
                      <w:sz w:val="21"/>
                      <w:szCs w:val="21"/>
                    </w:rPr>
                    <w:t>m</w:t>
                  </w:r>
                </w:p>
              </w:tc>
              <w:tc>
                <w:tcPr>
                  <w:tcW w:w="1125" w:type="dxa"/>
                  <w:noWrap w:val="0"/>
                  <w:vAlign w:val="center"/>
                </w:tcPr>
                <w:p w14:paraId="7FA1C7FF">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olor w:val="auto"/>
                      <w:sz w:val="21"/>
                      <w:szCs w:val="21"/>
                      <w:lang w:val="en-US" w:eastAsia="zh-CN"/>
                    </w:rPr>
                  </w:pPr>
                  <w:r>
                    <w:rPr>
                      <w:rFonts w:hint="eastAsia" w:ascii="宋体" w:hAnsi="宋体" w:eastAsia="宋体" w:cs="宋体"/>
                      <w:i w:val="0"/>
                      <w:iCs w:val="0"/>
                      <w:color w:val="000000"/>
                      <w:kern w:val="0"/>
                      <w:sz w:val="22"/>
                      <w:szCs w:val="22"/>
                      <w:u w:val="none"/>
                      <w:lang w:val="en-US" w:eastAsia="zh-CN" w:bidi="ar"/>
                    </w:rPr>
                    <w:t>3.8</w:t>
                  </w:r>
                  <w:r>
                    <w:rPr>
                      <w:rFonts w:hint="eastAsia" w:ascii="Times New Roman" w:hAnsi="Times New Roman" w:eastAsia="宋体"/>
                      <w:color w:val="auto"/>
                      <w:sz w:val="21"/>
                      <w:szCs w:val="21"/>
                      <w:lang w:val="en-US" w:eastAsia="zh-CN"/>
                    </w:rPr>
                    <w:t>m</w:t>
                  </w:r>
                </w:p>
              </w:tc>
              <w:tc>
                <w:tcPr>
                  <w:tcW w:w="953" w:type="pct"/>
                  <w:noWrap w:val="0"/>
                  <w:vAlign w:val="center"/>
                </w:tcPr>
                <w:p w14:paraId="1D981877">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szCs w:val="21"/>
                    </w:rPr>
                  </w:pPr>
                  <w:r>
                    <w:rPr>
                      <w:rFonts w:hint="eastAsia" w:cs="Times New Roman"/>
                      <w:szCs w:val="21"/>
                      <w:lang w:val="en-US" w:eastAsia="zh-CN"/>
                    </w:rPr>
                    <w:t>2户，6人</w:t>
                  </w:r>
                </w:p>
              </w:tc>
            </w:tr>
            <w:tr w14:paraId="72473F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287" w:type="pct"/>
                  <w:noWrap w:val="0"/>
                  <w:vAlign w:val="center"/>
                </w:tcPr>
                <w:p w14:paraId="3FFEFAE2">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right="0"/>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olor w:val="auto"/>
                      <w:sz w:val="21"/>
                      <w:szCs w:val="21"/>
                    </w:rPr>
                    <w:t>10</w:t>
                  </w:r>
                </w:p>
              </w:tc>
              <w:tc>
                <w:tcPr>
                  <w:tcW w:w="898" w:type="pct"/>
                  <w:noWrap w:val="0"/>
                  <w:vAlign w:val="center"/>
                </w:tcPr>
                <w:p w14:paraId="26314248">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default" w:ascii="Times New Roman" w:hAnsi="Times New Roman" w:eastAsia="宋体" w:cs="Times New Roman"/>
                      <w:szCs w:val="21"/>
                    </w:rPr>
                  </w:pPr>
                  <w:r>
                    <w:rPr>
                      <w:rFonts w:hint="eastAsia"/>
                      <w:vertAlign w:val="baseline"/>
                      <w:lang w:val="en-US" w:eastAsia="zh-CN"/>
                    </w:rPr>
                    <w:t>大鱼箭5#居民点</w:t>
                  </w:r>
                </w:p>
              </w:tc>
              <w:tc>
                <w:tcPr>
                  <w:tcW w:w="510" w:type="pct"/>
                  <w:shd w:val="clear" w:color="auto" w:fill="auto"/>
                  <w:noWrap w:val="0"/>
                  <w:vAlign w:val="center"/>
                </w:tcPr>
                <w:p w14:paraId="740B125E">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olor w:val="auto"/>
                      <w:sz w:val="21"/>
                      <w:szCs w:val="21"/>
                      <w:lang w:val="en-US" w:eastAsia="zh-CN"/>
                    </w:rPr>
                    <w:t>西</w:t>
                  </w:r>
                  <w:r>
                    <w:rPr>
                      <w:rFonts w:hint="eastAsia" w:ascii="Times New Roman" w:hAnsi="Times New Roman" w:eastAsia="宋体"/>
                      <w:color w:val="auto"/>
                      <w:sz w:val="21"/>
                      <w:szCs w:val="21"/>
                    </w:rPr>
                    <w:t>侧</w:t>
                  </w:r>
                </w:p>
              </w:tc>
              <w:tc>
                <w:tcPr>
                  <w:tcW w:w="753" w:type="pct"/>
                  <w:noWrap w:val="0"/>
                  <w:vAlign w:val="center"/>
                </w:tcPr>
                <w:p w14:paraId="3713A8D2">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olor w:val="auto"/>
                      <w:sz w:val="21"/>
                      <w:szCs w:val="21"/>
                      <w:lang w:val="en-US" w:eastAsia="zh-CN"/>
                    </w:rPr>
                    <w:t>116</w:t>
                  </w:r>
                  <w:r>
                    <w:rPr>
                      <w:rFonts w:hint="eastAsia" w:ascii="Times New Roman" w:hAnsi="Times New Roman" w:eastAsia="宋体"/>
                      <w:color w:val="auto"/>
                      <w:sz w:val="21"/>
                      <w:szCs w:val="21"/>
                    </w:rPr>
                    <w:t>m</w:t>
                  </w:r>
                </w:p>
              </w:tc>
              <w:tc>
                <w:tcPr>
                  <w:tcW w:w="862" w:type="pct"/>
                  <w:shd w:val="clear" w:color="auto" w:fill="auto"/>
                  <w:noWrap w:val="0"/>
                  <w:vAlign w:val="center"/>
                </w:tcPr>
                <w:p w14:paraId="7757A9BA">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ascii="Times New Roman" w:hAnsi="Times New Roman" w:eastAsia="宋体" w:cstheme="minorBidi"/>
                      <w:color w:val="auto"/>
                      <w:kern w:val="2"/>
                      <w:sz w:val="21"/>
                      <w:szCs w:val="21"/>
                      <w:lang w:val="en-US" w:eastAsia="zh-CN" w:bidi="ar-SA"/>
                    </w:rPr>
                  </w:pPr>
                  <w:r>
                    <w:rPr>
                      <w:rFonts w:hint="eastAsia" w:ascii="Times New Roman" w:hAnsi="Times New Roman" w:eastAsia="宋体"/>
                      <w:color w:val="auto"/>
                      <w:sz w:val="21"/>
                      <w:szCs w:val="21"/>
                      <w:lang w:val="en-US" w:eastAsia="zh-CN"/>
                    </w:rPr>
                    <w:t>120</w:t>
                  </w:r>
                  <w:r>
                    <w:rPr>
                      <w:rFonts w:hint="eastAsia" w:ascii="Times New Roman" w:hAnsi="Times New Roman" w:eastAsia="宋体"/>
                      <w:color w:val="auto"/>
                      <w:sz w:val="21"/>
                      <w:szCs w:val="21"/>
                    </w:rPr>
                    <w:t>m</w:t>
                  </w:r>
                </w:p>
              </w:tc>
              <w:tc>
                <w:tcPr>
                  <w:tcW w:w="1125" w:type="dxa"/>
                  <w:noWrap w:val="0"/>
                  <w:vAlign w:val="center"/>
                </w:tcPr>
                <w:p w14:paraId="11C65876">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olor w:val="auto"/>
                      <w:sz w:val="21"/>
                      <w:szCs w:val="21"/>
                      <w:lang w:val="en-US" w:eastAsia="zh-CN"/>
                    </w:rPr>
                  </w:pPr>
                  <w:r>
                    <w:rPr>
                      <w:rFonts w:hint="eastAsia" w:ascii="宋体" w:hAnsi="宋体" w:eastAsia="宋体" w:cs="宋体"/>
                      <w:i w:val="0"/>
                      <w:iCs w:val="0"/>
                      <w:color w:val="000000"/>
                      <w:kern w:val="0"/>
                      <w:sz w:val="22"/>
                      <w:szCs w:val="22"/>
                      <w:u w:val="none"/>
                      <w:lang w:val="en-US" w:eastAsia="zh-CN" w:bidi="ar"/>
                    </w:rPr>
                    <w:t>6.1</w:t>
                  </w:r>
                  <w:r>
                    <w:rPr>
                      <w:rFonts w:hint="eastAsia" w:ascii="Times New Roman" w:hAnsi="Times New Roman" w:eastAsia="宋体"/>
                      <w:color w:val="auto"/>
                      <w:sz w:val="21"/>
                      <w:szCs w:val="21"/>
                      <w:lang w:val="en-US" w:eastAsia="zh-CN"/>
                    </w:rPr>
                    <w:t>m</w:t>
                  </w:r>
                </w:p>
              </w:tc>
              <w:tc>
                <w:tcPr>
                  <w:tcW w:w="953" w:type="pct"/>
                  <w:noWrap w:val="0"/>
                  <w:vAlign w:val="center"/>
                </w:tcPr>
                <w:p w14:paraId="04EAFD39">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szCs w:val="21"/>
                    </w:rPr>
                  </w:pPr>
                  <w:r>
                    <w:rPr>
                      <w:rFonts w:hint="eastAsia" w:cs="Times New Roman"/>
                      <w:szCs w:val="21"/>
                      <w:lang w:val="en-US" w:eastAsia="zh-CN"/>
                    </w:rPr>
                    <w:t>1户，3人</w:t>
                  </w:r>
                </w:p>
              </w:tc>
            </w:tr>
            <w:tr w14:paraId="72ACBD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287" w:type="pct"/>
                  <w:noWrap w:val="0"/>
                  <w:vAlign w:val="center"/>
                </w:tcPr>
                <w:p w14:paraId="09B58F69">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right="0"/>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olor w:val="auto"/>
                      <w:sz w:val="21"/>
                      <w:szCs w:val="21"/>
                    </w:rPr>
                    <w:t>11</w:t>
                  </w:r>
                </w:p>
              </w:tc>
              <w:tc>
                <w:tcPr>
                  <w:tcW w:w="898" w:type="pct"/>
                  <w:noWrap w:val="0"/>
                  <w:vAlign w:val="center"/>
                </w:tcPr>
                <w:p w14:paraId="7C9F7F77">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ascii="Times New Roman" w:hAnsi="Times New Roman" w:eastAsia="宋体" w:cs="宋体"/>
                      <w:szCs w:val="21"/>
                    </w:rPr>
                  </w:pPr>
                  <w:r>
                    <w:rPr>
                      <w:rFonts w:hint="eastAsia"/>
                      <w:vertAlign w:val="baseline"/>
                      <w:lang w:val="en-US" w:eastAsia="zh-CN"/>
                    </w:rPr>
                    <w:t>朝门湾居民点</w:t>
                  </w:r>
                </w:p>
              </w:tc>
              <w:tc>
                <w:tcPr>
                  <w:tcW w:w="510" w:type="pct"/>
                  <w:shd w:val="clear" w:color="auto" w:fill="auto"/>
                  <w:noWrap w:val="0"/>
                  <w:vAlign w:val="center"/>
                </w:tcPr>
                <w:p w14:paraId="118AB5D1">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olor w:val="auto"/>
                      <w:sz w:val="21"/>
                      <w:szCs w:val="21"/>
                      <w:lang w:val="en-US" w:eastAsia="zh-CN"/>
                    </w:rPr>
                    <w:t>西</w:t>
                  </w:r>
                  <w:r>
                    <w:rPr>
                      <w:rFonts w:hint="eastAsia" w:ascii="Times New Roman" w:hAnsi="Times New Roman" w:eastAsia="宋体"/>
                      <w:color w:val="auto"/>
                      <w:sz w:val="21"/>
                      <w:szCs w:val="21"/>
                    </w:rPr>
                    <w:t>侧</w:t>
                  </w:r>
                </w:p>
              </w:tc>
              <w:tc>
                <w:tcPr>
                  <w:tcW w:w="753" w:type="pct"/>
                  <w:noWrap w:val="0"/>
                  <w:vAlign w:val="center"/>
                </w:tcPr>
                <w:p w14:paraId="02C376C5">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olor w:val="auto"/>
                      <w:sz w:val="21"/>
                      <w:szCs w:val="21"/>
                      <w:lang w:val="en-US" w:eastAsia="zh-CN"/>
                    </w:rPr>
                    <w:t>198m</w:t>
                  </w:r>
                </w:p>
              </w:tc>
              <w:tc>
                <w:tcPr>
                  <w:tcW w:w="862" w:type="pct"/>
                  <w:shd w:val="clear" w:color="auto" w:fill="auto"/>
                  <w:noWrap w:val="0"/>
                  <w:vAlign w:val="center"/>
                </w:tcPr>
                <w:p w14:paraId="7506E463">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imes New Roman" w:hAnsi="Times New Roman" w:eastAsia="宋体"/>
                      <w:color w:val="auto"/>
                      <w:sz w:val="21"/>
                      <w:szCs w:val="21"/>
                      <w:lang w:val="en-US" w:eastAsia="zh-CN"/>
                    </w:rPr>
                    <w:t>201m</w:t>
                  </w:r>
                </w:p>
              </w:tc>
              <w:tc>
                <w:tcPr>
                  <w:tcW w:w="1125" w:type="dxa"/>
                  <w:noWrap w:val="0"/>
                  <w:vAlign w:val="center"/>
                </w:tcPr>
                <w:p w14:paraId="1A6FAB4E">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olor w:val="auto"/>
                      <w:sz w:val="21"/>
                      <w:szCs w:val="21"/>
                      <w:lang w:val="en-US" w:eastAsia="zh-CN"/>
                    </w:rPr>
                  </w:pPr>
                  <w:r>
                    <w:rPr>
                      <w:rFonts w:hint="eastAsia" w:ascii="宋体" w:hAnsi="宋体" w:eastAsia="宋体" w:cs="宋体"/>
                      <w:i w:val="0"/>
                      <w:iCs w:val="0"/>
                      <w:color w:val="000000"/>
                      <w:kern w:val="0"/>
                      <w:sz w:val="22"/>
                      <w:szCs w:val="22"/>
                      <w:u w:val="none"/>
                      <w:lang w:val="en-US" w:eastAsia="zh-CN" w:bidi="ar"/>
                    </w:rPr>
                    <w:t>0.6</w:t>
                  </w:r>
                  <w:r>
                    <w:rPr>
                      <w:rFonts w:hint="eastAsia" w:ascii="Times New Roman" w:hAnsi="Times New Roman" w:eastAsia="宋体"/>
                      <w:color w:val="auto"/>
                      <w:sz w:val="21"/>
                      <w:szCs w:val="21"/>
                      <w:lang w:val="en-US" w:eastAsia="zh-CN"/>
                    </w:rPr>
                    <w:t>m</w:t>
                  </w:r>
                </w:p>
              </w:tc>
              <w:tc>
                <w:tcPr>
                  <w:tcW w:w="953" w:type="pct"/>
                  <w:noWrap w:val="0"/>
                  <w:vAlign w:val="center"/>
                </w:tcPr>
                <w:p w14:paraId="266CF4CB">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eastAsia" w:ascii="Times New Roman" w:hAnsi="Times New Roman" w:eastAsia="宋体" w:cs="Times New Roman"/>
                      <w:szCs w:val="21"/>
                    </w:rPr>
                  </w:pPr>
                  <w:r>
                    <w:rPr>
                      <w:rFonts w:hint="eastAsia" w:cs="Times New Roman"/>
                      <w:szCs w:val="21"/>
                      <w:lang w:val="en-US" w:eastAsia="zh-CN"/>
                    </w:rPr>
                    <w:t>19户，60人</w:t>
                  </w:r>
                </w:p>
              </w:tc>
            </w:tr>
            <w:tr w14:paraId="6BA7CC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287" w:type="pct"/>
                  <w:noWrap w:val="0"/>
                  <w:vAlign w:val="center"/>
                </w:tcPr>
                <w:p w14:paraId="7D1464F6">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right="0"/>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olor w:val="auto"/>
                      <w:sz w:val="21"/>
                      <w:szCs w:val="21"/>
                    </w:rPr>
                    <w:t>12</w:t>
                  </w:r>
                </w:p>
              </w:tc>
              <w:tc>
                <w:tcPr>
                  <w:tcW w:w="898" w:type="pct"/>
                  <w:noWrap w:val="0"/>
                  <w:vAlign w:val="center"/>
                </w:tcPr>
                <w:p w14:paraId="5CAE5502">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ascii="Times New Roman" w:hAnsi="Times New Roman" w:eastAsia="宋体" w:cs="宋体"/>
                      <w:szCs w:val="21"/>
                    </w:rPr>
                  </w:pPr>
                  <w:r>
                    <w:rPr>
                      <w:rFonts w:hint="eastAsia"/>
                      <w:vertAlign w:val="baseline"/>
                      <w:lang w:val="en-US" w:eastAsia="zh-CN"/>
                    </w:rPr>
                    <w:t>新湾居民点</w:t>
                  </w:r>
                </w:p>
              </w:tc>
              <w:tc>
                <w:tcPr>
                  <w:tcW w:w="510" w:type="pct"/>
                  <w:shd w:val="clear" w:color="auto" w:fill="auto"/>
                  <w:noWrap w:val="0"/>
                  <w:vAlign w:val="center"/>
                </w:tcPr>
                <w:p w14:paraId="46C78639">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olor w:val="auto"/>
                      <w:sz w:val="21"/>
                      <w:szCs w:val="21"/>
                      <w:lang w:val="en-US" w:eastAsia="zh-CN"/>
                    </w:rPr>
                    <w:t>西</w:t>
                  </w:r>
                  <w:r>
                    <w:rPr>
                      <w:rFonts w:hint="eastAsia" w:ascii="Times New Roman" w:hAnsi="Times New Roman" w:eastAsia="宋体"/>
                      <w:color w:val="auto"/>
                      <w:sz w:val="21"/>
                      <w:szCs w:val="21"/>
                    </w:rPr>
                    <w:t>侧</w:t>
                  </w:r>
                </w:p>
              </w:tc>
              <w:tc>
                <w:tcPr>
                  <w:tcW w:w="753" w:type="pct"/>
                  <w:noWrap w:val="0"/>
                  <w:vAlign w:val="center"/>
                </w:tcPr>
                <w:p w14:paraId="281CB806">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olor w:val="auto"/>
                      <w:sz w:val="21"/>
                      <w:szCs w:val="21"/>
                      <w:lang w:val="en-US" w:eastAsia="zh-CN"/>
                    </w:rPr>
                    <w:t>280m</w:t>
                  </w:r>
                </w:p>
              </w:tc>
              <w:tc>
                <w:tcPr>
                  <w:tcW w:w="862" w:type="pct"/>
                  <w:shd w:val="clear" w:color="auto" w:fill="auto"/>
                  <w:noWrap w:val="0"/>
                  <w:vAlign w:val="center"/>
                </w:tcPr>
                <w:p w14:paraId="1EB93AF0">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asciiTheme="minorHAnsi" w:hAnsiTheme="minorHAnsi" w:eastAsiaTheme="minorEastAsia" w:cstheme="minorBidi"/>
                      <w:kern w:val="2"/>
                      <w:sz w:val="21"/>
                      <w:szCs w:val="24"/>
                      <w:vertAlign w:val="baseline"/>
                      <w:lang w:val="en-US" w:eastAsia="zh-CN" w:bidi="ar-SA"/>
                    </w:rPr>
                  </w:pPr>
                  <w:r>
                    <w:rPr>
                      <w:rFonts w:hint="eastAsia" w:ascii="Times New Roman" w:hAnsi="Times New Roman" w:eastAsia="宋体"/>
                      <w:color w:val="auto"/>
                      <w:sz w:val="21"/>
                      <w:szCs w:val="21"/>
                      <w:lang w:val="en-US" w:eastAsia="zh-CN"/>
                    </w:rPr>
                    <w:t>286m</w:t>
                  </w:r>
                </w:p>
              </w:tc>
              <w:tc>
                <w:tcPr>
                  <w:tcW w:w="1125" w:type="dxa"/>
                  <w:noWrap w:val="0"/>
                  <w:vAlign w:val="center"/>
                </w:tcPr>
                <w:p w14:paraId="170B0ABC">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olor w:val="auto"/>
                      <w:sz w:val="21"/>
                      <w:szCs w:val="21"/>
                      <w:lang w:val="en-US" w:eastAsia="zh-CN"/>
                    </w:rPr>
                  </w:pPr>
                  <w:r>
                    <w:rPr>
                      <w:rFonts w:hint="eastAsia" w:ascii="宋体" w:hAnsi="宋体" w:eastAsia="宋体" w:cs="宋体"/>
                      <w:i w:val="0"/>
                      <w:iCs w:val="0"/>
                      <w:color w:val="000000"/>
                      <w:kern w:val="0"/>
                      <w:sz w:val="22"/>
                      <w:szCs w:val="22"/>
                      <w:u w:val="none"/>
                      <w:lang w:val="en-US" w:eastAsia="zh-CN" w:bidi="ar"/>
                    </w:rPr>
                    <w:t>2</w:t>
                  </w:r>
                  <w:r>
                    <w:rPr>
                      <w:rFonts w:hint="eastAsia" w:ascii="Times New Roman" w:hAnsi="Times New Roman" w:eastAsia="宋体"/>
                      <w:color w:val="auto"/>
                      <w:sz w:val="21"/>
                      <w:szCs w:val="21"/>
                      <w:lang w:val="en-US" w:eastAsia="zh-CN"/>
                    </w:rPr>
                    <w:t>m</w:t>
                  </w:r>
                </w:p>
              </w:tc>
              <w:tc>
                <w:tcPr>
                  <w:tcW w:w="953" w:type="pct"/>
                  <w:noWrap w:val="0"/>
                  <w:vAlign w:val="center"/>
                </w:tcPr>
                <w:p w14:paraId="4AA3240E">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eastAsia" w:ascii="Times New Roman" w:hAnsi="Times New Roman" w:eastAsia="宋体" w:cs="Times New Roman"/>
                      <w:szCs w:val="21"/>
                    </w:rPr>
                  </w:pPr>
                  <w:r>
                    <w:rPr>
                      <w:rFonts w:hint="eastAsia" w:cs="Times New Roman"/>
                      <w:szCs w:val="21"/>
                      <w:lang w:val="en-US" w:eastAsia="zh-CN"/>
                    </w:rPr>
                    <w:t>约21户，65人</w:t>
                  </w:r>
                </w:p>
              </w:tc>
            </w:tr>
            <w:tr w14:paraId="7D70D5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287" w:type="pct"/>
                  <w:noWrap w:val="0"/>
                  <w:vAlign w:val="center"/>
                </w:tcPr>
                <w:p w14:paraId="252CB304">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right="0"/>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olor w:val="auto"/>
                      <w:sz w:val="21"/>
                      <w:szCs w:val="21"/>
                    </w:rPr>
                    <w:t>13</w:t>
                  </w:r>
                </w:p>
              </w:tc>
              <w:tc>
                <w:tcPr>
                  <w:tcW w:w="898" w:type="pct"/>
                  <w:noWrap w:val="0"/>
                  <w:vAlign w:val="center"/>
                </w:tcPr>
                <w:p w14:paraId="6C1B4815">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ascii="Times New Roman" w:hAnsi="Times New Roman" w:eastAsia="宋体" w:cs="宋体"/>
                      <w:szCs w:val="21"/>
                    </w:rPr>
                  </w:pPr>
                  <w:r>
                    <w:rPr>
                      <w:rFonts w:hint="eastAsia" w:ascii="Times New Roman" w:hAnsi="Times New Roman" w:eastAsia="宋体"/>
                      <w:color w:val="auto"/>
                      <w:sz w:val="21"/>
                      <w:szCs w:val="21"/>
                      <w:lang w:val="en-US" w:eastAsia="zh-CN"/>
                    </w:rPr>
                    <w:t>坛子湾居民点</w:t>
                  </w:r>
                </w:p>
              </w:tc>
              <w:tc>
                <w:tcPr>
                  <w:tcW w:w="510" w:type="pct"/>
                  <w:shd w:val="clear" w:color="auto" w:fill="auto"/>
                  <w:noWrap w:val="0"/>
                  <w:vAlign w:val="center"/>
                </w:tcPr>
                <w:p w14:paraId="01544414">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outlineLvl w:val="1"/>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olor w:val="auto"/>
                      <w:sz w:val="21"/>
                      <w:szCs w:val="21"/>
                      <w:lang w:val="en-US" w:eastAsia="zh-CN"/>
                    </w:rPr>
                    <w:t>西</w:t>
                  </w:r>
                  <w:r>
                    <w:rPr>
                      <w:rFonts w:hint="eastAsia" w:ascii="Times New Roman" w:hAnsi="Times New Roman" w:eastAsia="宋体"/>
                      <w:color w:val="auto"/>
                      <w:sz w:val="21"/>
                      <w:szCs w:val="21"/>
                    </w:rPr>
                    <w:t>侧</w:t>
                  </w:r>
                </w:p>
              </w:tc>
              <w:tc>
                <w:tcPr>
                  <w:tcW w:w="753" w:type="pct"/>
                  <w:noWrap w:val="0"/>
                  <w:vAlign w:val="center"/>
                </w:tcPr>
                <w:p w14:paraId="22FC8DBD">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outlineLvl w:val="1"/>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olor w:val="auto"/>
                      <w:sz w:val="21"/>
                      <w:szCs w:val="21"/>
                      <w:lang w:val="en-US" w:eastAsia="zh-CN"/>
                    </w:rPr>
                    <w:t>433m</w:t>
                  </w:r>
                </w:p>
              </w:tc>
              <w:tc>
                <w:tcPr>
                  <w:tcW w:w="862" w:type="pct"/>
                  <w:shd w:val="clear" w:color="auto" w:fill="auto"/>
                  <w:noWrap w:val="0"/>
                  <w:vAlign w:val="center"/>
                </w:tcPr>
                <w:p w14:paraId="2DB9D52F">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outlineLvl w:val="1"/>
                    <w:rPr>
                      <w:rFonts w:hint="eastAsia" w:asciiTheme="minorHAnsi" w:hAnsiTheme="minorHAnsi" w:eastAsiaTheme="minorEastAsia" w:cstheme="minorBidi"/>
                      <w:kern w:val="2"/>
                      <w:sz w:val="21"/>
                      <w:szCs w:val="24"/>
                      <w:vertAlign w:val="baseline"/>
                      <w:lang w:val="en-US" w:eastAsia="zh-CN" w:bidi="ar-SA"/>
                    </w:rPr>
                  </w:pPr>
                  <w:r>
                    <w:rPr>
                      <w:rFonts w:hint="eastAsia" w:ascii="Times New Roman" w:hAnsi="Times New Roman" w:eastAsia="宋体"/>
                      <w:color w:val="auto"/>
                      <w:sz w:val="21"/>
                      <w:szCs w:val="21"/>
                      <w:lang w:val="en-US" w:eastAsia="zh-CN"/>
                    </w:rPr>
                    <w:t>439m</w:t>
                  </w:r>
                </w:p>
              </w:tc>
              <w:tc>
                <w:tcPr>
                  <w:tcW w:w="1125" w:type="dxa"/>
                  <w:noWrap w:val="0"/>
                  <w:vAlign w:val="center"/>
                </w:tcPr>
                <w:p w14:paraId="26162058">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olor w:val="auto"/>
                      <w:sz w:val="21"/>
                      <w:szCs w:val="21"/>
                      <w:lang w:val="en-US" w:eastAsia="zh-CN"/>
                    </w:rPr>
                  </w:pPr>
                  <w:r>
                    <w:rPr>
                      <w:rFonts w:hint="eastAsia" w:ascii="宋体" w:hAnsi="宋体" w:eastAsia="宋体" w:cs="宋体"/>
                      <w:i w:val="0"/>
                      <w:iCs w:val="0"/>
                      <w:color w:val="000000"/>
                      <w:kern w:val="0"/>
                      <w:sz w:val="22"/>
                      <w:szCs w:val="22"/>
                      <w:u w:val="none"/>
                      <w:lang w:val="en-US" w:eastAsia="zh-CN" w:bidi="ar"/>
                    </w:rPr>
                    <w:t>2.4</w:t>
                  </w:r>
                  <w:r>
                    <w:rPr>
                      <w:rFonts w:hint="eastAsia" w:ascii="Times New Roman" w:hAnsi="Times New Roman" w:eastAsia="宋体"/>
                      <w:color w:val="auto"/>
                      <w:sz w:val="21"/>
                      <w:szCs w:val="21"/>
                      <w:lang w:val="en-US" w:eastAsia="zh-CN"/>
                    </w:rPr>
                    <w:t>m</w:t>
                  </w:r>
                </w:p>
              </w:tc>
              <w:tc>
                <w:tcPr>
                  <w:tcW w:w="953" w:type="pct"/>
                  <w:noWrap w:val="0"/>
                  <w:vAlign w:val="center"/>
                </w:tcPr>
                <w:p w14:paraId="3CF3F4DC">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szCs w:val="21"/>
                      <w:lang w:val="en-US" w:eastAsia="zh-CN"/>
                    </w:rPr>
                  </w:pPr>
                  <w:r>
                    <w:rPr>
                      <w:rFonts w:hint="eastAsia" w:cs="Times New Roman"/>
                      <w:szCs w:val="21"/>
                      <w:lang w:val="en-US" w:eastAsia="zh-CN"/>
                    </w:rPr>
                    <w:t>约12户，40人</w:t>
                  </w:r>
                </w:p>
              </w:tc>
            </w:tr>
            <w:tr w14:paraId="1CEFE8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287" w:type="pct"/>
                  <w:noWrap w:val="0"/>
                  <w:vAlign w:val="center"/>
                </w:tcPr>
                <w:p w14:paraId="366943EE">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right="0"/>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olor w:val="auto"/>
                      <w:sz w:val="21"/>
                      <w:szCs w:val="21"/>
                    </w:rPr>
                    <w:t>14</w:t>
                  </w:r>
                </w:p>
              </w:tc>
              <w:tc>
                <w:tcPr>
                  <w:tcW w:w="898" w:type="pct"/>
                  <w:noWrap w:val="0"/>
                  <w:vAlign w:val="center"/>
                </w:tcPr>
                <w:p w14:paraId="4CDDF2C0">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ascii="Times New Roman" w:hAnsi="Times New Roman" w:eastAsia="宋体" w:cs="宋体"/>
                      <w:szCs w:val="21"/>
                    </w:rPr>
                  </w:pPr>
                  <w:r>
                    <w:rPr>
                      <w:rFonts w:hint="eastAsia"/>
                      <w:vertAlign w:val="baseline"/>
                      <w:lang w:val="en-US" w:eastAsia="zh-CN"/>
                    </w:rPr>
                    <w:t>张家湾1#居民点</w:t>
                  </w:r>
                </w:p>
              </w:tc>
              <w:tc>
                <w:tcPr>
                  <w:tcW w:w="510" w:type="pct"/>
                  <w:shd w:val="clear" w:color="auto" w:fill="auto"/>
                  <w:noWrap w:val="0"/>
                  <w:vAlign w:val="center"/>
                </w:tcPr>
                <w:p w14:paraId="66697CC9">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olor w:val="auto"/>
                      <w:sz w:val="21"/>
                      <w:szCs w:val="21"/>
                      <w:lang w:val="en-US" w:eastAsia="zh-CN"/>
                    </w:rPr>
                    <w:t>东</w:t>
                  </w:r>
                  <w:r>
                    <w:rPr>
                      <w:rFonts w:hint="eastAsia" w:ascii="Times New Roman" w:hAnsi="Times New Roman" w:eastAsia="宋体"/>
                      <w:color w:val="auto"/>
                      <w:sz w:val="21"/>
                      <w:szCs w:val="21"/>
                    </w:rPr>
                    <w:t>侧</w:t>
                  </w:r>
                </w:p>
              </w:tc>
              <w:tc>
                <w:tcPr>
                  <w:tcW w:w="753" w:type="pct"/>
                  <w:noWrap w:val="0"/>
                  <w:vAlign w:val="center"/>
                </w:tcPr>
                <w:p w14:paraId="5807A52E">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olor w:val="auto"/>
                      <w:sz w:val="21"/>
                      <w:szCs w:val="21"/>
                      <w:lang w:val="en-US" w:eastAsia="zh-CN"/>
                    </w:rPr>
                    <w:t>34m</w:t>
                  </w:r>
                </w:p>
              </w:tc>
              <w:tc>
                <w:tcPr>
                  <w:tcW w:w="862" w:type="pct"/>
                  <w:shd w:val="clear" w:color="auto" w:fill="auto"/>
                  <w:noWrap w:val="0"/>
                  <w:vAlign w:val="center"/>
                </w:tcPr>
                <w:p w14:paraId="480034C5">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ascii="Times New Roman" w:hAnsi="Times New Roman" w:eastAsia="宋体" w:cstheme="minorBidi"/>
                      <w:color w:val="auto"/>
                      <w:kern w:val="2"/>
                      <w:sz w:val="21"/>
                      <w:szCs w:val="21"/>
                      <w:lang w:val="en-US" w:eastAsia="zh-CN" w:bidi="ar-SA"/>
                    </w:rPr>
                  </w:pPr>
                  <w:r>
                    <w:rPr>
                      <w:rFonts w:hint="eastAsia" w:ascii="Times New Roman" w:hAnsi="Times New Roman" w:eastAsia="宋体"/>
                      <w:color w:val="auto"/>
                      <w:sz w:val="21"/>
                      <w:szCs w:val="21"/>
                      <w:lang w:val="en-US" w:eastAsia="zh-CN"/>
                    </w:rPr>
                    <w:t>60m</w:t>
                  </w:r>
                </w:p>
              </w:tc>
              <w:tc>
                <w:tcPr>
                  <w:tcW w:w="1125" w:type="dxa"/>
                  <w:noWrap w:val="0"/>
                  <w:vAlign w:val="center"/>
                </w:tcPr>
                <w:p w14:paraId="2573896F">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olor w:val="auto"/>
                      <w:sz w:val="21"/>
                      <w:szCs w:val="21"/>
                      <w:lang w:val="en-US" w:eastAsia="zh-CN"/>
                    </w:rPr>
                  </w:pPr>
                  <w:r>
                    <w:rPr>
                      <w:rFonts w:hint="eastAsia" w:ascii="宋体" w:hAnsi="宋体" w:eastAsia="宋体" w:cs="宋体"/>
                      <w:i w:val="0"/>
                      <w:iCs w:val="0"/>
                      <w:color w:val="000000"/>
                      <w:kern w:val="0"/>
                      <w:sz w:val="22"/>
                      <w:szCs w:val="22"/>
                      <w:u w:val="none"/>
                      <w:lang w:val="en-US" w:eastAsia="zh-CN" w:bidi="ar"/>
                    </w:rPr>
                    <w:t>-0.9</w:t>
                  </w:r>
                  <w:r>
                    <w:rPr>
                      <w:rFonts w:hint="eastAsia" w:ascii="Times New Roman" w:hAnsi="Times New Roman" w:eastAsia="宋体"/>
                      <w:color w:val="auto"/>
                      <w:sz w:val="21"/>
                      <w:szCs w:val="21"/>
                      <w:lang w:val="en-US" w:eastAsia="zh-CN"/>
                    </w:rPr>
                    <w:t>m</w:t>
                  </w:r>
                </w:p>
              </w:tc>
              <w:tc>
                <w:tcPr>
                  <w:tcW w:w="953" w:type="pct"/>
                  <w:noWrap w:val="0"/>
                  <w:vAlign w:val="center"/>
                </w:tcPr>
                <w:p w14:paraId="124FEC1F">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szCs w:val="21"/>
                      <w:lang w:val="en-US" w:eastAsia="zh-CN"/>
                    </w:rPr>
                  </w:pPr>
                  <w:r>
                    <w:rPr>
                      <w:rFonts w:hint="eastAsia" w:cs="Times New Roman"/>
                      <w:szCs w:val="21"/>
                      <w:lang w:val="en-US" w:eastAsia="zh-CN"/>
                    </w:rPr>
                    <w:t>2户，6人</w:t>
                  </w:r>
                </w:p>
              </w:tc>
            </w:tr>
            <w:tr w14:paraId="3F28BB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287" w:type="pct"/>
                  <w:noWrap w:val="0"/>
                  <w:vAlign w:val="center"/>
                </w:tcPr>
                <w:p w14:paraId="5DF274BD">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right="0"/>
                    <w:jc w:val="center"/>
                    <w:textAlignment w:val="auto"/>
                    <w:rPr>
                      <w:rFonts w:hint="eastAsia" w:ascii="Times New Roman" w:hAnsi="Times New Roman" w:eastAsia="宋体" w:cs="Times New Roman"/>
                      <w:szCs w:val="21"/>
                      <w:lang w:val="en-US" w:eastAsia="zh-CN"/>
                    </w:rPr>
                  </w:pPr>
                  <w:r>
                    <w:rPr>
                      <w:rFonts w:hint="eastAsia" w:ascii="Times New Roman" w:hAnsi="Times New Roman" w:eastAsia="宋体"/>
                      <w:color w:val="auto"/>
                      <w:sz w:val="21"/>
                      <w:szCs w:val="21"/>
                    </w:rPr>
                    <w:t>15</w:t>
                  </w:r>
                </w:p>
              </w:tc>
              <w:tc>
                <w:tcPr>
                  <w:tcW w:w="898" w:type="pct"/>
                  <w:noWrap w:val="0"/>
                  <w:vAlign w:val="center"/>
                </w:tcPr>
                <w:p w14:paraId="0041B268">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ascii="Times New Roman" w:hAnsi="Times New Roman" w:eastAsia="宋体" w:cs="Times New Roman"/>
                      <w:color w:val="auto"/>
                      <w:sz w:val="21"/>
                      <w:szCs w:val="21"/>
                      <w:lang w:val="en-US" w:eastAsia="zh-CN"/>
                    </w:rPr>
                  </w:pPr>
                  <w:r>
                    <w:rPr>
                      <w:rFonts w:hint="eastAsia"/>
                      <w:vertAlign w:val="baseline"/>
                      <w:lang w:val="en-US" w:eastAsia="zh-CN"/>
                    </w:rPr>
                    <w:t>张家湾2#居民点</w:t>
                  </w:r>
                </w:p>
              </w:tc>
              <w:tc>
                <w:tcPr>
                  <w:tcW w:w="510" w:type="pct"/>
                  <w:shd w:val="clear" w:color="auto" w:fill="auto"/>
                  <w:noWrap w:val="0"/>
                  <w:vAlign w:val="center"/>
                </w:tcPr>
                <w:p w14:paraId="4A2BA15E">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outlineLvl w:val="1"/>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 w:val="21"/>
                      <w:szCs w:val="21"/>
                      <w:lang w:val="en-US" w:eastAsia="zh-CN"/>
                    </w:rPr>
                    <w:t>东</w:t>
                  </w:r>
                  <w:r>
                    <w:rPr>
                      <w:rFonts w:hint="eastAsia" w:ascii="Times New Roman" w:hAnsi="Times New Roman" w:eastAsia="宋体"/>
                      <w:color w:val="auto"/>
                      <w:sz w:val="21"/>
                      <w:szCs w:val="21"/>
                    </w:rPr>
                    <w:t>侧</w:t>
                  </w:r>
                </w:p>
              </w:tc>
              <w:tc>
                <w:tcPr>
                  <w:tcW w:w="753" w:type="pct"/>
                  <w:noWrap w:val="0"/>
                  <w:vAlign w:val="center"/>
                </w:tcPr>
                <w:p w14:paraId="60E7C2F4">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outlineLvl w:val="1"/>
                    <w:rPr>
                      <w:rFonts w:hint="eastAsia" w:ascii="Times New Roman" w:hAnsi="Times New Roman" w:eastAsia="宋体" w:cs="Times New Roman"/>
                      <w:color w:val="auto"/>
                      <w:sz w:val="21"/>
                      <w:szCs w:val="21"/>
                      <w:lang w:val="en-US" w:eastAsia="zh-CN"/>
                    </w:rPr>
                  </w:pPr>
                  <w:r>
                    <w:rPr>
                      <w:rFonts w:hint="eastAsia" w:ascii="Times New Roman" w:hAnsi="Times New Roman" w:eastAsia="宋体"/>
                      <w:color w:val="auto"/>
                      <w:sz w:val="21"/>
                      <w:szCs w:val="21"/>
                      <w:lang w:val="en-US" w:eastAsia="zh-CN"/>
                    </w:rPr>
                    <w:t>88m</w:t>
                  </w:r>
                </w:p>
              </w:tc>
              <w:tc>
                <w:tcPr>
                  <w:tcW w:w="862" w:type="pct"/>
                  <w:shd w:val="clear" w:color="auto" w:fill="auto"/>
                  <w:noWrap w:val="0"/>
                  <w:vAlign w:val="center"/>
                </w:tcPr>
                <w:p w14:paraId="4ADEFA8F">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outlineLvl w:val="1"/>
                    <w:rPr>
                      <w:rFonts w:hint="eastAsia" w:ascii="Times New Roman" w:hAnsi="Times New Roman" w:eastAsia="宋体" w:cstheme="minorBidi"/>
                      <w:color w:val="auto"/>
                      <w:kern w:val="2"/>
                      <w:sz w:val="21"/>
                      <w:szCs w:val="21"/>
                      <w:lang w:val="en-US" w:eastAsia="zh-CN" w:bidi="ar-SA"/>
                    </w:rPr>
                  </w:pPr>
                  <w:r>
                    <w:rPr>
                      <w:rFonts w:hint="eastAsia" w:ascii="Times New Roman" w:hAnsi="Times New Roman" w:eastAsia="宋体"/>
                      <w:color w:val="auto"/>
                      <w:sz w:val="21"/>
                      <w:szCs w:val="21"/>
                      <w:lang w:val="en-US" w:eastAsia="zh-CN"/>
                    </w:rPr>
                    <w:t>118m</w:t>
                  </w:r>
                </w:p>
              </w:tc>
              <w:tc>
                <w:tcPr>
                  <w:tcW w:w="1125" w:type="dxa"/>
                  <w:noWrap w:val="0"/>
                  <w:vAlign w:val="center"/>
                </w:tcPr>
                <w:p w14:paraId="230A43D6">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olor w:val="auto"/>
                      <w:sz w:val="21"/>
                      <w:szCs w:val="21"/>
                      <w:lang w:val="en-US" w:eastAsia="zh-CN"/>
                    </w:rPr>
                  </w:pPr>
                  <w:r>
                    <w:rPr>
                      <w:rFonts w:hint="eastAsia" w:ascii="宋体" w:hAnsi="宋体" w:eastAsia="宋体" w:cs="宋体"/>
                      <w:i w:val="0"/>
                      <w:iCs w:val="0"/>
                      <w:color w:val="000000"/>
                      <w:kern w:val="0"/>
                      <w:sz w:val="22"/>
                      <w:szCs w:val="22"/>
                      <w:u w:val="none"/>
                      <w:lang w:val="en-US" w:eastAsia="zh-CN" w:bidi="ar"/>
                    </w:rPr>
                    <w:t>2.2</w:t>
                  </w:r>
                  <w:r>
                    <w:rPr>
                      <w:rFonts w:hint="eastAsia" w:ascii="Times New Roman" w:hAnsi="Times New Roman" w:eastAsia="宋体"/>
                      <w:color w:val="auto"/>
                      <w:sz w:val="21"/>
                      <w:szCs w:val="21"/>
                      <w:lang w:val="en-US" w:eastAsia="zh-CN"/>
                    </w:rPr>
                    <w:t>m</w:t>
                  </w:r>
                </w:p>
              </w:tc>
              <w:tc>
                <w:tcPr>
                  <w:tcW w:w="953" w:type="pct"/>
                  <w:noWrap w:val="0"/>
                  <w:vAlign w:val="center"/>
                </w:tcPr>
                <w:p w14:paraId="3318815C">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eastAsia" w:ascii="Times New Roman" w:hAnsi="Times New Roman" w:eastAsia="宋体" w:cs="宋体"/>
                      <w:color w:val="auto"/>
                      <w:szCs w:val="21"/>
                    </w:rPr>
                  </w:pPr>
                  <w:r>
                    <w:rPr>
                      <w:rFonts w:hint="eastAsia" w:cs="Times New Roman"/>
                      <w:szCs w:val="21"/>
                      <w:lang w:val="en-US" w:eastAsia="zh-CN"/>
                    </w:rPr>
                    <w:t>约15户，50人</w:t>
                  </w:r>
                </w:p>
              </w:tc>
            </w:tr>
            <w:tr w14:paraId="417B5F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287" w:type="pct"/>
                  <w:noWrap w:val="0"/>
                  <w:vAlign w:val="center"/>
                </w:tcPr>
                <w:p w14:paraId="2891C2B7">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right="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16</w:t>
                  </w:r>
                </w:p>
              </w:tc>
              <w:tc>
                <w:tcPr>
                  <w:tcW w:w="898" w:type="pct"/>
                  <w:noWrap w:val="0"/>
                  <w:vAlign w:val="center"/>
                </w:tcPr>
                <w:p w14:paraId="4ED3E81E">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vertAlign w:val="baseline"/>
                      <w:lang w:val="en-US" w:eastAsia="zh-CN"/>
                    </w:rPr>
                  </w:pPr>
                  <w:r>
                    <w:rPr>
                      <w:rFonts w:hint="eastAsia"/>
                      <w:vertAlign w:val="baseline"/>
                      <w:lang w:val="en-US" w:eastAsia="zh-CN"/>
                    </w:rPr>
                    <w:t>张家湾3#居民点</w:t>
                  </w:r>
                </w:p>
              </w:tc>
              <w:tc>
                <w:tcPr>
                  <w:tcW w:w="510" w:type="pct"/>
                  <w:shd w:val="clear" w:color="auto" w:fill="auto"/>
                  <w:noWrap w:val="0"/>
                  <w:vAlign w:val="center"/>
                </w:tcPr>
                <w:p w14:paraId="660B1599">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outlineLvl w:val="1"/>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 w:val="21"/>
                      <w:szCs w:val="21"/>
                      <w:lang w:val="en-US" w:eastAsia="zh-CN"/>
                    </w:rPr>
                    <w:t>东</w:t>
                  </w:r>
                  <w:r>
                    <w:rPr>
                      <w:rFonts w:hint="eastAsia" w:ascii="Times New Roman" w:hAnsi="Times New Roman" w:eastAsia="宋体"/>
                      <w:color w:val="auto"/>
                      <w:sz w:val="21"/>
                      <w:szCs w:val="21"/>
                    </w:rPr>
                    <w:t>北侧</w:t>
                  </w:r>
                </w:p>
              </w:tc>
              <w:tc>
                <w:tcPr>
                  <w:tcW w:w="753" w:type="pct"/>
                  <w:noWrap w:val="0"/>
                  <w:vAlign w:val="center"/>
                </w:tcPr>
                <w:p w14:paraId="602CA899">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outlineLvl w:val="1"/>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138</w:t>
                  </w:r>
                  <w:r>
                    <w:rPr>
                      <w:rFonts w:hint="eastAsia" w:ascii="Times New Roman" w:hAnsi="Times New Roman" w:eastAsia="宋体"/>
                      <w:color w:val="auto"/>
                      <w:sz w:val="21"/>
                      <w:szCs w:val="21"/>
                    </w:rPr>
                    <w:t>m</w:t>
                  </w:r>
                </w:p>
              </w:tc>
              <w:tc>
                <w:tcPr>
                  <w:tcW w:w="862" w:type="pct"/>
                  <w:shd w:val="clear" w:color="auto" w:fill="auto"/>
                  <w:noWrap w:val="0"/>
                  <w:vAlign w:val="center"/>
                </w:tcPr>
                <w:p w14:paraId="23D933B5">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outlineLvl w:val="1"/>
                    <w:rPr>
                      <w:rFonts w:hint="eastAsia" w:ascii="Times New Roman" w:hAnsi="Times New Roman" w:eastAsia="宋体" w:cstheme="minorBidi"/>
                      <w:color w:val="auto"/>
                      <w:kern w:val="2"/>
                      <w:sz w:val="21"/>
                      <w:szCs w:val="21"/>
                      <w:lang w:val="en-US" w:eastAsia="zh-CN" w:bidi="ar-SA"/>
                    </w:rPr>
                  </w:pPr>
                  <w:r>
                    <w:rPr>
                      <w:rFonts w:hint="eastAsia" w:ascii="Times New Roman" w:hAnsi="Times New Roman" w:eastAsia="宋体"/>
                      <w:color w:val="auto"/>
                      <w:sz w:val="21"/>
                      <w:szCs w:val="21"/>
                      <w:lang w:val="en-US" w:eastAsia="zh-CN"/>
                    </w:rPr>
                    <w:t>157</w:t>
                  </w:r>
                  <w:r>
                    <w:rPr>
                      <w:rFonts w:hint="eastAsia" w:ascii="Times New Roman" w:hAnsi="Times New Roman" w:eastAsia="宋体"/>
                      <w:color w:val="auto"/>
                      <w:sz w:val="21"/>
                      <w:szCs w:val="21"/>
                    </w:rPr>
                    <w:t>m</w:t>
                  </w:r>
                </w:p>
              </w:tc>
              <w:tc>
                <w:tcPr>
                  <w:tcW w:w="1125" w:type="dxa"/>
                  <w:noWrap w:val="0"/>
                  <w:vAlign w:val="center"/>
                </w:tcPr>
                <w:p w14:paraId="6E046068">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olor w:val="auto"/>
                      <w:sz w:val="21"/>
                      <w:szCs w:val="21"/>
                      <w:lang w:val="en-US" w:eastAsia="zh-CN"/>
                    </w:rPr>
                  </w:pPr>
                  <w:r>
                    <w:rPr>
                      <w:rFonts w:hint="eastAsia" w:ascii="宋体" w:hAnsi="宋体" w:eastAsia="宋体" w:cs="宋体"/>
                      <w:i w:val="0"/>
                      <w:iCs w:val="0"/>
                      <w:color w:val="000000"/>
                      <w:kern w:val="0"/>
                      <w:sz w:val="22"/>
                      <w:szCs w:val="22"/>
                      <w:u w:val="none"/>
                      <w:lang w:val="en-US" w:eastAsia="zh-CN" w:bidi="ar"/>
                    </w:rPr>
                    <w:t>-2.7</w:t>
                  </w:r>
                  <w:r>
                    <w:rPr>
                      <w:rFonts w:hint="eastAsia" w:ascii="Times New Roman" w:hAnsi="Times New Roman" w:eastAsia="宋体"/>
                      <w:color w:val="auto"/>
                      <w:sz w:val="21"/>
                      <w:szCs w:val="21"/>
                      <w:lang w:val="en-US" w:eastAsia="zh-CN"/>
                    </w:rPr>
                    <w:t>m</w:t>
                  </w:r>
                </w:p>
              </w:tc>
              <w:tc>
                <w:tcPr>
                  <w:tcW w:w="953" w:type="pct"/>
                  <w:noWrap w:val="0"/>
                  <w:vAlign w:val="center"/>
                </w:tcPr>
                <w:p w14:paraId="642F3C84">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eastAsia" w:cs="Times New Roman"/>
                      <w:szCs w:val="21"/>
                      <w:lang w:val="en-US" w:eastAsia="zh-CN"/>
                    </w:rPr>
                  </w:pPr>
                  <w:r>
                    <w:rPr>
                      <w:rFonts w:hint="eastAsia" w:cs="Times New Roman"/>
                      <w:szCs w:val="21"/>
                      <w:lang w:val="en-US" w:eastAsia="zh-CN"/>
                    </w:rPr>
                    <w:t>6户，20人</w:t>
                  </w:r>
                </w:p>
              </w:tc>
            </w:tr>
            <w:tr w14:paraId="0BAE23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287" w:type="pct"/>
                  <w:noWrap w:val="0"/>
                  <w:vAlign w:val="center"/>
                </w:tcPr>
                <w:p w14:paraId="546C3E19">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right="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17</w:t>
                  </w:r>
                </w:p>
              </w:tc>
              <w:tc>
                <w:tcPr>
                  <w:tcW w:w="898" w:type="pct"/>
                  <w:noWrap w:val="0"/>
                  <w:vAlign w:val="center"/>
                </w:tcPr>
                <w:p w14:paraId="3DB57915">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vertAlign w:val="baseline"/>
                      <w:lang w:val="en-US" w:eastAsia="zh-CN"/>
                    </w:rPr>
                  </w:pPr>
                  <w:r>
                    <w:rPr>
                      <w:rFonts w:hint="eastAsia"/>
                      <w:vertAlign w:val="baseline"/>
                      <w:lang w:val="en-US" w:eastAsia="zh-CN"/>
                    </w:rPr>
                    <w:t>小鱼箭居民点</w:t>
                  </w:r>
                </w:p>
              </w:tc>
              <w:tc>
                <w:tcPr>
                  <w:tcW w:w="510" w:type="pct"/>
                  <w:shd w:val="clear" w:color="auto" w:fill="auto"/>
                  <w:noWrap w:val="0"/>
                  <w:vAlign w:val="center"/>
                </w:tcPr>
                <w:p w14:paraId="070B8D9D">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outlineLvl w:val="1"/>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 w:val="21"/>
                      <w:szCs w:val="21"/>
                      <w:lang w:val="en-US" w:eastAsia="zh-CN"/>
                    </w:rPr>
                    <w:t>东</w:t>
                  </w:r>
                  <w:r>
                    <w:rPr>
                      <w:rFonts w:hint="eastAsia" w:ascii="Times New Roman" w:hAnsi="Times New Roman" w:eastAsia="宋体"/>
                      <w:color w:val="auto"/>
                      <w:sz w:val="21"/>
                      <w:szCs w:val="21"/>
                    </w:rPr>
                    <w:t>北侧</w:t>
                  </w:r>
                </w:p>
              </w:tc>
              <w:tc>
                <w:tcPr>
                  <w:tcW w:w="753" w:type="pct"/>
                  <w:noWrap w:val="0"/>
                  <w:vAlign w:val="center"/>
                </w:tcPr>
                <w:p w14:paraId="47A795CE">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outlineLvl w:val="1"/>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330</w:t>
                  </w:r>
                  <w:r>
                    <w:rPr>
                      <w:rFonts w:hint="eastAsia" w:ascii="Times New Roman" w:hAnsi="Times New Roman" w:eastAsia="宋体"/>
                      <w:color w:val="auto"/>
                      <w:sz w:val="21"/>
                      <w:szCs w:val="21"/>
                    </w:rPr>
                    <w:t>m</w:t>
                  </w:r>
                </w:p>
              </w:tc>
              <w:tc>
                <w:tcPr>
                  <w:tcW w:w="862" w:type="pct"/>
                  <w:shd w:val="clear" w:color="auto" w:fill="auto"/>
                  <w:noWrap w:val="0"/>
                  <w:vAlign w:val="center"/>
                </w:tcPr>
                <w:p w14:paraId="70482D76">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outlineLvl w:val="1"/>
                    <w:rPr>
                      <w:rFonts w:hint="eastAsia" w:ascii="Times New Roman" w:hAnsi="Times New Roman" w:eastAsia="宋体" w:cstheme="minorBidi"/>
                      <w:color w:val="auto"/>
                      <w:kern w:val="2"/>
                      <w:sz w:val="21"/>
                      <w:szCs w:val="21"/>
                      <w:lang w:val="en-US" w:eastAsia="zh-CN" w:bidi="ar-SA"/>
                    </w:rPr>
                  </w:pPr>
                  <w:r>
                    <w:rPr>
                      <w:rFonts w:hint="eastAsia" w:ascii="Times New Roman" w:hAnsi="Times New Roman" w:eastAsia="宋体"/>
                      <w:color w:val="auto"/>
                      <w:sz w:val="21"/>
                      <w:szCs w:val="21"/>
                      <w:lang w:val="en-US" w:eastAsia="zh-CN"/>
                    </w:rPr>
                    <w:t>360</w:t>
                  </w:r>
                  <w:r>
                    <w:rPr>
                      <w:rFonts w:hint="eastAsia" w:ascii="Times New Roman" w:hAnsi="Times New Roman" w:eastAsia="宋体"/>
                      <w:color w:val="auto"/>
                      <w:sz w:val="21"/>
                      <w:szCs w:val="21"/>
                    </w:rPr>
                    <w:t>m</w:t>
                  </w:r>
                </w:p>
              </w:tc>
              <w:tc>
                <w:tcPr>
                  <w:tcW w:w="1125" w:type="dxa"/>
                  <w:noWrap w:val="0"/>
                  <w:vAlign w:val="center"/>
                </w:tcPr>
                <w:p w14:paraId="04927305">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olor w:val="auto"/>
                      <w:sz w:val="21"/>
                      <w:szCs w:val="21"/>
                      <w:lang w:val="en-US" w:eastAsia="zh-CN"/>
                    </w:rPr>
                  </w:pPr>
                  <w:r>
                    <w:rPr>
                      <w:rFonts w:hint="eastAsia" w:ascii="宋体" w:hAnsi="宋体" w:eastAsia="宋体" w:cs="宋体"/>
                      <w:i w:val="0"/>
                      <w:iCs w:val="0"/>
                      <w:color w:val="000000"/>
                      <w:kern w:val="0"/>
                      <w:sz w:val="22"/>
                      <w:szCs w:val="22"/>
                      <w:u w:val="none"/>
                      <w:lang w:val="en-US" w:eastAsia="zh-CN" w:bidi="ar"/>
                    </w:rPr>
                    <w:t>2.9</w:t>
                  </w:r>
                  <w:r>
                    <w:rPr>
                      <w:rFonts w:hint="eastAsia" w:ascii="Times New Roman" w:hAnsi="Times New Roman" w:eastAsia="宋体"/>
                      <w:color w:val="auto"/>
                      <w:sz w:val="21"/>
                      <w:szCs w:val="21"/>
                      <w:lang w:val="en-US" w:eastAsia="zh-CN"/>
                    </w:rPr>
                    <w:t>m</w:t>
                  </w:r>
                </w:p>
              </w:tc>
              <w:tc>
                <w:tcPr>
                  <w:tcW w:w="953" w:type="pct"/>
                  <w:noWrap w:val="0"/>
                  <w:vAlign w:val="center"/>
                </w:tcPr>
                <w:p w14:paraId="26462D0F">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eastAsia" w:cs="Times New Roman"/>
                      <w:szCs w:val="21"/>
                      <w:lang w:val="en-US" w:eastAsia="zh-CN"/>
                    </w:rPr>
                  </w:pPr>
                  <w:r>
                    <w:rPr>
                      <w:rFonts w:hint="eastAsia" w:cs="Times New Roman"/>
                      <w:szCs w:val="21"/>
                      <w:lang w:val="en-US" w:eastAsia="zh-CN"/>
                    </w:rPr>
                    <w:t>约23户，70人</w:t>
                  </w:r>
                </w:p>
              </w:tc>
            </w:tr>
            <w:tr w14:paraId="5AE0C2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287" w:type="pct"/>
                  <w:noWrap w:val="0"/>
                  <w:vAlign w:val="center"/>
                </w:tcPr>
                <w:p w14:paraId="0B368728">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right="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18</w:t>
                  </w:r>
                </w:p>
              </w:tc>
              <w:tc>
                <w:tcPr>
                  <w:tcW w:w="898" w:type="pct"/>
                  <w:noWrap w:val="0"/>
                  <w:vAlign w:val="center"/>
                </w:tcPr>
                <w:p w14:paraId="0742BA2F">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vertAlign w:val="baseline"/>
                      <w:lang w:val="en-US" w:eastAsia="zh-CN"/>
                    </w:rPr>
                  </w:pPr>
                  <w:r>
                    <w:rPr>
                      <w:rFonts w:hint="eastAsia"/>
                      <w:vertAlign w:val="baseline"/>
                      <w:lang w:val="en-US" w:eastAsia="zh-CN"/>
                    </w:rPr>
                    <w:t>寨上居民点</w:t>
                  </w:r>
                </w:p>
              </w:tc>
              <w:tc>
                <w:tcPr>
                  <w:tcW w:w="510" w:type="pct"/>
                  <w:shd w:val="clear" w:color="auto" w:fill="auto"/>
                  <w:noWrap w:val="0"/>
                  <w:vAlign w:val="center"/>
                </w:tcPr>
                <w:p w14:paraId="2FC3EFA6">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outlineLvl w:val="1"/>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 w:val="21"/>
                      <w:szCs w:val="21"/>
                      <w:lang w:val="en-US" w:eastAsia="zh-CN"/>
                    </w:rPr>
                    <w:t>东</w:t>
                  </w:r>
                  <w:r>
                    <w:rPr>
                      <w:rFonts w:hint="eastAsia" w:ascii="Times New Roman" w:hAnsi="Times New Roman" w:eastAsia="宋体"/>
                      <w:color w:val="auto"/>
                      <w:sz w:val="21"/>
                      <w:szCs w:val="21"/>
                    </w:rPr>
                    <w:t>侧</w:t>
                  </w:r>
                </w:p>
              </w:tc>
              <w:tc>
                <w:tcPr>
                  <w:tcW w:w="753" w:type="pct"/>
                  <w:noWrap w:val="0"/>
                  <w:vAlign w:val="center"/>
                </w:tcPr>
                <w:p w14:paraId="20DF59FB">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outlineLvl w:val="1"/>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188</w:t>
                  </w:r>
                  <w:r>
                    <w:rPr>
                      <w:rFonts w:hint="eastAsia" w:ascii="Times New Roman" w:hAnsi="Times New Roman" w:eastAsia="宋体"/>
                      <w:color w:val="auto"/>
                      <w:sz w:val="21"/>
                      <w:szCs w:val="21"/>
                    </w:rPr>
                    <w:t>m</w:t>
                  </w:r>
                </w:p>
              </w:tc>
              <w:tc>
                <w:tcPr>
                  <w:tcW w:w="862" w:type="pct"/>
                  <w:shd w:val="clear" w:color="auto" w:fill="auto"/>
                  <w:noWrap w:val="0"/>
                  <w:vAlign w:val="center"/>
                </w:tcPr>
                <w:p w14:paraId="36C1F60C">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outlineLvl w:val="1"/>
                    <w:rPr>
                      <w:rFonts w:hint="eastAsia" w:ascii="Times New Roman" w:hAnsi="Times New Roman" w:eastAsia="宋体" w:cstheme="minorBidi"/>
                      <w:color w:val="auto"/>
                      <w:kern w:val="2"/>
                      <w:sz w:val="21"/>
                      <w:szCs w:val="21"/>
                      <w:lang w:val="en-US" w:eastAsia="zh-CN" w:bidi="ar-SA"/>
                    </w:rPr>
                  </w:pPr>
                  <w:r>
                    <w:rPr>
                      <w:rFonts w:hint="eastAsia" w:ascii="Times New Roman" w:hAnsi="Times New Roman" w:eastAsia="宋体"/>
                      <w:color w:val="auto"/>
                      <w:sz w:val="21"/>
                      <w:szCs w:val="21"/>
                      <w:lang w:val="en-US" w:eastAsia="zh-CN"/>
                    </w:rPr>
                    <w:t>219</w:t>
                  </w:r>
                  <w:r>
                    <w:rPr>
                      <w:rFonts w:hint="eastAsia" w:ascii="Times New Roman" w:hAnsi="Times New Roman" w:eastAsia="宋体"/>
                      <w:color w:val="auto"/>
                      <w:sz w:val="21"/>
                      <w:szCs w:val="21"/>
                    </w:rPr>
                    <w:t>m</w:t>
                  </w:r>
                </w:p>
              </w:tc>
              <w:tc>
                <w:tcPr>
                  <w:tcW w:w="1125" w:type="dxa"/>
                  <w:noWrap w:val="0"/>
                  <w:vAlign w:val="center"/>
                </w:tcPr>
                <w:p w14:paraId="0B2DC41E">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olor w:val="auto"/>
                      <w:sz w:val="21"/>
                      <w:szCs w:val="21"/>
                      <w:lang w:val="en-US" w:eastAsia="zh-CN"/>
                    </w:rPr>
                  </w:pPr>
                  <w:r>
                    <w:rPr>
                      <w:rFonts w:hint="eastAsia" w:ascii="宋体" w:hAnsi="宋体" w:eastAsia="宋体" w:cs="宋体"/>
                      <w:i w:val="0"/>
                      <w:iCs w:val="0"/>
                      <w:color w:val="000000"/>
                      <w:kern w:val="0"/>
                      <w:sz w:val="22"/>
                      <w:szCs w:val="22"/>
                      <w:u w:val="none"/>
                      <w:lang w:val="en-US" w:eastAsia="zh-CN" w:bidi="ar"/>
                    </w:rPr>
                    <w:t>-0.8</w:t>
                  </w:r>
                  <w:r>
                    <w:rPr>
                      <w:rFonts w:hint="eastAsia" w:ascii="Times New Roman" w:hAnsi="Times New Roman" w:eastAsia="宋体"/>
                      <w:color w:val="auto"/>
                      <w:sz w:val="21"/>
                      <w:szCs w:val="21"/>
                      <w:lang w:val="en-US" w:eastAsia="zh-CN"/>
                    </w:rPr>
                    <w:t>m</w:t>
                  </w:r>
                </w:p>
              </w:tc>
              <w:tc>
                <w:tcPr>
                  <w:tcW w:w="953" w:type="pct"/>
                  <w:noWrap w:val="0"/>
                  <w:vAlign w:val="center"/>
                </w:tcPr>
                <w:p w14:paraId="0AFA2D0A">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eastAsia" w:cs="Times New Roman"/>
                      <w:szCs w:val="21"/>
                      <w:lang w:val="en-US" w:eastAsia="zh-CN"/>
                    </w:rPr>
                  </w:pPr>
                  <w:r>
                    <w:rPr>
                      <w:rFonts w:hint="eastAsia" w:cs="Times New Roman"/>
                      <w:szCs w:val="21"/>
                      <w:lang w:val="en-US" w:eastAsia="zh-CN"/>
                    </w:rPr>
                    <w:t>约31户，100人</w:t>
                  </w:r>
                </w:p>
              </w:tc>
            </w:tr>
          </w:tbl>
          <w:p w14:paraId="65318ADA">
            <w:pPr>
              <w:pStyle w:val="72"/>
              <w:keepNext w:val="0"/>
              <w:keepLines w:val="0"/>
              <w:suppressLineNumbers w:val="0"/>
              <w:spacing w:before="120" w:beforeLines="50" w:beforeAutospacing="0" w:after="0" w:afterAutospacing="0"/>
              <w:ind w:left="0" w:right="0" w:firstLine="480" w:firstLineChars="200"/>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rPr>
              <w:t>由上表可知，</w:t>
            </w:r>
            <w:r>
              <w:rPr>
                <w:rFonts w:hint="eastAsia" w:ascii="Times New Roman" w:hAnsi="Times New Roman" w:eastAsia="宋体" w:cs="Times New Roman"/>
                <w:color w:val="auto"/>
                <w:lang w:eastAsia="zh-CN"/>
              </w:rPr>
              <w:t>项目所在地周围主要是农村环境</w:t>
            </w:r>
            <w:r>
              <w:rPr>
                <w:rFonts w:hint="eastAsia" w:ascii="Times New Roman" w:hAnsi="Times New Roman" w:eastAsia="宋体" w:cs="Times New Roman"/>
                <w:color w:val="auto"/>
              </w:rPr>
              <w:t>，项目厂界外500m范围内环境敏感点主要为</w:t>
            </w:r>
            <w:r>
              <w:rPr>
                <w:rFonts w:hint="eastAsia" w:cs="Times New Roman"/>
                <w:color w:val="auto"/>
                <w:lang w:val="en-US" w:eastAsia="zh-CN"/>
              </w:rPr>
              <w:t>农村</w:t>
            </w:r>
            <w:r>
              <w:rPr>
                <w:rFonts w:hint="eastAsia" w:ascii="Times New Roman" w:hAnsi="Times New Roman" w:eastAsia="宋体" w:cs="Times New Roman"/>
                <w:color w:val="auto"/>
                <w:lang w:val="en-US" w:eastAsia="zh-CN"/>
              </w:rPr>
              <w:t>居民点</w:t>
            </w:r>
            <w:r>
              <w:rPr>
                <w:rFonts w:hint="eastAsia" w:ascii="Times New Roman" w:hAnsi="Times New Roman" w:eastAsia="宋体" w:cs="Times New Roman"/>
                <w:color w:val="auto"/>
              </w:rPr>
              <w:t>。</w:t>
            </w:r>
          </w:p>
          <w:p w14:paraId="47C42B85">
            <w:pPr>
              <w:pStyle w:val="72"/>
              <w:keepNext w:val="0"/>
              <w:keepLines w:val="0"/>
              <w:suppressLineNumbers w:val="0"/>
              <w:spacing w:before="0" w:beforeAutospacing="0" w:after="0" w:afterAutospacing="0"/>
              <w:ind w:left="0" w:right="0" w:firstLine="482" w:firstLineChars="200"/>
              <w:rPr>
                <w:rFonts w:hint="default" w:ascii="Times New Roman" w:hAnsi="Times New Roman" w:eastAsia="宋体" w:cs="Times New Roman"/>
                <w:color w:val="auto"/>
              </w:rPr>
            </w:pPr>
            <w:r>
              <w:rPr>
                <w:rFonts w:hint="eastAsia" w:ascii="Times New Roman" w:hAnsi="Times New Roman" w:eastAsia="宋体" w:cs="Times New Roman"/>
                <w:b/>
                <w:bCs/>
                <w:color w:val="auto"/>
              </w:rPr>
              <w:t>2）环境相容性分析</w:t>
            </w:r>
          </w:p>
          <w:p w14:paraId="5BFAB033">
            <w:pPr>
              <w:pStyle w:val="72"/>
              <w:keepNext w:val="0"/>
              <w:keepLines w:val="0"/>
              <w:suppressLineNumbers w:val="0"/>
              <w:spacing w:before="0" w:beforeAutospacing="0" w:after="0" w:afterAutospacing="0"/>
              <w:ind w:left="0" w:right="0" w:firstLine="482" w:firstLineChars="200"/>
              <w:rPr>
                <w:rFonts w:hint="default" w:ascii="Times New Roman" w:hAnsi="Times New Roman" w:eastAsia="宋体" w:cs="Times New Roman"/>
                <w:b/>
                <w:bCs/>
                <w:color w:val="auto"/>
              </w:rPr>
            </w:pPr>
            <w:r>
              <w:rPr>
                <w:rFonts w:hint="eastAsia" w:ascii="Times New Roman" w:hAnsi="Times New Roman" w:eastAsia="宋体" w:cs="Times New Roman"/>
                <w:b/>
                <w:bCs/>
                <w:color w:val="auto"/>
              </w:rPr>
              <w:t>①外环境对本项目的影响</w:t>
            </w:r>
          </w:p>
          <w:p w14:paraId="3968A380">
            <w:pPr>
              <w:pStyle w:val="72"/>
              <w:keepNext w:val="0"/>
              <w:keepLines w:val="0"/>
              <w:suppressLineNumbers w:val="0"/>
              <w:spacing w:before="0" w:beforeAutospacing="0" w:after="0" w:afterAutospacing="0"/>
              <w:ind w:left="0" w:right="0" w:firstLine="480" w:firstLineChars="200"/>
              <w:rPr>
                <w:rFonts w:hint="default" w:ascii="Times New Roman" w:hAnsi="Times New Roman" w:eastAsia="宋体" w:cs="Times New Roman"/>
                <w:color w:val="auto"/>
              </w:rPr>
            </w:pPr>
            <w:r>
              <w:rPr>
                <w:rFonts w:hint="eastAsia" w:ascii="Times New Roman" w:hAnsi="Times New Roman" w:eastAsia="宋体" w:cs="Times New Roman"/>
                <w:color w:val="auto"/>
              </w:rPr>
              <w:t>本项目为</w:t>
            </w:r>
            <w:r>
              <w:rPr>
                <w:rFonts w:hint="eastAsia" w:cs="Times New Roman"/>
                <w:color w:val="auto"/>
                <w:lang w:val="en-US" w:eastAsia="zh-CN"/>
              </w:rPr>
              <w:t>砂石制造</w:t>
            </w: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rPr>
              <w:t>项目营运过程对外环境无特殊要求</w:t>
            </w:r>
            <w:r>
              <w:rPr>
                <w:rFonts w:hint="eastAsia" w:cs="Times New Roman"/>
                <w:color w:val="auto"/>
                <w:lang w:eastAsia="zh-CN"/>
              </w:rPr>
              <w:t>，根</w:t>
            </w:r>
            <w:r>
              <w:rPr>
                <w:rFonts w:hint="eastAsia" w:ascii="Times New Roman" w:hAnsi="Times New Roman" w:eastAsia="宋体" w:cs="Times New Roman"/>
                <w:color w:val="auto"/>
              </w:rPr>
              <w:t>据现场踏勘，本项目周边企业主要为</w:t>
            </w:r>
            <w:r>
              <w:rPr>
                <w:rFonts w:hint="eastAsia" w:cs="Times New Roman"/>
                <w:color w:val="auto"/>
                <w:lang w:val="en-US" w:eastAsia="zh-CN"/>
              </w:rPr>
              <w:t>农田、林地及居民点</w:t>
            </w:r>
            <w:r>
              <w:rPr>
                <w:rFonts w:hint="eastAsia" w:ascii="Times New Roman" w:hAnsi="Times New Roman" w:eastAsia="宋体" w:cs="Times New Roman"/>
                <w:color w:val="auto"/>
              </w:rPr>
              <w:t>，周边环境不会对本项目形成明显的制约。</w:t>
            </w:r>
          </w:p>
          <w:p w14:paraId="086F11A9">
            <w:pPr>
              <w:pStyle w:val="72"/>
              <w:keepNext w:val="0"/>
              <w:keepLines w:val="0"/>
              <w:suppressLineNumbers w:val="0"/>
              <w:spacing w:before="0" w:beforeAutospacing="0" w:after="0" w:afterAutospacing="0"/>
              <w:ind w:left="0" w:right="0" w:firstLine="482" w:firstLineChars="200"/>
              <w:rPr>
                <w:rFonts w:hint="default"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②本项目对外环境的影响</w:t>
            </w:r>
          </w:p>
          <w:p w14:paraId="4B269E2D">
            <w:pPr>
              <w:keepNext w:val="0"/>
              <w:keepLines w:val="0"/>
              <w:suppressLineNumbers w:val="0"/>
              <w:adjustRightInd w:val="0"/>
              <w:snapToGrid w:val="0"/>
              <w:spacing w:before="0" w:beforeAutospacing="0" w:after="0" w:afterAutospacing="0" w:line="360" w:lineRule="auto"/>
              <w:ind w:left="0" w:right="0" w:firstLine="480" w:firstLineChars="200"/>
              <w:rPr>
                <w:rFonts w:hint="eastAsia" w:cs="Times New Roman"/>
                <w:sz w:val="24"/>
                <w:lang w:val="en-US" w:eastAsia="zh-CN"/>
              </w:rPr>
            </w:pPr>
            <w:r>
              <w:rPr>
                <w:rFonts w:hint="eastAsia" w:ascii="Times New Roman" w:hAnsi="Times New Roman" w:eastAsia="宋体" w:cs="Times New Roman"/>
                <w:color w:val="auto"/>
                <w:kern w:val="2"/>
                <w:sz w:val="24"/>
                <w:szCs w:val="24"/>
                <w:lang w:val="en-US" w:eastAsia="zh-CN" w:bidi="ar-SA"/>
              </w:rPr>
              <w:t>本项目厂界外50m范围内声环境敏感目标为大鱼箭1#居民点、大鱼箭2#居民点、张家湾</w:t>
            </w:r>
            <w:r>
              <w:rPr>
                <w:rFonts w:hint="eastAsia" w:cs="Times New Roman"/>
                <w:color w:val="auto"/>
                <w:kern w:val="2"/>
                <w:sz w:val="24"/>
                <w:szCs w:val="24"/>
                <w:lang w:val="en-US" w:eastAsia="zh-CN" w:bidi="ar-SA"/>
              </w:rPr>
              <w:t>1#</w:t>
            </w:r>
            <w:r>
              <w:rPr>
                <w:rFonts w:hint="eastAsia" w:ascii="Times New Roman" w:hAnsi="Times New Roman" w:eastAsia="宋体" w:cs="Times New Roman"/>
                <w:color w:val="auto"/>
                <w:kern w:val="2"/>
                <w:sz w:val="24"/>
                <w:szCs w:val="24"/>
                <w:lang w:val="en-US" w:eastAsia="zh-CN" w:bidi="ar-SA"/>
              </w:rPr>
              <w:t>居民点</w:t>
            </w:r>
            <w:r>
              <w:rPr>
                <w:rFonts w:hint="eastAsia" w:cs="Times New Roman"/>
                <w:sz w:val="24"/>
                <w:lang w:eastAsia="zh-CN"/>
              </w:rPr>
              <w:t>；</w:t>
            </w:r>
            <w:r>
              <w:rPr>
                <w:rFonts w:hint="eastAsia" w:ascii="Times New Roman" w:hAnsi="Times New Roman" w:eastAsia="宋体" w:cs="Times New Roman"/>
                <w:sz w:val="24"/>
              </w:rPr>
              <w:t>本项目厂界外500m范围内大气环境敏感目标为</w:t>
            </w:r>
            <w:r>
              <w:rPr>
                <w:rFonts w:hint="eastAsia" w:ascii="Times New Roman" w:hAnsi="Times New Roman" w:eastAsia="宋体" w:cs="Times New Roman"/>
                <w:color w:val="auto"/>
                <w:kern w:val="2"/>
                <w:sz w:val="24"/>
                <w:szCs w:val="24"/>
                <w:lang w:val="en-US" w:eastAsia="zh-CN" w:bidi="ar-SA"/>
              </w:rPr>
              <w:t>大鱼箭居民点、</w:t>
            </w:r>
            <w:r>
              <w:rPr>
                <w:rFonts w:hint="eastAsia" w:ascii="Times New Roman" w:hAnsi="Times New Roman" w:eastAsia="宋体"/>
                <w:color w:val="auto"/>
                <w:sz w:val="24"/>
                <w:szCs w:val="24"/>
                <w:lang w:val="en-US" w:eastAsia="zh-CN"/>
              </w:rPr>
              <w:t>栀子坝居民点、</w:t>
            </w:r>
            <w:r>
              <w:rPr>
                <w:rFonts w:hint="eastAsia"/>
                <w:sz w:val="24"/>
                <w:szCs w:val="24"/>
                <w:vertAlign w:val="baseline"/>
                <w:lang w:val="en-US" w:eastAsia="zh-CN"/>
              </w:rPr>
              <w:t>新湾居民点等15处居民点，项目外环境较为敏感</w:t>
            </w:r>
            <w:r>
              <w:rPr>
                <w:rFonts w:hint="eastAsia" w:ascii="Times New Roman" w:hAnsi="Times New Roman" w:eastAsia="宋体" w:cs="宋体"/>
                <w:color w:val="auto"/>
                <w:sz w:val="24"/>
                <w:szCs w:val="24"/>
                <w:lang w:val="en-US" w:eastAsia="zh-CN"/>
              </w:rPr>
              <w:t>。</w:t>
            </w:r>
            <w:r>
              <w:rPr>
                <w:rFonts w:hint="eastAsia" w:ascii="Times New Roman" w:hAnsi="Times New Roman" w:eastAsia="宋体" w:cs="Times New Roman"/>
                <w:sz w:val="24"/>
                <w:szCs w:val="24"/>
              </w:rPr>
              <w:t>本项目营运期</w:t>
            </w:r>
            <w:r>
              <w:rPr>
                <w:rFonts w:hint="eastAsia" w:cs="Times New Roman"/>
                <w:sz w:val="24"/>
                <w:szCs w:val="24"/>
                <w:lang w:val="en-US" w:eastAsia="zh-CN"/>
              </w:rPr>
              <w:t>过程对外环境产生的主要影响为粉尘废气和噪声。根据项目所在区域环境现状监测报告可知区域环境空气满足《环境空气质量标准》（GB3095-2012）二级标准及《声环境质量标准》（GB3096-2008）中2类标准，有一定的环境容量。根据项目外环境关系图可知除</w:t>
            </w:r>
            <w:r>
              <w:rPr>
                <w:rFonts w:hint="eastAsia"/>
                <w:sz w:val="24"/>
                <w:szCs w:val="24"/>
                <w:vertAlign w:val="baseline"/>
                <w:lang w:val="en-US" w:eastAsia="zh-CN"/>
              </w:rPr>
              <w:t>大鱼箭2#-4#居民点，其余敏感目标均分布在项目上风向或侧风向，本项目对生产区采取了密闭措施，项目生产过程采取湿料加工，原料堆场、成品仓区域敷设防尘网并设置喷淋降尘装置，采取上述措施后能确保粉尘废气达标排放；项目</w:t>
            </w:r>
            <w:r>
              <w:rPr>
                <w:rFonts w:hint="eastAsia" w:cs="Times New Roman"/>
                <w:sz w:val="24"/>
                <w:szCs w:val="24"/>
                <w:lang w:val="en-US" w:eastAsia="zh-CN"/>
              </w:rPr>
              <w:t>噪声经基础减振和厂房隔声等措施，经预测本项目建成后项目厂界噪声能实现达标排放，周边声环境敏感点处噪声能满足《声环境质量标准》（GB3096-2008）中2类标准要求；本项目生活污水经预处理池处理后定期由槽罐车转运至邻水县大步口污水处理站进行进一步处理后排入大洪河；洗砂废水、降尘废水、车辆冲洗废水和初期雨水经絮凝沉淀+压滤处理后回用于生产；项目固废去向明确，均可得到合理处置。</w:t>
            </w:r>
          </w:p>
          <w:p w14:paraId="51023A2E">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sz w:val="24"/>
              </w:rPr>
            </w:pPr>
            <w:r>
              <w:rPr>
                <w:rFonts w:hint="eastAsia" w:ascii="Times New Roman" w:hAnsi="Times New Roman" w:eastAsia="宋体" w:cs="Times New Roman"/>
                <w:sz w:val="24"/>
              </w:rPr>
              <w:t>采取相应的环保措施后，尤其是采取严格的废气和噪声治理措施后，项目在营运过程中产生的污染物经严格治理后均能实现达标排放。本项目的建设对周围环境的影响较小。</w:t>
            </w:r>
          </w:p>
          <w:p w14:paraId="749FE79D">
            <w:pPr>
              <w:pStyle w:val="22"/>
              <w:keepNext w:val="0"/>
              <w:keepLines w:val="0"/>
              <w:suppressLineNumbers w:val="0"/>
              <w:spacing w:before="0" w:beforeAutospacing="0" w:after="0" w:afterAutospacing="0" w:line="360" w:lineRule="auto"/>
              <w:ind w:left="0" w:right="0" w:firstLine="482" w:firstLineChars="200"/>
              <w:jc w:val="both"/>
              <w:outlineLvl w:val="0"/>
              <w:rPr>
                <w:rFonts w:hint="default" w:ascii="Times New Roman" w:hAnsi="Times New Roman" w:eastAsia="宋体" w:cs="Times New Roman"/>
                <w:b/>
                <w:bCs/>
                <w:szCs w:val="24"/>
              </w:rPr>
            </w:pPr>
            <w:r>
              <w:rPr>
                <w:rFonts w:hint="default" w:ascii="Times New Roman" w:hAnsi="Times New Roman" w:eastAsia="宋体" w:cs="Times New Roman"/>
                <w:b/>
                <w:bCs/>
                <w:szCs w:val="24"/>
              </w:rPr>
              <w:t>综上所述，本项目与周边环境相容，项目选址合理。</w:t>
            </w:r>
          </w:p>
          <w:p w14:paraId="0CE97368">
            <w:pPr>
              <w:pStyle w:val="22"/>
              <w:keepNext w:val="0"/>
              <w:keepLines w:val="0"/>
              <w:suppressLineNumbers w:val="0"/>
              <w:spacing w:before="0" w:beforeAutospacing="0" w:after="0" w:afterAutospacing="0" w:line="360" w:lineRule="auto"/>
              <w:ind w:left="0" w:right="0" w:firstLine="482" w:firstLineChars="200"/>
              <w:jc w:val="both"/>
              <w:outlineLvl w:val="0"/>
              <w:rPr>
                <w:rFonts w:hint="default" w:ascii="Times New Roman" w:hAnsi="Times New Roman" w:eastAsia="宋体" w:cs="Times New Roman"/>
                <w:b/>
                <w:bCs/>
                <w:szCs w:val="24"/>
              </w:rPr>
            </w:pPr>
          </w:p>
          <w:p w14:paraId="6456F3FF">
            <w:pPr>
              <w:pStyle w:val="22"/>
              <w:keepNext w:val="0"/>
              <w:keepLines w:val="0"/>
              <w:suppressLineNumbers w:val="0"/>
              <w:spacing w:before="0" w:beforeAutospacing="0" w:after="0" w:afterAutospacing="0" w:line="360" w:lineRule="auto"/>
              <w:ind w:left="0" w:right="0" w:firstLine="482" w:firstLineChars="200"/>
              <w:jc w:val="both"/>
              <w:outlineLvl w:val="0"/>
              <w:rPr>
                <w:rFonts w:hint="default" w:ascii="Times New Roman" w:hAnsi="Times New Roman" w:eastAsia="宋体" w:cs="Times New Roman"/>
                <w:b/>
                <w:bCs/>
                <w:szCs w:val="24"/>
              </w:rPr>
            </w:pPr>
          </w:p>
          <w:p w14:paraId="01E41DA8">
            <w:pPr>
              <w:pStyle w:val="22"/>
              <w:keepNext w:val="0"/>
              <w:keepLines w:val="0"/>
              <w:suppressLineNumbers w:val="0"/>
              <w:spacing w:before="0" w:beforeAutospacing="0" w:after="0" w:afterAutospacing="0" w:line="360" w:lineRule="auto"/>
              <w:ind w:left="0" w:right="0" w:firstLine="482" w:firstLineChars="200"/>
              <w:jc w:val="both"/>
              <w:outlineLvl w:val="0"/>
              <w:rPr>
                <w:rFonts w:hint="default" w:ascii="Times New Roman" w:hAnsi="Times New Roman" w:eastAsia="宋体" w:cs="Times New Roman"/>
                <w:b/>
                <w:bCs/>
                <w:szCs w:val="24"/>
              </w:rPr>
            </w:pPr>
          </w:p>
          <w:p w14:paraId="207447AD">
            <w:pPr>
              <w:pStyle w:val="22"/>
              <w:keepNext w:val="0"/>
              <w:keepLines w:val="0"/>
              <w:suppressLineNumbers w:val="0"/>
              <w:spacing w:before="0" w:beforeAutospacing="0" w:after="0" w:afterAutospacing="0" w:line="360" w:lineRule="auto"/>
              <w:ind w:left="0" w:right="0" w:firstLine="482" w:firstLineChars="200"/>
              <w:jc w:val="both"/>
              <w:outlineLvl w:val="0"/>
              <w:rPr>
                <w:rFonts w:hint="default" w:ascii="Times New Roman" w:hAnsi="Times New Roman" w:eastAsia="宋体" w:cs="Times New Roman"/>
                <w:b/>
                <w:bCs/>
                <w:szCs w:val="24"/>
              </w:rPr>
            </w:pPr>
          </w:p>
          <w:p w14:paraId="767F8AEA">
            <w:pPr>
              <w:pStyle w:val="22"/>
              <w:keepNext w:val="0"/>
              <w:keepLines w:val="0"/>
              <w:suppressLineNumbers w:val="0"/>
              <w:spacing w:before="0" w:beforeAutospacing="0" w:after="0" w:afterAutospacing="0" w:line="360" w:lineRule="auto"/>
              <w:ind w:left="0" w:right="0" w:firstLine="482" w:firstLineChars="200"/>
              <w:jc w:val="both"/>
              <w:outlineLvl w:val="0"/>
              <w:rPr>
                <w:rFonts w:hint="default" w:ascii="Times New Roman" w:hAnsi="Times New Roman" w:eastAsia="宋体" w:cs="Times New Roman"/>
                <w:b/>
                <w:bCs/>
                <w:szCs w:val="24"/>
              </w:rPr>
            </w:pPr>
          </w:p>
          <w:p w14:paraId="4F121DE4">
            <w:pPr>
              <w:pStyle w:val="22"/>
              <w:keepNext w:val="0"/>
              <w:keepLines w:val="0"/>
              <w:suppressLineNumbers w:val="0"/>
              <w:spacing w:before="0" w:beforeAutospacing="0" w:after="0" w:afterAutospacing="0" w:line="360" w:lineRule="auto"/>
              <w:ind w:left="0" w:right="0" w:firstLine="482" w:firstLineChars="200"/>
              <w:jc w:val="both"/>
              <w:outlineLvl w:val="0"/>
              <w:rPr>
                <w:rFonts w:hint="default" w:ascii="Times New Roman" w:hAnsi="Times New Roman" w:eastAsia="宋体" w:cs="Times New Roman"/>
                <w:b/>
                <w:bCs/>
                <w:szCs w:val="24"/>
              </w:rPr>
            </w:pPr>
          </w:p>
          <w:p w14:paraId="1C66DF05">
            <w:pPr>
              <w:pStyle w:val="22"/>
              <w:keepNext w:val="0"/>
              <w:keepLines w:val="0"/>
              <w:suppressLineNumbers w:val="0"/>
              <w:spacing w:before="0" w:beforeAutospacing="0" w:after="0" w:afterAutospacing="0" w:line="360" w:lineRule="auto"/>
              <w:ind w:left="0" w:right="0" w:firstLine="482" w:firstLineChars="200"/>
              <w:jc w:val="both"/>
              <w:outlineLvl w:val="0"/>
              <w:rPr>
                <w:rFonts w:hint="default" w:ascii="Times New Roman" w:hAnsi="Times New Roman" w:eastAsia="宋体" w:cs="Times New Roman"/>
                <w:b/>
                <w:bCs/>
                <w:szCs w:val="24"/>
              </w:rPr>
            </w:pPr>
          </w:p>
          <w:p w14:paraId="6C9DF360">
            <w:pPr>
              <w:pStyle w:val="22"/>
              <w:keepNext w:val="0"/>
              <w:keepLines w:val="0"/>
              <w:suppressLineNumbers w:val="0"/>
              <w:spacing w:before="0" w:beforeAutospacing="0" w:after="0" w:afterAutospacing="0" w:line="360" w:lineRule="auto"/>
              <w:ind w:left="0" w:right="0" w:firstLine="482" w:firstLineChars="200"/>
              <w:jc w:val="both"/>
              <w:outlineLvl w:val="0"/>
              <w:rPr>
                <w:rFonts w:hint="default" w:ascii="Times New Roman" w:hAnsi="Times New Roman" w:eastAsia="宋体" w:cs="Times New Roman"/>
                <w:b/>
                <w:bCs/>
                <w:szCs w:val="24"/>
              </w:rPr>
            </w:pPr>
          </w:p>
          <w:p w14:paraId="26DDCAEC">
            <w:pPr>
              <w:pStyle w:val="22"/>
              <w:keepNext w:val="0"/>
              <w:keepLines w:val="0"/>
              <w:suppressLineNumbers w:val="0"/>
              <w:spacing w:before="0" w:beforeAutospacing="0" w:after="0" w:afterAutospacing="0" w:line="360" w:lineRule="auto"/>
              <w:ind w:left="0" w:right="0" w:firstLine="482" w:firstLineChars="200"/>
              <w:jc w:val="both"/>
              <w:outlineLvl w:val="0"/>
              <w:rPr>
                <w:rFonts w:hint="default" w:ascii="Times New Roman" w:hAnsi="Times New Roman" w:eastAsia="宋体" w:cs="Times New Roman"/>
                <w:b/>
                <w:bCs/>
                <w:szCs w:val="24"/>
              </w:rPr>
            </w:pPr>
          </w:p>
          <w:p w14:paraId="44870E9A">
            <w:pPr>
              <w:pStyle w:val="22"/>
              <w:keepNext w:val="0"/>
              <w:keepLines w:val="0"/>
              <w:suppressLineNumbers w:val="0"/>
              <w:spacing w:before="0" w:beforeAutospacing="0" w:after="0" w:afterAutospacing="0" w:line="360" w:lineRule="auto"/>
              <w:ind w:left="0" w:right="0" w:firstLine="482" w:firstLineChars="200"/>
              <w:jc w:val="both"/>
              <w:outlineLvl w:val="0"/>
              <w:rPr>
                <w:rFonts w:hint="default" w:ascii="Times New Roman" w:hAnsi="Times New Roman" w:eastAsia="宋体" w:cs="Times New Roman"/>
                <w:b/>
                <w:bCs/>
                <w:szCs w:val="24"/>
              </w:rPr>
            </w:pPr>
          </w:p>
          <w:p w14:paraId="0635A49D">
            <w:pPr>
              <w:pStyle w:val="22"/>
              <w:keepNext w:val="0"/>
              <w:keepLines w:val="0"/>
              <w:suppressLineNumbers w:val="0"/>
              <w:spacing w:before="0" w:beforeAutospacing="0" w:after="0" w:afterAutospacing="0" w:line="360" w:lineRule="auto"/>
              <w:ind w:left="0" w:right="0" w:firstLine="482" w:firstLineChars="200"/>
              <w:jc w:val="both"/>
              <w:outlineLvl w:val="0"/>
              <w:rPr>
                <w:rFonts w:hint="default" w:ascii="Times New Roman" w:hAnsi="Times New Roman" w:eastAsia="宋体" w:cs="Times New Roman"/>
                <w:b/>
                <w:bCs/>
                <w:szCs w:val="24"/>
              </w:rPr>
            </w:pPr>
          </w:p>
          <w:p w14:paraId="447065A3">
            <w:pPr>
              <w:pStyle w:val="22"/>
              <w:keepNext w:val="0"/>
              <w:keepLines w:val="0"/>
              <w:suppressLineNumbers w:val="0"/>
              <w:spacing w:before="0" w:beforeAutospacing="0" w:after="0" w:afterAutospacing="0" w:line="360" w:lineRule="auto"/>
              <w:ind w:left="0" w:right="0" w:firstLine="482" w:firstLineChars="200"/>
              <w:jc w:val="both"/>
              <w:outlineLvl w:val="0"/>
              <w:rPr>
                <w:rFonts w:hint="default" w:ascii="Times New Roman" w:hAnsi="Times New Roman" w:eastAsia="宋体" w:cs="Times New Roman"/>
                <w:b/>
                <w:bCs/>
                <w:szCs w:val="24"/>
              </w:rPr>
            </w:pPr>
          </w:p>
          <w:p w14:paraId="6B286875">
            <w:pPr>
              <w:pStyle w:val="22"/>
              <w:keepNext w:val="0"/>
              <w:keepLines w:val="0"/>
              <w:suppressLineNumbers w:val="0"/>
              <w:spacing w:before="0" w:beforeAutospacing="0" w:after="0" w:afterAutospacing="0" w:line="360" w:lineRule="auto"/>
              <w:ind w:left="0" w:right="0" w:firstLine="482" w:firstLineChars="200"/>
              <w:jc w:val="both"/>
              <w:outlineLvl w:val="0"/>
              <w:rPr>
                <w:rFonts w:hint="default" w:ascii="Times New Roman" w:hAnsi="Times New Roman" w:eastAsia="宋体" w:cs="Times New Roman"/>
                <w:b/>
                <w:bCs/>
                <w:szCs w:val="24"/>
              </w:rPr>
            </w:pPr>
          </w:p>
          <w:p w14:paraId="3DD63CD1">
            <w:pPr>
              <w:pStyle w:val="22"/>
              <w:keepNext w:val="0"/>
              <w:keepLines w:val="0"/>
              <w:suppressLineNumbers w:val="0"/>
              <w:spacing w:before="0" w:beforeAutospacing="0" w:after="0" w:afterAutospacing="0" w:line="360" w:lineRule="auto"/>
              <w:ind w:left="0" w:right="0"/>
              <w:jc w:val="both"/>
              <w:outlineLvl w:val="0"/>
              <w:rPr>
                <w:rFonts w:hint="eastAsia" w:ascii="Times New Roman" w:hAnsi="Times New Roman" w:eastAsia="宋体" w:cs="Times New Roman"/>
                <w:b/>
                <w:bCs/>
                <w:szCs w:val="24"/>
              </w:rPr>
            </w:pPr>
          </w:p>
          <w:p w14:paraId="51E23B84">
            <w:pPr>
              <w:pStyle w:val="22"/>
              <w:keepNext w:val="0"/>
              <w:keepLines w:val="0"/>
              <w:suppressLineNumbers w:val="0"/>
              <w:spacing w:before="0" w:beforeAutospacing="0" w:after="0" w:afterAutospacing="0" w:line="360" w:lineRule="auto"/>
              <w:ind w:left="0" w:right="0"/>
              <w:jc w:val="both"/>
              <w:outlineLvl w:val="0"/>
              <w:rPr>
                <w:rFonts w:hint="eastAsia" w:ascii="Times New Roman" w:hAnsi="Times New Roman" w:eastAsia="宋体" w:cs="Times New Roman"/>
                <w:b/>
                <w:bCs/>
                <w:szCs w:val="24"/>
              </w:rPr>
            </w:pPr>
          </w:p>
          <w:p w14:paraId="1A3D449E">
            <w:pPr>
              <w:pStyle w:val="22"/>
              <w:keepNext w:val="0"/>
              <w:keepLines w:val="0"/>
              <w:suppressLineNumbers w:val="0"/>
              <w:spacing w:before="0" w:beforeAutospacing="0" w:after="0" w:afterAutospacing="0" w:line="360" w:lineRule="auto"/>
              <w:ind w:left="0" w:right="0"/>
              <w:jc w:val="both"/>
              <w:outlineLvl w:val="0"/>
              <w:rPr>
                <w:rFonts w:hint="eastAsia" w:ascii="Times New Roman" w:hAnsi="Times New Roman" w:eastAsia="宋体" w:cs="Times New Roman"/>
                <w:b/>
                <w:bCs/>
                <w:szCs w:val="24"/>
              </w:rPr>
            </w:pPr>
          </w:p>
          <w:p w14:paraId="0F128296">
            <w:pPr>
              <w:pStyle w:val="22"/>
              <w:keepNext w:val="0"/>
              <w:keepLines w:val="0"/>
              <w:suppressLineNumbers w:val="0"/>
              <w:spacing w:before="0" w:beforeAutospacing="0" w:after="0" w:afterAutospacing="0" w:line="360" w:lineRule="auto"/>
              <w:ind w:left="0" w:right="0"/>
              <w:jc w:val="both"/>
              <w:outlineLvl w:val="0"/>
              <w:rPr>
                <w:rFonts w:hint="eastAsia" w:ascii="Times New Roman" w:hAnsi="Times New Roman" w:eastAsia="宋体" w:cs="Times New Roman"/>
                <w:b/>
                <w:bCs/>
                <w:szCs w:val="24"/>
              </w:rPr>
            </w:pPr>
          </w:p>
          <w:p w14:paraId="0DF9E31D">
            <w:pPr>
              <w:pStyle w:val="22"/>
              <w:keepNext w:val="0"/>
              <w:keepLines w:val="0"/>
              <w:suppressLineNumbers w:val="0"/>
              <w:spacing w:before="0" w:beforeAutospacing="0" w:after="0" w:afterAutospacing="0" w:line="360" w:lineRule="auto"/>
              <w:ind w:left="0" w:right="0"/>
              <w:jc w:val="both"/>
              <w:outlineLvl w:val="0"/>
              <w:rPr>
                <w:rFonts w:hint="eastAsia" w:ascii="Times New Roman" w:hAnsi="Times New Roman" w:eastAsia="宋体" w:cs="Times New Roman"/>
                <w:b/>
                <w:bCs/>
                <w:szCs w:val="24"/>
              </w:rPr>
            </w:pPr>
          </w:p>
          <w:p w14:paraId="7E6C5BA7">
            <w:pPr>
              <w:pStyle w:val="22"/>
              <w:keepNext w:val="0"/>
              <w:keepLines w:val="0"/>
              <w:suppressLineNumbers w:val="0"/>
              <w:spacing w:before="0" w:beforeAutospacing="0" w:after="0" w:afterAutospacing="0" w:line="360" w:lineRule="auto"/>
              <w:ind w:left="0" w:right="0"/>
              <w:jc w:val="both"/>
              <w:outlineLvl w:val="0"/>
              <w:rPr>
                <w:rFonts w:hint="eastAsia" w:ascii="Times New Roman" w:hAnsi="Times New Roman" w:eastAsia="宋体" w:cs="Times New Roman"/>
                <w:b/>
                <w:bCs/>
                <w:szCs w:val="24"/>
              </w:rPr>
            </w:pPr>
          </w:p>
          <w:p w14:paraId="5AA04639">
            <w:pPr>
              <w:pStyle w:val="22"/>
              <w:keepNext w:val="0"/>
              <w:keepLines w:val="0"/>
              <w:suppressLineNumbers w:val="0"/>
              <w:spacing w:before="0" w:beforeAutospacing="0" w:after="0" w:afterAutospacing="0" w:line="360" w:lineRule="auto"/>
              <w:ind w:left="0" w:right="0"/>
              <w:jc w:val="both"/>
              <w:outlineLvl w:val="0"/>
              <w:rPr>
                <w:rFonts w:hint="eastAsia" w:ascii="Times New Roman" w:hAnsi="Times New Roman" w:eastAsia="宋体" w:cs="Times New Roman"/>
                <w:b/>
                <w:bCs/>
                <w:szCs w:val="24"/>
              </w:rPr>
            </w:pPr>
          </w:p>
          <w:p w14:paraId="290EA030">
            <w:pPr>
              <w:pStyle w:val="22"/>
              <w:keepNext w:val="0"/>
              <w:keepLines w:val="0"/>
              <w:suppressLineNumbers w:val="0"/>
              <w:spacing w:before="0" w:beforeAutospacing="0" w:after="0" w:afterAutospacing="0" w:line="360" w:lineRule="auto"/>
              <w:ind w:left="0" w:right="0"/>
              <w:jc w:val="both"/>
              <w:outlineLvl w:val="0"/>
              <w:rPr>
                <w:rFonts w:hint="eastAsia" w:ascii="Times New Roman" w:hAnsi="Times New Roman" w:eastAsia="宋体" w:cs="Times New Roman"/>
                <w:b/>
                <w:bCs/>
                <w:szCs w:val="24"/>
              </w:rPr>
            </w:pPr>
          </w:p>
          <w:p w14:paraId="053778E8">
            <w:pPr>
              <w:pStyle w:val="22"/>
              <w:keepNext w:val="0"/>
              <w:keepLines w:val="0"/>
              <w:suppressLineNumbers w:val="0"/>
              <w:spacing w:before="0" w:beforeAutospacing="0" w:after="0" w:afterAutospacing="0" w:line="360" w:lineRule="auto"/>
              <w:ind w:left="0" w:right="0"/>
              <w:jc w:val="both"/>
              <w:outlineLvl w:val="0"/>
              <w:rPr>
                <w:rFonts w:hint="eastAsia" w:ascii="Times New Roman" w:hAnsi="Times New Roman" w:eastAsia="宋体" w:cs="Times New Roman"/>
                <w:b/>
                <w:bCs/>
                <w:szCs w:val="24"/>
              </w:rPr>
            </w:pPr>
          </w:p>
        </w:tc>
      </w:tr>
    </w:tbl>
    <w:p w14:paraId="34332DDB">
      <w:pPr>
        <w:spacing w:line="360" w:lineRule="auto"/>
        <w:rPr>
          <w:rFonts w:ascii="Times New Roman" w:hAnsi="Times New Roman" w:eastAsia="宋体"/>
          <w:sz w:val="30"/>
        </w:rPr>
        <w:sectPr>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p>
    <w:p w14:paraId="7A9FE1F4">
      <w:pPr>
        <w:pStyle w:val="6"/>
        <w:rPr>
          <w:rFonts w:hint="eastAsia" w:ascii="Times New Roman" w:hAnsi="Times New Roman" w:eastAsia="宋体"/>
          <w:color w:val="auto"/>
        </w:rPr>
      </w:pPr>
      <w:r>
        <w:rPr>
          <w:rFonts w:hint="eastAsia" w:ascii="Times New Roman" w:hAnsi="Times New Roman" w:eastAsia="宋体"/>
          <w:color w:val="auto"/>
        </w:rPr>
        <w:t>二、建设项目工程分析</w:t>
      </w:r>
      <w:bookmarkEnd w:id="2"/>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4"/>
        <w:gridCol w:w="8606"/>
      </w:tblGrid>
      <w:tr w14:paraId="7E44B7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23" w:type="dxa"/>
            <w:noWrap w:val="0"/>
            <w:vAlign w:val="center"/>
          </w:tcPr>
          <w:p w14:paraId="3A1352DD">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szCs w:val="24"/>
              </w:rPr>
            </w:pPr>
            <w:r>
              <w:rPr>
                <w:rFonts w:hint="eastAsia" w:ascii="Times New Roman" w:hAnsi="Times New Roman" w:eastAsia="宋体" w:cs="宋体"/>
                <w:szCs w:val="24"/>
              </w:rPr>
              <w:t>建设内容</w:t>
            </w:r>
          </w:p>
        </w:tc>
        <w:tc>
          <w:tcPr>
            <w:tcW w:w="8161" w:type="dxa"/>
            <w:noWrap w:val="0"/>
            <w:vAlign w:val="top"/>
          </w:tcPr>
          <w:p w14:paraId="119150A2">
            <w:pPr>
              <w:pStyle w:val="16"/>
              <w:keepNext w:val="0"/>
              <w:keepLines w:val="0"/>
              <w:suppressLineNumbers w:val="0"/>
              <w:spacing w:before="0" w:beforeAutospacing="0" w:after="0" w:afterAutospacing="0" w:line="360" w:lineRule="auto"/>
              <w:ind w:left="0" w:leftChars="0" w:right="0"/>
              <w:rPr>
                <w:rFonts w:hint="default" w:ascii="Times New Roman" w:hAnsi="Times New Roman" w:eastAsia="宋体" w:cs="Times New Roman"/>
                <w:b/>
                <w:sz w:val="24"/>
              </w:rPr>
            </w:pPr>
            <w:r>
              <w:rPr>
                <w:rFonts w:hint="eastAsia" w:ascii="Times New Roman" w:hAnsi="Times New Roman" w:eastAsia="宋体" w:cs="Times New Roman"/>
                <w:b/>
                <w:sz w:val="24"/>
              </w:rPr>
              <w:t>一、项目由来</w:t>
            </w:r>
          </w:p>
          <w:p w14:paraId="1604C880">
            <w:pPr>
              <w:keepNext w:val="0"/>
              <w:keepLines w:val="0"/>
              <w:suppressLineNumbers w:val="0"/>
              <w:adjustRightInd w:val="0"/>
              <w:snapToGrid w:val="0"/>
              <w:spacing w:before="0" w:beforeAutospacing="0" w:after="0" w:afterAutospacing="0" w:line="360" w:lineRule="auto"/>
              <w:ind w:left="0" w:right="0" w:firstLine="480" w:firstLineChars="200"/>
              <w:rPr>
                <w:rFonts w:hint="eastAsia" w:cs="Times New Roman"/>
                <w:kern w:val="0"/>
                <w:sz w:val="24"/>
                <w:vertAlign w:val="baseline"/>
                <w:lang w:val="en-US" w:eastAsia="zh-CN"/>
              </w:rPr>
            </w:pPr>
            <w:r>
              <w:rPr>
                <w:rFonts w:hint="eastAsia" w:cs="Times New Roman"/>
                <w:bCs/>
                <w:sz w:val="24"/>
                <w:lang w:eastAsia="zh-CN"/>
              </w:rPr>
              <w:t>邻水县筑成建材有限公司</w:t>
            </w:r>
            <w:r>
              <w:rPr>
                <w:rFonts w:hint="default" w:ascii="Times New Roman" w:hAnsi="Times New Roman" w:eastAsia="宋体" w:cs="Times New Roman"/>
                <w:bCs/>
                <w:sz w:val="24"/>
              </w:rPr>
              <w:t>是一家从事建筑原材料生产和销售的企业</w:t>
            </w:r>
            <w:r>
              <w:rPr>
                <w:rFonts w:hint="eastAsia" w:cs="Times New Roman"/>
                <w:bCs/>
                <w:sz w:val="24"/>
                <w:lang w:val="en-US" w:eastAsia="zh-CN"/>
              </w:rPr>
              <w:t>。出于降低运输成本及交通便利性考虑，</w:t>
            </w:r>
            <w:r>
              <w:rPr>
                <w:rFonts w:hint="eastAsia" w:cs="Times New Roman"/>
                <w:bCs/>
                <w:sz w:val="24"/>
                <w:lang w:eastAsia="zh-CN"/>
              </w:rPr>
              <w:t>公司</w:t>
            </w:r>
            <w:r>
              <w:rPr>
                <w:rFonts w:hint="default" w:ascii="Times New Roman" w:hAnsi="Times New Roman" w:eastAsia="宋体" w:cs="Times New Roman"/>
                <w:bCs/>
                <w:sz w:val="24"/>
              </w:rPr>
              <w:t>拟</w:t>
            </w:r>
            <w:r>
              <w:rPr>
                <w:rFonts w:hint="eastAsia" w:cs="Times New Roman"/>
                <w:bCs/>
                <w:sz w:val="24"/>
                <w:lang w:val="en-US" w:eastAsia="zh-CN"/>
              </w:rPr>
              <w:t>投资100</w:t>
            </w:r>
            <w:r>
              <w:rPr>
                <w:rFonts w:hint="default" w:ascii="Times New Roman" w:hAnsi="Times New Roman" w:eastAsia="宋体" w:cs="Times New Roman"/>
                <w:bCs/>
                <w:sz w:val="24"/>
              </w:rPr>
              <w:t>万元</w:t>
            </w:r>
            <w:r>
              <w:rPr>
                <w:rFonts w:hint="eastAsia" w:cs="Times New Roman"/>
                <w:bCs/>
                <w:sz w:val="24"/>
                <w:lang w:val="en-US" w:eastAsia="zh-CN"/>
              </w:rPr>
              <w:t>将原位于邻水县石滓镇朱家寨村7组的</w:t>
            </w:r>
            <w:r>
              <w:rPr>
                <w:rFonts w:hint="eastAsia" w:cs="Times New Roman"/>
                <w:bCs/>
                <w:color w:val="auto"/>
                <w:sz w:val="24"/>
                <w:lang w:val="en-US" w:eastAsia="zh-CN"/>
              </w:rPr>
              <w:t>1</w:t>
            </w:r>
            <w:r>
              <w:rPr>
                <w:rFonts w:hint="default" w:ascii="Times New Roman" w:hAnsi="Times New Roman" w:eastAsia="宋体" w:cs="Times New Roman"/>
                <w:bCs/>
                <w:color w:val="auto"/>
                <w:sz w:val="24"/>
              </w:rPr>
              <w:t>条</w:t>
            </w:r>
            <w:r>
              <w:rPr>
                <w:rFonts w:hint="eastAsia" w:cs="Times New Roman"/>
                <w:bCs/>
                <w:color w:val="auto"/>
                <w:sz w:val="24"/>
                <w:lang w:val="en-US" w:eastAsia="zh-CN"/>
              </w:rPr>
              <w:t>建筑用砂</w:t>
            </w:r>
            <w:r>
              <w:rPr>
                <w:rFonts w:hint="eastAsia" w:ascii="Times New Roman" w:hAnsi="Times New Roman" w:eastAsia="宋体" w:cs="Times New Roman"/>
                <w:bCs/>
                <w:color w:val="auto"/>
                <w:sz w:val="24"/>
                <w:lang w:val="en-US" w:eastAsia="zh-CN"/>
              </w:rPr>
              <w:t>生产线整体搬迁至</w:t>
            </w:r>
            <w:r>
              <w:rPr>
                <w:rFonts w:hint="eastAsia" w:cs="Times New Roman"/>
                <w:kern w:val="0"/>
                <w:sz w:val="24"/>
                <w:lang w:eastAsia="zh-CN"/>
              </w:rPr>
              <w:t>邻水县石滓镇晒金村8组。迁建工作完成后，</w:t>
            </w:r>
            <w:r>
              <w:rPr>
                <w:rFonts w:hint="eastAsia" w:cs="Times New Roman"/>
                <w:kern w:val="0"/>
                <w:sz w:val="24"/>
                <w:lang w:val="en-US" w:eastAsia="zh-CN"/>
              </w:rPr>
              <w:t>项目主要生产设备均利旧。同时，企业根据市场实际需求对厂区生产规模进行调整，砂石产能由原来的3万m</w:t>
            </w:r>
            <w:r>
              <w:rPr>
                <w:rFonts w:hint="eastAsia" w:cs="Times New Roman"/>
                <w:kern w:val="0"/>
                <w:sz w:val="24"/>
                <w:vertAlign w:val="superscript"/>
                <w:lang w:val="en-US" w:eastAsia="zh-CN"/>
              </w:rPr>
              <w:t>3</w:t>
            </w:r>
            <w:r>
              <w:rPr>
                <w:rFonts w:hint="eastAsia" w:cs="Times New Roman"/>
                <w:kern w:val="0"/>
                <w:sz w:val="24"/>
                <w:vertAlign w:val="baseline"/>
                <w:lang w:val="en-US" w:eastAsia="zh-CN"/>
              </w:rPr>
              <w:t>/a（4.5万t/a）调整为3万t/a。</w:t>
            </w:r>
          </w:p>
          <w:p w14:paraId="58BFE3A5">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kern w:val="0"/>
                <w:sz w:val="24"/>
                <w:lang w:val="en-US" w:eastAsia="zh-CN"/>
              </w:rPr>
            </w:pPr>
            <w:r>
              <w:rPr>
                <w:rFonts w:hint="default" w:ascii="Times New Roman" w:hAnsi="Times New Roman" w:eastAsia="宋体" w:cs="Times New Roman"/>
                <w:kern w:val="0"/>
                <w:sz w:val="24"/>
                <w:lang w:bidi="ar"/>
              </w:rPr>
              <w:t>根据《企业投资项目核准和备案管理条例》及相关规定，</w:t>
            </w:r>
            <w:r>
              <w:rPr>
                <w:rFonts w:hint="eastAsia" w:cs="Times New Roman"/>
                <w:bCs/>
                <w:sz w:val="24"/>
                <w:lang w:eastAsia="zh-CN"/>
              </w:rPr>
              <w:t>邻水县筑成建材有限公司</w:t>
            </w:r>
            <w:r>
              <w:rPr>
                <w:rFonts w:hint="default" w:ascii="Times New Roman" w:hAnsi="Times New Roman" w:eastAsia="宋体" w:cs="Times New Roman"/>
                <w:kern w:val="0"/>
                <w:sz w:val="24"/>
                <w:lang w:val="zh-CN"/>
              </w:rPr>
              <w:t>于202</w:t>
            </w:r>
            <w:r>
              <w:rPr>
                <w:rFonts w:hint="eastAsia" w:cs="Times New Roman"/>
                <w:kern w:val="0"/>
                <w:sz w:val="24"/>
                <w:lang w:val="en-US" w:eastAsia="zh-CN"/>
              </w:rPr>
              <w:t>5</w:t>
            </w:r>
            <w:r>
              <w:rPr>
                <w:rFonts w:hint="default" w:ascii="Times New Roman" w:hAnsi="Times New Roman" w:eastAsia="宋体" w:cs="Times New Roman"/>
                <w:kern w:val="0"/>
                <w:sz w:val="24"/>
                <w:lang w:val="zh-CN"/>
              </w:rPr>
              <w:t>年</w:t>
            </w:r>
            <w:r>
              <w:rPr>
                <w:rFonts w:hint="eastAsia" w:cs="Times New Roman"/>
                <w:kern w:val="0"/>
                <w:sz w:val="24"/>
                <w:lang w:val="en-US" w:eastAsia="zh-CN"/>
              </w:rPr>
              <w:t>2</w:t>
            </w:r>
            <w:r>
              <w:rPr>
                <w:rFonts w:hint="default" w:ascii="Times New Roman" w:hAnsi="Times New Roman" w:eastAsia="宋体" w:cs="Times New Roman"/>
                <w:kern w:val="0"/>
                <w:sz w:val="24"/>
                <w:lang w:val="zh-CN"/>
              </w:rPr>
              <w:t>月对本项目进行备案，</w:t>
            </w:r>
            <w:r>
              <w:rPr>
                <w:rFonts w:hint="eastAsia" w:cs="Times New Roman"/>
                <w:kern w:val="0"/>
                <w:sz w:val="24"/>
                <w:highlight w:val="none"/>
                <w:lang w:eastAsia="zh-CN"/>
              </w:rPr>
              <w:t>邻水县发展和改革局</w:t>
            </w:r>
            <w:r>
              <w:rPr>
                <w:rFonts w:hint="default" w:ascii="Times New Roman" w:hAnsi="Times New Roman" w:eastAsia="宋体" w:cs="Times New Roman"/>
                <w:kern w:val="0"/>
                <w:sz w:val="24"/>
                <w:highlight w:val="none"/>
              </w:rPr>
              <w:t>以</w:t>
            </w:r>
            <w:r>
              <w:rPr>
                <w:rFonts w:hint="eastAsia" w:cs="Times New Roman"/>
                <w:kern w:val="0"/>
                <w:sz w:val="24"/>
                <w:highlight w:val="none"/>
                <w:lang w:eastAsia="zh-CN"/>
              </w:rPr>
              <w:t>川投资备【2506-511623-04-01-112602】FGQB-1169号</w:t>
            </w:r>
            <w:r>
              <w:rPr>
                <w:rFonts w:hint="default" w:ascii="Times New Roman" w:hAnsi="Times New Roman" w:eastAsia="宋体" w:cs="Times New Roman"/>
                <w:kern w:val="0"/>
                <w:sz w:val="24"/>
                <w:lang w:val="en-US" w:eastAsia="zh-CN"/>
              </w:rPr>
              <w:t>同意项目备案。</w:t>
            </w:r>
          </w:p>
          <w:p w14:paraId="524F910D">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sz w:val="24"/>
              </w:rPr>
            </w:pPr>
            <w:r>
              <w:rPr>
                <w:rFonts w:hint="default" w:ascii="Times New Roman" w:hAnsi="Times New Roman" w:eastAsia="宋体" w:cs="Times New Roman"/>
                <w:kern w:val="0"/>
                <w:sz w:val="24"/>
                <w:lang w:val="en-US" w:eastAsia="zh-CN"/>
              </w:rPr>
              <w:t>本项目属于《国民经济行业分类（GB/T4754-2017）》</w:t>
            </w:r>
            <w:r>
              <w:rPr>
                <w:rFonts w:hint="eastAsia" w:ascii="Times New Roman" w:hAnsi="Times New Roman" w:eastAsia="宋体" w:cs="Times New Roman"/>
                <w:kern w:val="0"/>
                <w:sz w:val="24"/>
                <w:lang w:val="en-US" w:eastAsia="zh-CN"/>
              </w:rPr>
              <w:t>以及1号修改单</w:t>
            </w:r>
            <w:r>
              <w:rPr>
                <w:rFonts w:hint="default" w:ascii="Times New Roman" w:hAnsi="Times New Roman" w:eastAsia="宋体" w:cs="Times New Roman"/>
                <w:kern w:val="0"/>
                <w:sz w:val="24"/>
                <w:lang w:val="en-US" w:eastAsia="zh-CN"/>
              </w:rPr>
              <w:t>中</w:t>
            </w:r>
            <w:r>
              <w:rPr>
                <w:rFonts w:hint="eastAsia" w:ascii="Times New Roman" w:hAnsi="Times New Roman" w:eastAsia="宋体" w:cs="Times New Roman"/>
                <w:kern w:val="0"/>
                <w:sz w:val="24"/>
                <w:lang w:val="en-US" w:eastAsia="zh-CN"/>
              </w:rPr>
              <w:t>“其他非金属矿物制品制造（C3099）</w:t>
            </w:r>
            <w:r>
              <w:rPr>
                <w:rFonts w:hint="eastAsia" w:cs="Times New Roman"/>
                <w:kern w:val="0"/>
                <w:sz w:val="24"/>
                <w:lang w:val="en-US" w:eastAsia="zh-CN"/>
              </w:rPr>
              <w:t>、</w:t>
            </w:r>
            <w:r>
              <w:rPr>
                <w:rFonts w:hint="eastAsia" w:cs="Times New Roman"/>
                <w:sz w:val="24"/>
                <w:lang w:val="en-US" w:eastAsia="zh-CN"/>
              </w:rPr>
              <w:t>固体废物治理（C7723）</w:t>
            </w:r>
            <w:r>
              <w:rPr>
                <w:rFonts w:hint="eastAsia" w:ascii="Times New Roman" w:hAnsi="Times New Roman" w:eastAsia="宋体" w:cs="Times New Roman"/>
                <w:kern w:val="0"/>
                <w:sz w:val="24"/>
                <w:lang w:val="en-US" w:eastAsia="zh-CN"/>
              </w:rPr>
              <w:t>”项目，根据《建设项目环境影响评价分类管理名录》（2021年版），本项目属于“二十七、非金属矿物制品业30/石墨及其他非金属矿物制品制造309中其他</w:t>
            </w:r>
            <w:r>
              <w:rPr>
                <w:rFonts w:hint="eastAsia" w:cs="Times New Roman"/>
                <w:kern w:val="0"/>
                <w:sz w:val="24"/>
                <w:lang w:val="en-US" w:eastAsia="zh-CN"/>
              </w:rPr>
              <w:t>、四十七、生态保护和环境治理业103/一般工业固废（含污水处理污泥）、建筑施工废弃物处置及综合利用中其他</w:t>
            </w:r>
            <w:r>
              <w:rPr>
                <w:rFonts w:hint="eastAsia" w:ascii="Times New Roman" w:hAnsi="Times New Roman" w:eastAsia="宋体" w:cs="Times New Roman"/>
                <w:kern w:val="0"/>
                <w:sz w:val="24"/>
                <w:lang w:val="en-US" w:eastAsia="zh-CN"/>
              </w:rPr>
              <w:t>”，应编制环境影响报告表，为此，邻水县筑成建材有限公司委托我单位编制该项目环境影响报告表，待审批后</w:t>
            </w:r>
            <w:r>
              <w:rPr>
                <w:rFonts w:hint="default"/>
                <w:sz w:val="24"/>
              </w:rPr>
              <w:t>作为项目环境管理依据。</w:t>
            </w:r>
          </w:p>
          <w:p w14:paraId="06E052E2">
            <w:pPr>
              <w:pStyle w:val="16"/>
              <w:keepNext w:val="0"/>
              <w:keepLines w:val="0"/>
              <w:suppressLineNumbers w:val="0"/>
              <w:spacing w:before="0" w:beforeAutospacing="0" w:after="0" w:afterAutospacing="0" w:line="360" w:lineRule="auto"/>
              <w:ind w:left="0" w:leftChars="0" w:right="0"/>
              <w:rPr>
                <w:rFonts w:hint="default" w:ascii="Times New Roman" w:hAnsi="Times New Roman" w:eastAsia="宋体" w:cs="Times New Roman"/>
                <w:b/>
                <w:bCs/>
                <w:sz w:val="24"/>
              </w:rPr>
            </w:pPr>
            <w:r>
              <w:rPr>
                <w:rFonts w:hint="eastAsia" w:ascii="Times New Roman" w:hAnsi="Times New Roman" w:eastAsia="宋体" w:cs="Times New Roman"/>
                <w:b/>
                <w:bCs/>
                <w:sz w:val="24"/>
              </w:rPr>
              <w:t>二、项目基本情况</w:t>
            </w:r>
          </w:p>
          <w:p w14:paraId="5AAD84B6">
            <w:pPr>
              <w:pStyle w:val="89"/>
              <w:keepNext w:val="0"/>
              <w:keepLines w:val="0"/>
              <w:suppressLineNumbers w:val="0"/>
              <w:spacing w:beforeAutospacing="0" w:afterAutospacing="0"/>
              <w:ind w:left="0" w:right="0" w:firstLine="482"/>
              <w:rPr>
                <w:rFonts w:hint="eastAsia" w:ascii="Times New Roman" w:hAnsi="Times New Roman" w:eastAsia="宋体" w:cs="Times New Roman"/>
              </w:rPr>
            </w:pPr>
            <w:r>
              <w:rPr>
                <w:rFonts w:hint="default" w:ascii="Times New Roman" w:hAnsi="Times New Roman" w:eastAsia="宋体" w:cs="Times New Roman"/>
                <w:b/>
                <w:bCs w:val="0"/>
                <w:szCs w:val="24"/>
              </w:rPr>
              <w:t>项目名称：</w:t>
            </w:r>
            <w:r>
              <w:rPr>
                <w:rFonts w:hint="eastAsia" w:cs="Times New Roman"/>
                <w:lang w:val="en-US" w:eastAsia="zh-CN"/>
              </w:rPr>
              <w:t>砂石加工生产线搬迁项目</w:t>
            </w:r>
          </w:p>
          <w:p w14:paraId="770EFEC4">
            <w:pPr>
              <w:pStyle w:val="89"/>
              <w:keepNext w:val="0"/>
              <w:keepLines w:val="0"/>
              <w:suppressLineNumbers w:val="0"/>
              <w:spacing w:beforeAutospacing="0" w:afterAutospacing="0"/>
              <w:ind w:left="0" w:right="0" w:firstLine="482"/>
              <w:rPr>
                <w:rFonts w:hint="eastAsia" w:ascii="Times New Roman" w:hAnsi="Times New Roman" w:eastAsia="宋体" w:cs="Times New Roman"/>
                <w:lang w:eastAsia="zh-CN"/>
              </w:rPr>
            </w:pPr>
            <w:r>
              <w:rPr>
                <w:rFonts w:hint="default" w:ascii="Times New Roman" w:hAnsi="Times New Roman" w:eastAsia="宋体" w:cs="Times New Roman"/>
                <w:b/>
                <w:bCs w:val="0"/>
                <w:szCs w:val="24"/>
              </w:rPr>
              <w:t>建设单位：</w:t>
            </w:r>
            <w:r>
              <w:rPr>
                <w:rFonts w:hint="eastAsia" w:cs="Times New Roman"/>
                <w:lang w:eastAsia="zh-CN"/>
              </w:rPr>
              <w:t>邻水县筑成建材有限公司</w:t>
            </w:r>
          </w:p>
          <w:p w14:paraId="66A5124B">
            <w:pPr>
              <w:pStyle w:val="89"/>
              <w:keepNext w:val="0"/>
              <w:keepLines w:val="0"/>
              <w:suppressLineNumbers w:val="0"/>
              <w:spacing w:beforeAutospacing="0" w:afterAutospacing="0"/>
              <w:ind w:left="0" w:right="0" w:firstLine="482"/>
              <w:rPr>
                <w:rFonts w:hint="eastAsia" w:ascii="Times New Roman" w:hAnsi="Times New Roman" w:eastAsia="宋体" w:cs="Times New Roman"/>
                <w:kern w:val="0"/>
                <w:szCs w:val="24"/>
                <w:lang w:eastAsia="zh-CN"/>
              </w:rPr>
            </w:pPr>
            <w:r>
              <w:rPr>
                <w:rFonts w:hint="default" w:ascii="Times New Roman" w:hAnsi="Times New Roman" w:eastAsia="宋体" w:cs="Times New Roman"/>
                <w:b/>
                <w:bCs w:val="0"/>
                <w:szCs w:val="24"/>
              </w:rPr>
              <w:t>建设地点：</w:t>
            </w:r>
            <w:r>
              <w:rPr>
                <w:rFonts w:hint="eastAsia" w:cs="Times New Roman"/>
                <w:szCs w:val="24"/>
                <w:lang w:eastAsia="zh-CN"/>
              </w:rPr>
              <w:t>邻水县石滓镇晒金村8组</w:t>
            </w:r>
          </w:p>
          <w:p w14:paraId="1A1BDA32">
            <w:pPr>
              <w:pStyle w:val="89"/>
              <w:keepNext w:val="0"/>
              <w:keepLines w:val="0"/>
              <w:suppressLineNumbers w:val="0"/>
              <w:spacing w:beforeAutospacing="0" w:afterAutospacing="0"/>
              <w:ind w:left="0" w:right="0" w:firstLine="482"/>
              <w:rPr>
                <w:rFonts w:hint="eastAsia" w:ascii="Times New Roman" w:hAnsi="Times New Roman" w:eastAsia="宋体" w:cs="Times New Roman"/>
                <w:szCs w:val="24"/>
                <w:lang w:eastAsia="zh-CN"/>
              </w:rPr>
            </w:pPr>
            <w:r>
              <w:rPr>
                <w:rFonts w:hint="default" w:ascii="Times New Roman" w:hAnsi="Times New Roman" w:eastAsia="宋体" w:cs="Times New Roman"/>
                <w:b/>
                <w:bCs w:val="0"/>
                <w:szCs w:val="24"/>
              </w:rPr>
              <w:t>建设性质：</w:t>
            </w:r>
            <w:r>
              <w:rPr>
                <w:rFonts w:hint="eastAsia" w:ascii="Times New Roman" w:hAnsi="Times New Roman" w:eastAsia="宋体" w:cs="Times New Roman"/>
                <w:szCs w:val="24"/>
              </w:rPr>
              <w:t>新建</w:t>
            </w:r>
            <w:r>
              <w:rPr>
                <w:rFonts w:hint="eastAsia" w:cs="Times New Roman"/>
                <w:szCs w:val="24"/>
                <w:lang w:eastAsia="zh-CN"/>
              </w:rPr>
              <w:t>（</w:t>
            </w:r>
            <w:r>
              <w:rPr>
                <w:rFonts w:hint="eastAsia" w:cs="Times New Roman"/>
                <w:szCs w:val="24"/>
                <w:lang w:val="en-US" w:eastAsia="zh-CN"/>
              </w:rPr>
              <w:t>迁建</w:t>
            </w:r>
            <w:r>
              <w:rPr>
                <w:rFonts w:hint="eastAsia" w:cs="Times New Roman"/>
                <w:szCs w:val="24"/>
                <w:lang w:eastAsia="zh-CN"/>
              </w:rPr>
              <w:t>）</w:t>
            </w:r>
          </w:p>
          <w:p w14:paraId="312AC254">
            <w:pPr>
              <w:pStyle w:val="89"/>
              <w:keepNext w:val="0"/>
              <w:keepLines w:val="0"/>
              <w:suppressLineNumbers w:val="0"/>
              <w:spacing w:beforeAutospacing="0" w:afterAutospacing="0"/>
              <w:ind w:left="0" w:right="0" w:firstLine="482"/>
              <w:rPr>
                <w:rFonts w:hint="eastAsia" w:ascii="Times New Roman" w:hAnsi="Times New Roman" w:eastAsia="宋体" w:cs="Times New Roman"/>
                <w:szCs w:val="24"/>
                <w:vertAlign w:val="superscript"/>
              </w:rPr>
            </w:pPr>
            <w:r>
              <w:rPr>
                <w:rFonts w:hint="eastAsia" w:cs="Times New Roman"/>
                <w:b/>
                <w:bCs w:val="0"/>
                <w:szCs w:val="24"/>
                <w:lang w:val="en-US" w:eastAsia="zh-CN"/>
              </w:rPr>
              <w:t>项目占地面积</w:t>
            </w:r>
            <w:r>
              <w:rPr>
                <w:rFonts w:hint="eastAsia" w:ascii="Times New Roman" w:hAnsi="Times New Roman" w:eastAsia="宋体" w:cs="Times New Roman"/>
                <w:b/>
                <w:bCs w:val="0"/>
                <w:szCs w:val="24"/>
              </w:rPr>
              <w:t>：</w:t>
            </w:r>
            <w:r>
              <w:rPr>
                <w:rFonts w:hint="eastAsia" w:cs="Times New Roman"/>
                <w:szCs w:val="24"/>
                <w:lang w:val="en-US" w:eastAsia="zh-CN"/>
              </w:rPr>
              <w:t>5000</w:t>
            </w:r>
            <w:r>
              <w:rPr>
                <w:rFonts w:hint="default" w:ascii="Times New Roman" w:hAnsi="Times New Roman" w:eastAsia="宋体" w:cs="Times New Roman"/>
                <w:szCs w:val="24"/>
              </w:rPr>
              <w:t>m</w:t>
            </w:r>
            <w:r>
              <w:rPr>
                <w:rFonts w:hint="default" w:ascii="Times New Roman" w:hAnsi="Times New Roman" w:eastAsia="宋体" w:cs="Times New Roman"/>
                <w:szCs w:val="24"/>
                <w:vertAlign w:val="superscript"/>
              </w:rPr>
              <w:t>2</w:t>
            </w:r>
          </w:p>
          <w:p w14:paraId="1AB1F1F2">
            <w:pPr>
              <w:pStyle w:val="89"/>
              <w:keepNext w:val="0"/>
              <w:keepLines w:val="0"/>
              <w:suppressLineNumbers w:val="0"/>
              <w:spacing w:beforeAutospacing="0" w:afterAutospacing="0"/>
              <w:ind w:left="0" w:right="0" w:firstLine="482"/>
              <w:rPr>
                <w:rFonts w:hint="default" w:ascii="Times New Roman" w:hAnsi="Times New Roman" w:eastAsia="宋体" w:cs="Times New Roman"/>
                <w:szCs w:val="24"/>
              </w:rPr>
            </w:pPr>
            <w:r>
              <w:rPr>
                <w:rFonts w:hint="default" w:ascii="Times New Roman" w:hAnsi="Times New Roman" w:eastAsia="宋体" w:cs="Times New Roman"/>
                <w:b/>
                <w:bCs w:val="0"/>
                <w:szCs w:val="24"/>
              </w:rPr>
              <w:t>投资规模：</w:t>
            </w:r>
            <w:r>
              <w:rPr>
                <w:rFonts w:hint="eastAsia" w:cs="Times New Roman"/>
                <w:szCs w:val="24"/>
                <w:lang w:val="en-US" w:eastAsia="zh-CN"/>
              </w:rPr>
              <w:t>100</w:t>
            </w:r>
            <w:r>
              <w:rPr>
                <w:rFonts w:hint="default" w:ascii="Times New Roman" w:hAnsi="Times New Roman" w:eastAsia="宋体" w:cs="Times New Roman"/>
                <w:szCs w:val="24"/>
              </w:rPr>
              <w:t>万元</w:t>
            </w:r>
          </w:p>
          <w:p w14:paraId="611FF848">
            <w:pPr>
              <w:pStyle w:val="89"/>
              <w:keepNext w:val="0"/>
              <w:keepLines w:val="0"/>
              <w:suppressLineNumbers w:val="0"/>
              <w:spacing w:beforeAutospacing="0" w:afterAutospacing="0"/>
              <w:ind w:left="0" w:right="0" w:firstLine="482"/>
              <w:rPr>
                <w:rFonts w:hint="default" w:ascii="Times New Roman" w:hAnsi="Times New Roman" w:eastAsia="宋体" w:cs="Times New Roman"/>
                <w:szCs w:val="24"/>
              </w:rPr>
            </w:pPr>
            <w:r>
              <w:rPr>
                <w:rFonts w:hint="eastAsia" w:ascii="Times New Roman" w:hAnsi="Times New Roman" w:eastAsia="宋体" w:cs="Times New Roman"/>
                <w:b/>
                <w:bCs w:val="0"/>
                <w:szCs w:val="24"/>
              </w:rPr>
              <w:t>生产制度：</w:t>
            </w:r>
            <w:r>
              <w:rPr>
                <w:rFonts w:hint="eastAsia" w:ascii="Times New Roman" w:hAnsi="Times New Roman" w:eastAsia="宋体" w:cs="Times New Roman"/>
                <w:szCs w:val="24"/>
              </w:rPr>
              <w:t>劳动定员</w:t>
            </w:r>
            <w:r>
              <w:rPr>
                <w:rFonts w:hint="eastAsia" w:cs="Times New Roman"/>
                <w:szCs w:val="24"/>
                <w:lang w:val="en-US" w:eastAsia="zh-CN"/>
              </w:rPr>
              <w:t>6</w:t>
            </w:r>
            <w:r>
              <w:rPr>
                <w:rFonts w:hint="eastAsia" w:ascii="Times New Roman" w:hAnsi="Times New Roman" w:eastAsia="宋体" w:cs="Times New Roman"/>
                <w:szCs w:val="24"/>
              </w:rPr>
              <w:t>人，年工作日</w:t>
            </w:r>
            <w:r>
              <w:rPr>
                <w:rFonts w:hint="eastAsia" w:cs="Times New Roman"/>
                <w:szCs w:val="24"/>
                <w:lang w:val="en-US" w:eastAsia="zh-CN"/>
              </w:rPr>
              <w:t>2</w:t>
            </w:r>
            <w:r>
              <w:rPr>
                <w:rFonts w:hint="eastAsia" w:ascii="Times New Roman" w:hAnsi="Times New Roman" w:eastAsia="宋体" w:cs="Times New Roman"/>
                <w:szCs w:val="24"/>
                <w:lang w:val="en-US" w:eastAsia="zh-CN"/>
              </w:rPr>
              <w:t>00</w:t>
            </w:r>
            <w:r>
              <w:rPr>
                <w:rFonts w:hint="eastAsia" w:ascii="Times New Roman" w:hAnsi="Times New Roman" w:eastAsia="宋体" w:cs="Times New Roman"/>
                <w:szCs w:val="24"/>
              </w:rPr>
              <w:t>天，</w:t>
            </w:r>
            <w:r>
              <w:rPr>
                <w:rFonts w:hint="eastAsia" w:ascii="Times New Roman" w:hAnsi="Times New Roman" w:eastAsia="宋体" w:cs="Times New Roman"/>
                <w:szCs w:val="24"/>
                <w:lang w:val="en-US" w:eastAsia="zh-CN"/>
              </w:rPr>
              <w:t>每天工作</w:t>
            </w:r>
            <w:r>
              <w:rPr>
                <w:rFonts w:hint="eastAsia" w:ascii="Times New Roman" w:hAnsi="Times New Roman" w:eastAsia="宋体" w:cs="Times New Roman"/>
                <w:szCs w:val="24"/>
              </w:rPr>
              <w:t>8h。本项目夜间不进行生产，厂区</w:t>
            </w:r>
            <w:r>
              <w:rPr>
                <w:rFonts w:hint="eastAsia" w:cs="Times New Roman"/>
                <w:szCs w:val="24"/>
                <w:lang w:val="en-US" w:eastAsia="zh-CN"/>
              </w:rPr>
              <w:t>不</w:t>
            </w:r>
            <w:r>
              <w:rPr>
                <w:rFonts w:hint="eastAsia" w:ascii="Times New Roman" w:hAnsi="Times New Roman" w:eastAsia="宋体" w:cs="Times New Roman"/>
                <w:szCs w:val="24"/>
              </w:rPr>
              <w:t>提供食宿。</w:t>
            </w:r>
          </w:p>
          <w:p w14:paraId="2B8608FA">
            <w:pPr>
              <w:keepNext w:val="0"/>
              <w:keepLines w:val="0"/>
              <w:suppressLineNumbers w:val="0"/>
              <w:snapToGrid w:val="0"/>
              <w:spacing w:before="0" w:beforeAutospacing="0" w:after="0" w:afterAutospacing="0" w:line="360" w:lineRule="auto"/>
              <w:ind w:left="0" w:right="0" w:firstLine="482" w:firstLineChars="200"/>
              <w:rPr>
                <w:rFonts w:hint="eastAsia" w:ascii="Times New Roman" w:hAnsi="Times New Roman" w:eastAsia="宋体" w:cs="Times New Roman"/>
                <w:bCs/>
                <w:color w:val="auto"/>
                <w:sz w:val="24"/>
              </w:rPr>
            </w:pPr>
            <w:r>
              <w:rPr>
                <w:rFonts w:hint="default" w:ascii="Times New Roman" w:hAnsi="Times New Roman" w:eastAsia="宋体" w:cs="Times New Roman"/>
                <w:b/>
                <w:bCs/>
                <w:sz w:val="24"/>
              </w:rPr>
              <w:t>建设内容</w:t>
            </w:r>
            <w:r>
              <w:rPr>
                <w:rFonts w:hint="eastAsia" w:ascii="Times New Roman" w:hAnsi="Times New Roman" w:eastAsia="宋体" w:cs="Times New Roman"/>
                <w:b/>
                <w:bCs/>
                <w:sz w:val="24"/>
              </w:rPr>
              <w:t>及规模</w:t>
            </w:r>
            <w:r>
              <w:rPr>
                <w:rFonts w:hint="default" w:ascii="Times New Roman" w:hAnsi="Times New Roman" w:eastAsia="宋体" w:cs="Times New Roman"/>
                <w:b/>
                <w:bCs/>
                <w:sz w:val="24"/>
              </w:rPr>
              <w:t>：</w:t>
            </w:r>
            <w:r>
              <w:rPr>
                <w:rFonts w:hint="eastAsia" w:ascii="Times New Roman" w:hAnsi="Times New Roman" w:eastAsia="宋体" w:cs="Times New Roman"/>
                <w:bCs/>
                <w:sz w:val="24"/>
              </w:rPr>
              <w:t>公司拟将原位于邻水县石滓镇朱家寨村7组的1条建筑用砂生产线整体搬迁至邻水县石滓镇晒金村8组。新厂区占地面积</w:t>
            </w:r>
            <w:r>
              <w:rPr>
                <w:rFonts w:hint="eastAsia" w:cs="Times New Roman"/>
                <w:bCs/>
                <w:sz w:val="24"/>
                <w:lang w:val="en-US" w:eastAsia="zh-CN"/>
              </w:rPr>
              <w:t>5000m</w:t>
            </w:r>
            <w:r>
              <w:rPr>
                <w:rFonts w:hint="eastAsia" w:cs="Times New Roman"/>
                <w:bCs/>
                <w:sz w:val="24"/>
                <w:vertAlign w:val="superscript"/>
                <w:lang w:val="en-US" w:eastAsia="zh-CN"/>
              </w:rPr>
              <w:t>2</w:t>
            </w:r>
            <w:r>
              <w:rPr>
                <w:rFonts w:hint="eastAsia" w:ascii="Times New Roman" w:hAnsi="Times New Roman" w:eastAsia="宋体" w:cs="Times New Roman"/>
                <w:bCs/>
                <w:sz w:val="24"/>
              </w:rPr>
              <w:t>，项目新建生产厂房</w:t>
            </w:r>
            <w:r>
              <w:rPr>
                <w:rFonts w:hint="eastAsia" w:cs="Times New Roman"/>
                <w:bCs/>
                <w:sz w:val="24"/>
                <w:lang w:val="en-US" w:eastAsia="zh-CN"/>
              </w:rPr>
              <w:t>1500m</w:t>
            </w:r>
            <w:r>
              <w:rPr>
                <w:rFonts w:hint="eastAsia" w:cs="Times New Roman"/>
                <w:bCs/>
                <w:sz w:val="24"/>
                <w:vertAlign w:val="superscript"/>
                <w:lang w:val="en-US" w:eastAsia="zh-CN"/>
              </w:rPr>
              <w:t>2</w:t>
            </w:r>
            <w:r>
              <w:rPr>
                <w:rFonts w:hint="eastAsia" w:cs="Times New Roman"/>
                <w:bCs/>
                <w:sz w:val="24"/>
                <w:lang w:eastAsia="zh-CN"/>
              </w:rPr>
              <w:t>，</w:t>
            </w:r>
            <w:r>
              <w:rPr>
                <w:rFonts w:hint="eastAsia" w:ascii="Times New Roman" w:hAnsi="Times New Roman" w:eastAsia="宋体" w:cs="Times New Roman"/>
                <w:bCs/>
                <w:sz w:val="24"/>
              </w:rPr>
              <w:t>主要生产设备：</w:t>
            </w:r>
            <w:r>
              <w:rPr>
                <w:rFonts w:hint="eastAsia" w:ascii="Times New Roman" w:hAnsi="Times New Roman" w:eastAsia="宋体" w:cs="Times New Roman"/>
                <w:bCs/>
                <w:sz w:val="24"/>
                <w:lang w:val="en-US" w:eastAsia="zh-CN"/>
              </w:rPr>
              <w:t>颚式破碎机</w:t>
            </w:r>
            <w:r>
              <w:rPr>
                <w:rFonts w:hint="eastAsia" w:ascii="Times New Roman" w:hAnsi="Times New Roman" w:eastAsia="宋体" w:cs="Times New Roman"/>
                <w:bCs/>
                <w:sz w:val="24"/>
              </w:rPr>
              <w:t>、</w:t>
            </w:r>
            <w:r>
              <w:rPr>
                <w:rFonts w:hint="eastAsia" w:ascii="Times New Roman" w:hAnsi="Times New Roman" w:eastAsia="宋体" w:cs="Times New Roman"/>
                <w:bCs/>
                <w:sz w:val="24"/>
                <w:lang w:val="en-US" w:eastAsia="zh-CN"/>
              </w:rPr>
              <w:t>锤头粉碎机</w:t>
            </w:r>
            <w:r>
              <w:rPr>
                <w:rFonts w:hint="eastAsia" w:ascii="Times New Roman" w:hAnsi="Times New Roman" w:eastAsia="宋体" w:cs="Times New Roman"/>
                <w:bCs/>
                <w:sz w:val="24"/>
              </w:rPr>
              <w:t>、压滤机、传送皮带（多段）、洗砂机等均利旧。项目建成后通过外购</w:t>
            </w:r>
            <w:r>
              <w:rPr>
                <w:rFonts w:hint="eastAsia" w:cs="Times New Roman"/>
                <w:bCs/>
                <w:sz w:val="24"/>
                <w:lang w:val="en-US" w:eastAsia="zh-CN"/>
              </w:rPr>
              <w:t>鹅卵石和</w:t>
            </w:r>
            <w:r>
              <w:rPr>
                <w:rFonts w:hint="eastAsia" w:ascii="Times New Roman" w:hAnsi="Times New Roman" w:eastAsia="宋体" w:cs="Times New Roman"/>
                <w:bCs/>
                <w:sz w:val="24"/>
              </w:rPr>
              <w:t>建筑废弃材料破碎为建筑用砂，实现年产砂石3万吨</w:t>
            </w:r>
            <w:r>
              <w:rPr>
                <w:rFonts w:hint="eastAsia" w:cs="Times New Roman"/>
                <w:bCs/>
                <w:sz w:val="24"/>
                <w:lang w:val="en-US" w:eastAsia="zh-CN"/>
              </w:rPr>
              <w:t>的产能</w:t>
            </w:r>
            <w:r>
              <w:rPr>
                <w:rFonts w:hint="eastAsia" w:ascii="Times New Roman" w:hAnsi="Times New Roman" w:eastAsia="宋体" w:cs="Times New Roman"/>
                <w:bCs/>
                <w:sz w:val="24"/>
              </w:rPr>
              <w:t>。</w:t>
            </w:r>
          </w:p>
          <w:p w14:paraId="6AF1A1BA">
            <w:pPr>
              <w:pStyle w:val="2"/>
              <w:keepNext w:val="0"/>
              <w:keepLines w:val="0"/>
              <w:suppressLineNumbers w:val="0"/>
              <w:spacing w:before="0" w:beforeAutospacing="0" w:afterAutospacing="0"/>
              <w:ind w:left="0" w:leftChars="0" w:right="0" w:firstLine="0" w:firstLineChars="0"/>
              <w:rPr>
                <w:rFonts w:hint="default"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1、产品方案</w:t>
            </w:r>
          </w:p>
          <w:p w14:paraId="5943D48F">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snapToGrid/>
                <w:color w:val="auto"/>
                <w:kern w:val="2"/>
                <w:sz w:val="24"/>
                <w:szCs w:val="24"/>
                <w:lang w:val="en-US" w:eastAsia="zh-CN" w:bidi="ar-SA"/>
              </w:rPr>
            </w:pPr>
            <w:r>
              <w:rPr>
                <w:rFonts w:hint="eastAsia" w:cs="Times New Roman"/>
                <w:bCs/>
                <w:sz w:val="24"/>
                <w:lang w:val="en-US" w:eastAsia="zh-CN"/>
              </w:rPr>
              <w:t>本项目</w:t>
            </w:r>
            <w:r>
              <w:rPr>
                <w:rFonts w:hint="eastAsia" w:ascii="Times New Roman" w:hAnsi="Times New Roman" w:eastAsia="宋体" w:cs="Times New Roman"/>
                <w:bCs/>
                <w:sz w:val="24"/>
              </w:rPr>
              <w:t>通过外购鹅卵石及建筑废弃材料破碎为建筑用砂。</w:t>
            </w:r>
          </w:p>
          <w:p w14:paraId="1A4282F6">
            <w:pPr>
              <w:pStyle w:val="46"/>
              <w:keepNext w:val="0"/>
              <w:keepLines w:val="0"/>
              <w:suppressLineNumbers w:val="0"/>
              <w:spacing w:before="0" w:beforeAutospacing="0" w:after="0" w:afterAutospacing="0" w:line="240" w:lineRule="auto"/>
              <w:ind w:left="0" w:right="0" w:firstLine="422" w:firstLineChars="200"/>
              <w:jc w:val="center"/>
              <w:rPr>
                <w:rFonts w:hint="default" w:ascii="Times New Roman" w:hAnsi="Times New Roman" w:eastAsia="宋体" w:cs="Times New Roman"/>
                <w:szCs w:val="21"/>
              </w:rPr>
            </w:pPr>
            <w:r>
              <w:rPr>
                <w:rFonts w:hint="eastAsia" w:ascii="Times New Roman" w:hAnsi="Times New Roman" w:eastAsia="宋体" w:cs="Times New Roman"/>
                <w:b/>
                <w:bCs/>
                <w:szCs w:val="21"/>
              </w:rPr>
              <w:t>表2-1 项目产品方案及规模一览表</w:t>
            </w:r>
          </w:p>
          <w:tbl>
            <w:tblPr>
              <w:tblStyle w:val="2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12"/>
              <w:gridCol w:w="1111"/>
              <w:gridCol w:w="1655"/>
              <w:gridCol w:w="2334"/>
              <w:gridCol w:w="2178"/>
            </w:tblGrid>
            <w:tr w14:paraId="070198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3" w:type="pct"/>
                  <w:noWrap w:val="0"/>
                  <w:vAlign w:val="center"/>
                </w:tcPr>
                <w:p w14:paraId="18F4B180">
                  <w:pPr>
                    <w:pStyle w:val="102"/>
                    <w:keepNext w:val="0"/>
                    <w:keepLines w:val="0"/>
                    <w:suppressLineNumbers w:val="0"/>
                    <w:tabs>
                      <w:tab w:val="clear" w:pos="-280"/>
                      <w:tab w:val="clear" w:pos="-220"/>
                    </w:tabs>
                    <w:spacing w:before="0" w:beforeAutospacing="0" w:after="0" w:afterAutospacing="0" w:line="0" w:lineRule="atLeast"/>
                    <w:ind w:left="0" w:right="0"/>
                    <w:jc w:val="center"/>
                    <w:rPr>
                      <w:rFonts w:hint="default" w:ascii="Times New Roman" w:hAnsi="Times New Roman" w:eastAsia="宋体"/>
                      <w:b/>
                      <w:bCs/>
                      <w:sz w:val="21"/>
                      <w:szCs w:val="21"/>
                    </w:rPr>
                  </w:pPr>
                  <w:r>
                    <w:rPr>
                      <w:rFonts w:hint="default" w:ascii="Times New Roman" w:hAnsi="Times New Roman" w:eastAsia="宋体"/>
                      <w:b/>
                      <w:bCs/>
                      <w:sz w:val="21"/>
                      <w:szCs w:val="21"/>
                    </w:rPr>
                    <w:t>主要产品名称</w:t>
                  </w:r>
                </w:p>
              </w:tc>
              <w:tc>
                <w:tcPr>
                  <w:tcW w:w="662" w:type="pct"/>
                  <w:noWrap w:val="0"/>
                  <w:vAlign w:val="center"/>
                </w:tcPr>
                <w:p w14:paraId="03F6860F">
                  <w:pPr>
                    <w:pStyle w:val="102"/>
                    <w:keepNext w:val="0"/>
                    <w:keepLines w:val="0"/>
                    <w:suppressLineNumbers w:val="0"/>
                    <w:tabs>
                      <w:tab w:val="clear" w:pos="-280"/>
                      <w:tab w:val="clear" w:pos="-220"/>
                    </w:tabs>
                    <w:spacing w:before="0" w:beforeAutospacing="0" w:after="0" w:afterAutospacing="0" w:line="0" w:lineRule="atLeast"/>
                    <w:ind w:left="0" w:right="0"/>
                    <w:jc w:val="center"/>
                    <w:rPr>
                      <w:rFonts w:hint="default" w:ascii="Times New Roman" w:hAnsi="Times New Roman" w:eastAsia="宋体"/>
                      <w:b/>
                      <w:bCs/>
                      <w:sz w:val="21"/>
                      <w:szCs w:val="21"/>
                    </w:rPr>
                  </w:pPr>
                  <w:r>
                    <w:rPr>
                      <w:rFonts w:hint="default" w:ascii="Times New Roman" w:hAnsi="Times New Roman" w:eastAsia="宋体"/>
                      <w:b/>
                      <w:bCs/>
                      <w:sz w:val="21"/>
                      <w:szCs w:val="21"/>
                    </w:rPr>
                    <w:t>年产量</w:t>
                  </w:r>
                </w:p>
              </w:tc>
              <w:tc>
                <w:tcPr>
                  <w:tcW w:w="986" w:type="pct"/>
                  <w:noWrap w:val="0"/>
                  <w:vAlign w:val="center"/>
                </w:tcPr>
                <w:p w14:paraId="6215752F">
                  <w:pPr>
                    <w:pStyle w:val="102"/>
                    <w:keepNext w:val="0"/>
                    <w:keepLines w:val="0"/>
                    <w:suppressLineNumbers w:val="0"/>
                    <w:tabs>
                      <w:tab w:val="clear" w:pos="-280"/>
                      <w:tab w:val="clear" w:pos="-220"/>
                    </w:tabs>
                    <w:spacing w:before="0" w:beforeAutospacing="0" w:after="0" w:afterAutospacing="0" w:line="0" w:lineRule="atLeast"/>
                    <w:ind w:left="0" w:right="0"/>
                    <w:jc w:val="center"/>
                    <w:rPr>
                      <w:rFonts w:hint="default" w:ascii="Times New Roman" w:hAnsi="Times New Roman" w:eastAsia="宋体"/>
                      <w:b/>
                      <w:bCs/>
                      <w:sz w:val="21"/>
                      <w:szCs w:val="21"/>
                    </w:rPr>
                  </w:pPr>
                  <w:r>
                    <w:rPr>
                      <w:rFonts w:hint="default" w:ascii="Times New Roman" w:hAnsi="Times New Roman" w:eastAsia="宋体"/>
                      <w:b/>
                      <w:bCs/>
                      <w:sz w:val="21"/>
                      <w:szCs w:val="21"/>
                    </w:rPr>
                    <w:t>规格尺寸</w:t>
                  </w:r>
                </w:p>
              </w:tc>
              <w:tc>
                <w:tcPr>
                  <w:tcW w:w="1391" w:type="pct"/>
                  <w:noWrap w:val="0"/>
                  <w:vAlign w:val="center"/>
                </w:tcPr>
                <w:p w14:paraId="2C7FD498">
                  <w:pPr>
                    <w:pStyle w:val="102"/>
                    <w:keepNext w:val="0"/>
                    <w:keepLines w:val="0"/>
                    <w:suppressLineNumbers w:val="0"/>
                    <w:tabs>
                      <w:tab w:val="clear" w:pos="-280"/>
                      <w:tab w:val="clear" w:pos="-220"/>
                    </w:tabs>
                    <w:spacing w:before="0" w:beforeAutospacing="0" w:after="0" w:afterAutospacing="0" w:line="0" w:lineRule="atLeast"/>
                    <w:ind w:left="0" w:right="0"/>
                    <w:jc w:val="center"/>
                    <w:rPr>
                      <w:rFonts w:hint="default" w:ascii="Times New Roman" w:hAnsi="Times New Roman" w:eastAsia="宋体"/>
                      <w:b/>
                      <w:bCs/>
                      <w:sz w:val="21"/>
                      <w:szCs w:val="21"/>
                    </w:rPr>
                  </w:pPr>
                  <w:r>
                    <w:rPr>
                      <w:rFonts w:hint="default" w:ascii="Times New Roman" w:hAnsi="Times New Roman" w:eastAsia="宋体"/>
                      <w:b/>
                      <w:bCs/>
                      <w:sz w:val="21"/>
                      <w:szCs w:val="21"/>
                    </w:rPr>
                    <w:t>主要用途</w:t>
                  </w:r>
                </w:p>
              </w:tc>
              <w:tc>
                <w:tcPr>
                  <w:tcW w:w="1296" w:type="pct"/>
                  <w:noWrap w:val="0"/>
                  <w:vAlign w:val="center"/>
                </w:tcPr>
                <w:p w14:paraId="5B11D18E">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b/>
                      <w:bCs/>
                      <w:szCs w:val="21"/>
                    </w:rPr>
                  </w:pPr>
                  <w:r>
                    <w:rPr>
                      <w:rFonts w:hint="default" w:ascii="Times New Roman" w:hAnsi="Times New Roman" w:eastAsia="宋体" w:cs="Times New Roman"/>
                      <w:b/>
                      <w:bCs/>
                      <w:sz w:val="21"/>
                      <w:szCs w:val="21"/>
                    </w:rPr>
                    <w:t>生产线设置</w:t>
                  </w:r>
                </w:p>
              </w:tc>
            </w:tr>
            <w:tr w14:paraId="14B68A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3" w:type="pct"/>
                  <w:noWrap w:val="0"/>
                  <w:vAlign w:val="center"/>
                </w:tcPr>
                <w:p w14:paraId="6D55BD1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szCs w:val="21"/>
                      <w:lang w:val="en-US" w:eastAsia="zh-CN"/>
                    </w:rPr>
                  </w:pPr>
                  <w:r>
                    <w:rPr>
                      <w:rFonts w:hint="eastAsia" w:ascii="Times New Roman" w:hAnsi="Times New Roman" w:eastAsia="宋体" w:cs="Times New Roman"/>
                      <w:b w:val="0"/>
                      <w:bCs/>
                      <w:szCs w:val="21"/>
                      <w:lang w:val="en-US" w:eastAsia="zh-CN"/>
                    </w:rPr>
                    <w:t>中砂</w:t>
                  </w:r>
                </w:p>
              </w:tc>
              <w:tc>
                <w:tcPr>
                  <w:tcW w:w="662" w:type="pct"/>
                  <w:noWrap w:val="0"/>
                  <w:vAlign w:val="center"/>
                </w:tcPr>
                <w:p w14:paraId="028E3CD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szCs w:val="21"/>
                      <w:lang w:val="en-US" w:eastAsia="zh-CN"/>
                    </w:rPr>
                  </w:pPr>
                  <w:r>
                    <w:rPr>
                      <w:rFonts w:hint="eastAsia" w:ascii="Times New Roman" w:hAnsi="Times New Roman" w:eastAsia="宋体" w:cs="Times New Roman"/>
                      <w:b w:val="0"/>
                      <w:bCs/>
                      <w:szCs w:val="21"/>
                      <w:lang w:val="en-US" w:eastAsia="zh-CN"/>
                    </w:rPr>
                    <w:t>3万t</w:t>
                  </w:r>
                  <w:r>
                    <w:rPr>
                      <w:rFonts w:hint="default" w:ascii="Times New Roman" w:hAnsi="Times New Roman" w:eastAsia="宋体" w:cs="Times New Roman"/>
                      <w:b w:val="0"/>
                      <w:bCs/>
                      <w:szCs w:val="21"/>
                      <w:lang w:val="en-US" w:eastAsia="zh-CN"/>
                    </w:rPr>
                    <w:t>/年</w:t>
                  </w:r>
                </w:p>
              </w:tc>
              <w:tc>
                <w:tcPr>
                  <w:tcW w:w="986" w:type="pct"/>
                  <w:noWrap w:val="0"/>
                  <w:vAlign w:val="center"/>
                </w:tcPr>
                <w:p w14:paraId="5900D33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szCs w:val="21"/>
                      <w:lang w:val="en-US" w:eastAsia="zh-CN"/>
                    </w:rPr>
                  </w:pPr>
                  <w:r>
                    <w:rPr>
                      <w:rFonts w:hint="eastAsia" w:ascii="Times New Roman" w:hAnsi="Times New Roman" w:eastAsia="宋体" w:cs="Times New Roman"/>
                      <w:b w:val="0"/>
                      <w:bCs/>
                      <w:szCs w:val="21"/>
                      <w:lang w:val="en-US" w:eastAsia="zh-CN"/>
                    </w:rPr>
                    <w:t>粒径＜4</w:t>
                  </w:r>
                  <w:r>
                    <w:rPr>
                      <w:rFonts w:hint="eastAsia" w:cs="Times New Roman"/>
                      <w:b w:val="0"/>
                      <w:bCs/>
                      <w:szCs w:val="21"/>
                      <w:lang w:val="en-US" w:eastAsia="zh-CN"/>
                    </w:rPr>
                    <w:t>.75</w:t>
                  </w:r>
                  <w:r>
                    <w:rPr>
                      <w:rFonts w:hint="default" w:ascii="Times New Roman" w:hAnsi="Times New Roman" w:eastAsia="宋体" w:cs="Times New Roman"/>
                      <w:b w:val="0"/>
                      <w:bCs/>
                      <w:szCs w:val="21"/>
                      <w:lang w:val="en-US" w:eastAsia="zh-CN"/>
                    </w:rPr>
                    <w:t>mm</w:t>
                  </w:r>
                </w:p>
              </w:tc>
              <w:tc>
                <w:tcPr>
                  <w:tcW w:w="1391" w:type="pct"/>
                  <w:noWrap w:val="0"/>
                  <w:vAlign w:val="center"/>
                </w:tcPr>
                <w:p w14:paraId="3F7CC0AE">
                  <w:pPr>
                    <w:pStyle w:val="102"/>
                    <w:keepNext w:val="0"/>
                    <w:keepLines w:val="0"/>
                    <w:suppressLineNumbers w:val="0"/>
                    <w:tabs>
                      <w:tab w:val="clear" w:pos="-280"/>
                      <w:tab w:val="clear" w:pos="-220"/>
                    </w:tabs>
                    <w:spacing w:before="0" w:beforeAutospacing="0" w:after="0" w:afterAutospacing="0" w:line="0" w:lineRule="atLeast"/>
                    <w:ind w:left="0" w:right="0"/>
                    <w:jc w:val="center"/>
                    <w:rPr>
                      <w:rFonts w:hint="default" w:ascii="Times New Roman" w:hAnsi="Times New Roman" w:eastAsia="宋体"/>
                      <w:sz w:val="21"/>
                      <w:szCs w:val="21"/>
                      <w:lang w:val="en-US" w:eastAsia="zh-CN"/>
                    </w:rPr>
                  </w:pPr>
                  <w:r>
                    <w:rPr>
                      <w:rFonts w:hint="eastAsia"/>
                      <w:sz w:val="21"/>
                      <w:szCs w:val="21"/>
                      <w:lang w:val="en-US" w:eastAsia="zh-CN"/>
                    </w:rPr>
                    <w:t>用于普通混凝土、建筑砂浆等</w:t>
                  </w:r>
                </w:p>
              </w:tc>
              <w:tc>
                <w:tcPr>
                  <w:tcW w:w="1296" w:type="pct"/>
                  <w:noWrap w:val="0"/>
                  <w:vAlign w:val="center"/>
                </w:tcPr>
                <w:p w14:paraId="28352960">
                  <w:pPr>
                    <w:pStyle w:val="102"/>
                    <w:keepNext w:val="0"/>
                    <w:keepLines w:val="0"/>
                    <w:suppressLineNumbers w:val="0"/>
                    <w:tabs>
                      <w:tab w:val="clear" w:pos="-280"/>
                      <w:tab w:val="clear" w:pos="-220"/>
                    </w:tabs>
                    <w:spacing w:before="0" w:beforeAutospacing="0" w:after="0" w:afterAutospacing="0" w:line="0" w:lineRule="atLeast"/>
                    <w:ind w:left="0" w:right="0"/>
                    <w:jc w:val="both"/>
                    <w:rPr>
                      <w:rFonts w:hint="default" w:ascii="Times New Roman" w:hAnsi="Times New Roman" w:eastAsia="宋体"/>
                      <w:b/>
                      <w:sz w:val="21"/>
                      <w:szCs w:val="21"/>
                      <w:lang w:val="en-US" w:eastAsia="zh-CN"/>
                    </w:rPr>
                  </w:pPr>
                  <w:r>
                    <w:rPr>
                      <w:rFonts w:hint="eastAsia" w:ascii="Times New Roman" w:hAnsi="Times New Roman" w:eastAsia="宋体" w:cs="Times New Roman"/>
                      <w:sz w:val="21"/>
                      <w:szCs w:val="21"/>
                      <w:lang w:val="en-US" w:eastAsia="zh-CN"/>
                    </w:rPr>
                    <w:t>砂石生产线1条</w:t>
                  </w:r>
                </w:p>
              </w:tc>
            </w:tr>
            <w:tr w14:paraId="1E3E3F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5"/>
                  <w:noWrap w:val="0"/>
                  <w:vAlign w:val="center"/>
                </w:tcPr>
                <w:p w14:paraId="76FDE034">
                  <w:pPr>
                    <w:pStyle w:val="102"/>
                    <w:keepNext w:val="0"/>
                    <w:keepLines w:val="0"/>
                    <w:suppressLineNumbers w:val="0"/>
                    <w:tabs>
                      <w:tab w:val="clear" w:pos="-280"/>
                      <w:tab w:val="clear" w:pos="-220"/>
                    </w:tabs>
                    <w:spacing w:before="0" w:beforeAutospacing="0" w:after="0" w:afterAutospacing="0" w:line="0" w:lineRule="atLeast"/>
                    <w:ind w:left="0" w:right="0"/>
                    <w:jc w:val="both"/>
                    <w:rPr>
                      <w:rFonts w:hint="default" w:ascii="Times New Roman" w:hAnsi="Times New Roman" w:eastAsia="宋体" w:cs="Times New Roman"/>
                      <w:sz w:val="21"/>
                      <w:szCs w:val="21"/>
                      <w:lang w:val="en-US" w:eastAsia="zh-CN"/>
                    </w:rPr>
                  </w:pPr>
                  <w:r>
                    <w:rPr>
                      <w:rFonts w:hint="eastAsia" w:cs="Times New Roman"/>
                      <w:sz w:val="21"/>
                      <w:szCs w:val="21"/>
                      <w:lang w:val="en-US" w:eastAsia="zh-CN"/>
                    </w:rPr>
                    <w:t>注：机制砂质量应符合《建设用砂》GB/T14684-2022标准要求。</w:t>
                  </w:r>
                </w:p>
              </w:tc>
            </w:tr>
          </w:tbl>
          <w:p w14:paraId="76B0E593">
            <w:pPr>
              <w:pStyle w:val="73"/>
              <w:keepNext w:val="0"/>
              <w:keepLines w:val="0"/>
              <w:pageBreakBefore w:val="0"/>
              <w:widowControl w:val="0"/>
              <w:suppressLineNumbers w:val="0"/>
              <w:kinsoku/>
              <w:wordWrap/>
              <w:overflowPunct w:val="0"/>
              <w:topLinePunct/>
              <w:autoSpaceDE/>
              <w:autoSpaceDN/>
              <w:bidi w:val="0"/>
              <w:adjustRightInd/>
              <w:snapToGrid/>
              <w:spacing w:before="157" w:beforeLines="50" w:beforeAutospacing="0" w:after="0" w:afterAutospacing="0"/>
              <w:ind w:left="0" w:right="0" w:firstLine="0" w:firstLineChars="0"/>
              <w:textAlignment w:val="baseline"/>
              <w:rPr>
                <w:rFonts w:hint="default" w:ascii="Times New Roman" w:hAnsi="Times New Roman" w:eastAsia="宋体" w:cs="Times New Roman"/>
                <w:b/>
                <w:bCs/>
                <w:sz w:val="24"/>
              </w:rPr>
            </w:pPr>
            <w:r>
              <w:rPr>
                <w:rFonts w:hint="eastAsia" w:ascii="Times New Roman" w:hAnsi="Times New Roman" w:eastAsia="宋体" w:cs="Times New Roman"/>
                <w:b/>
                <w:bCs/>
                <w:sz w:val="24"/>
                <w:lang w:val="en-US" w:eastAsia="zh-CN"/>
              </w:rPr>
              <w:t>2</w:t>
            </w:r>
            <w:r>
              <w:rPr>
                <w:rFonts w:hint="eastAsia" w:ascii="Times New Roman" w:hAnsi="Times New Roman" w:eastAsia="宋体" w:cs="Times New Roman"/>
                <w:b/>
                <w:bCs/>
                <w:sz w:val="24"/>
              </w:rPr>
              <w:t>、项目组成及主要环境问题</w:t>
            </w:r>
          </w:p>
          <w:p w14:paraId="262B993F">
            <w:pPr>
              <w:pStyle w:val="73"/>
              <w:keepNext w:val="0"/>
              <w:keepLines w:val="0"/>
              <w:suppressLineNumbers w:val="0"/>
              <w:overflowPunct w:val="0"/>
              <w:topLinePunct/>
              <w:adjustRightInd/>
              <w:snapToGrid/>
              <w:spacing w:before="0" w:beforeAutospacing="0" w:after="0" w:afterAutospacing="0"/>
              <w:ind w:left="0" w:right="0" w:firstLine="480"/>
              <w:rPr>
                <w:rFonts w:hint="default" w:ascii="Times New Roman" w:hAnsi="Times New Roman" w:eastAsia="宋体" w:cs="Times New Roman"/>
                <w:sz w:val="24"/>
              </w:rPr>
            </w:pPr>
            <w:r>
              <w:rPr>
                <w:rFonts w:hint="default" w:ascii="Times New Roman" w:hAnsi="Times New Roman" w:eastAsia="宋体" w:cs="Times New Roman"/>
                <w:sz w:val="24"/>
              </w:rPr>
              <w:t>项目组成及主要的环境问题见下表。</w:t>
            </w:r>
          </w:p>
          <w:p w14:paraId="1361942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表2-2</w:t>
            </w:r>
            <w:r>
              <w:rPr>
                <w:rFonts w:hint="eastAsia" w:ascii="Times New Roman" w:hAnsi="Times New Roman" w:eastAsia="宋体" w:cs="Times New Roman"/>
                <w:b/>
                <w:bCs/>
                <w:szCs w:val="21"/>
                <w:lang w:val="en-US" w:eastAsia="zh-CN"/>
              </w:rPr>
              <w:t xml:space="preserve"> </w:t>
            </w:r>
            <w:r>
              <w:rPr>
                <w:rFonts w:hint="eastAsia" w:ascii="Times New Roman" w:hAnsi="Times New Roman" w:eastAsia="宋体" w:cs="Times New Roman"/>
                <w:b/>
                <w:bCs/>
                <w:szCs w:val="21"/>
              </w:rPr>
              <w:t xml:space="preserve"> </w:t>
            </w:r>
            <w:r>
              <w:rPr>
                <w:rFonts w:hint="default" w:ascii="Times New Roman" w:hAnsi="Times New Roman" w:eastAsia="宋体" w:cs="Times New Roman"/>
                <w:b/>
                <w:bCs/>
                <w:szCs w:val="21"/>
              </w:rPr>
              <w:t>项目组成及主要环境问题</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22"/>
              <w:gridCol w:w="426"/>
              <w:gridCol w:w="208"/>
              <w:gridCol w:w="661"/>
              <w:gridCol w:w="3671"/>
              <w:gridCol w:w="1101"/>
              <w:gridCol w:w="969"/>
              <w:gridCol w:w="732"/>
            </w:tblGrid>
            <w:tr w14:paraId="299C83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2" w:type="pct"/>
                  <w:gridSpan w:val="4"/>
                  <w:vMerge w:val="restart"/>
                  <w:noWrap w:val="0"/>
                  <w:vAlign w:val="center"/>
                </w:tcPr>
                <w:p w14:paraId="47EA73A4">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r>
                    <w:rPr>
                      <w:rFonts w:hint="default" w:ascii="Times New Roman" w:hAnsi="Times New Roman" w:eastAsia="宋体" w:cs="Times New Roman"/>
                      <w:b/>
                      <w:szCs w:val="21"/>
                    </w:rPr>
                    <w:t>名称</w:t>
                  </w:r>
                </w:p>
              </w:tc>
              <w:tc>
                <w:tcPr>
                  <w:tcW w:w="2187" w:type="pct"/>
                  <w:vMerge w:val="restart"/>
                  <w:noWrap w:val="0"/>
                  <w:vAlign w:val="center"/>
                </w:tcPr>
                <w:p w14:paraId="0FA029B9">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r>
                    <w:rPr>
                      <w:rFonts w:hint="default" w:ascii="Times New Roman" w:hAnsi="Times New Roman" w:eastAsia="宋体" w:cs="Times New Roman"/>
                      <w:b/>
                      <w:szCs w:val="21"/>
                    </w:rPr>
                    <w:t>建设内容及规模</w:t>
                  </w:r>
                </w:p>
              </w:tc>
              <w:tc>
                <w:tcPr>
                  <w:tcW w:w="1233" w:type="pct"/>
                  <w:gridSpan w:val="2"/>
                  <w:noWrap w:val="0"/>
                  <w:vAlign w:val="center"/>
                </w:tcPr>
                <w:p w14:paraId="3E4BDEAA">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r>
                    <w:rPr>
                      <w:rFonts w:hint="default" w:ascii="Times New Roman" w:hAnsi="Times New Roman" w:eastAsia="宋体" w:cs="Times New Roman"/>
                      <w:b/>
                      <w:szCs w:val="21"/>
                    </w:rPr>
                    <w:t>可能产生的</w:t>
                  </w:r>
                  <w:r>
                    <w:rPr>
                      <w:rFonts w:hint="eastAsia" w:ascii="Times New Roman" w:hAnsi="Times New Roman" w:eastAsia="宋体" w:cs="Times New Roman"/>
                      <w:b/>
                      <w:szCs w:val="21"/>
                    </w:rPr>
                    <w:t>环境</w:t>
                  </w:r>
                  <w:r>
                    <w:rPr>
                      <w:rFonts w:hint="default" w:ascii="Times New Roman" w:hAnsi="Times New Roman" w:eastAsia="宋体" w:cs="Times New Roman"/>
                      <w:b/>
                      <w:szCs w:val="21"/>
                    </w:rPr>
                    <w:t>问题</w:t>
                  </w:r>
                </w:p>
              </w:tc>
              <w:tc>
                <w:tcPr>
                  <w:tcW w:w="436" w:type="pct"/>
                  <w:vMerge w:val="restart"/>
                  <w:noWrap w:val="0"/>
                  <w:vAlign w:val="center"/>
                </w:tcPr>
                <w:p w14:paraId="41033B8F">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r>
                    <w:rPr>
                      <w:rFonts w:hint="default" w:ascii="Times New Roman" w:hAnsi="Times New Roman" w:eastAsia="宋体" w:cs="Times New Roman"/>
                      <w:b/>
                      <w:szCs w:val="21"/>
                    </w:rPr>
                    <w:t>备注</w:t>
                  </w:r>
                </w:p>
              </w:tc>
            </w:tr>
            <w:tr w14:paraId="3C568F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2" w:type="pct"/>
                  <w:gridSpan w:val="4"/>
                  <w:vMerge w:val="continue"/>
                  <w:noWrap w:val="0"/>
                  <w:vAlign w:val="center"/>
                </w:tcPr>
                <w:p w14:paraId="29E6112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2187" w:type="pct"/>
                  <w:vMerge w:val="continue"/>
                  <w:noWrap w:val="0"/>
                  <w:vAlign w:val="center"/>
                </w:tcPr>
                <w:p w14:paraId="0DE1159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56" w:type="pct"/>
                  <w:noWrap w:val="0"/>
                  <w:vAlign w:val="center"/>
                </w:tcPr>
                <w:p w14:paraId="09DBF893">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r>
                    <w:rPr>
                      <w:rFonts w:hint="default" w:ascii="Times New Roman" w:hAnsi="Times New Roman" w:eastAsia="宋体" w:cs="Times New Roman"/>
                      <w:b/>
                      <w:szCs w:val="21"/>
                    </w:rPr>
                    <w:t>施工期</w:t>
                  </w:r>
                </w:p>
              </w:tc>
              <w:tc>
                <w:tcPr>
                  <w:tcW w:w="577" w:type="pct"/>
                  <w:noWrap w:val="0"/>
                  <w:vAlign w:val="center"/>
                </w:tcPr>
                <w:p w14:paraId="32E81218">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r>
                    <w:rPr>
                      <w:rFonts w:hint="default" w:ascii="Times New Roman" w:hAnsi="Times New Roman" w:eastAsia="宋体" w:cs="Times New Roman"/>
                      <w:b/>
                      <w:szCs w:val="21"/>
                    </w:rPr>
                    <w:t>运营期</w:t>
                  </w:r>
                </w:p>
              </w:tc>
              <w:tc>
                <w:tcPr>
                  <w:tcW w:w="436" w:type="pct"/>
                  <w:vMerge w:val="continue"/>
                  <w:noWrap w:val="0"/>
                  <w:vAlign w:val="center"/>
                </w:tcPr>
                <w:p w14:paraId="2166DD1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r>
            <w:tr w14:paraId="33389D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1142" w:type="pct"/>
                  <w:gridSpan w:val="4"/>
                  <w:noWrap w:val="0"/>
                  <w:vAlign w:val="center"/>
                </w:tcPr>
                <w:p w14:paraId="667F363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主</w:t>
                  </w:r>
                  <w:r>
                    <w:rPr>
                      <w:rFonts w:hint="eastAsia" w:ascii="Times New Roman" w:hAnsi="Times New Roman" w:eastAsia="宋体" w:cs="Times New Roman"/>
                      <w:szCs w:val="21"/>
                    </w:rPr>
                    <w:t>体</w:t>
                  </w:r>
                  <w:r>
                    <w:rPr>
                      <w:rFonts w:hint="default" w:ascii="Times New Roman" w:hAnsi="Times New Roman" w:eastAsia="宋体" w:cs="Times New Roman"/>
                      <w:szCs w:val="21"/>
                    </w:rPr>
                    <w:t>工程</w:t>
                  </w:r>
                </w:p>
              </w:tc>
              <w:tc>
                <w:tcPr>
                  <w:tcW w:w="2187" w:type="pct"/>
                  <w:noWrap w:val="0"/>
                  <w:vAlign w:val="center"/>
                </w:tcPr>
                <w:p w14:paraId="616FA348">
                  <w:pPr>
                    <w:pStyle w:val="103"/>
                    <w:keepNext w:val="0"/>
                    <w:keepLines w:val="0"/>
                    <w:suppressLineNumbers w:val="0"/>
                    <w:spacing w:before="0" w:beforeAutospacing="0" w:after="0" w:afterAutospacing="0"/>
                    <w:ind w:left="0" w:right="0"/>
                    <w:jc w:val="left"/>
                    <w:rPr>
                      <w:rFonts w:hint="default" w:ascii="Times New Roman" w:hAnsi="Times New Roman" w:eastAsia="宋体" w:cs="Calibri"/>
                    </w:rPr>
                  </w:pPr>
                  <w:r>
                    <w:rPr>
                      <w:rFonts w:hint="eastAsia" w:ascii="Times New Roman" w:hAnsi="Times New Roman" w:eastAsia="宋体" w:cs="Times New Roman"/>
                    </w:rPr>
                    <w:t>1栋1F</w:t>
                  </w:r>
                  <w:r>
                    <w:rPr>
                      <w:rFonts w:hint="eastAsia" w:cs="Times New Roman"/>
                      <w:lang w:val="en-US" w:eastAsia="zh-CN"/>
                    </w:rPr>
                    <w:t>钢</w:t>
                  </w:r>
                  <w:r>
                    <w:rPr>
                      <w:rFonts w:hint="eastAsia" w:ascii="Times New Roman" w:hAnsi="Times New Roman" w:eastAsia="宋体" w:cs="Times New Roman"/>
                    </w:rPr>
                    <w:t>结构厂房，</w:t>
                  </w:r>
                  <w:r>
                    <w:rPr>
                      <w:rFonts w:hint="eastAsia" w:cs="Times New Roman"/>
                      <w:lang w:val="en-US" w:eastAsia="zh-CN"/>
                    </w:rPr>
                    <w:t>全密闭设置，厂房内设置1条砂生产线，设置喂料机、颚式破碎机、锤头粉碎机、振动筛、滚动筛、轮式洗砂机、细砂回收脱水机一体机等。</w:t>
                  </w:r>
                </w:p>
              </w:tc>
              <w:tc>
                <w:tcPr>
                  <w:tcW w:w="656" w:type="pct"/>
                  <w:vMerge w:val="restart"/>
                  <w:noWrap w:val="0"/>
                  <w:vAlign w:val="center"/>
                </w:tcPr>
                <w:p w14:paraId="4DF2033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噪声、扬尘、装修废气、生活废水、固废</w:t>
                  </w:r>
                </w:p>
              </w:tc>
              <w:tc>
                <w:tcPr>
                  <w:tcW w:w="577" w:type="pct"/>
                  <w:noWrap w:val="0"/>
                  <w:vAlign w:val="center"/>
                </w:tcPr>
                <w:p w14:paraId="29DFFD9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固废、噪声、</w:t>
                  </w:r>
                  <w:r>
                    <w:rPr>
                      <w:rFonts w:hint="eastAsia" w:ascii="Times New Roman" w:hAnsi="Times New Roman" w:eastAsia="宋体" w:cs="Times New Roman"/>
                      <w:szCs w:val="21"/>
                    </w:rPr>
                    <w:t>废气、废水</w:t>
                  </w:r>
                </w:p>
              </w:tc>
              <w:tc>
                <w:tcPr>
                  <w:tcW w:w="436" w:type="pct"/>
                  <w:noWrap w:val="0"/>
                  <w:vAlign w:val="center"/>
                </w:tcPr>
                <w:p w14:paraId="3B81F71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新建</w:t>
                  </w:r>
                </w:p>
              </w:tc>
            </w:tr>
            <w:tr w14:paraId="3EAF60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371" w:type="pct"/>
                  <w:vMerge w:val="restart"/>
                  <w:noWrap w:val="0"/>
                  <w:vAlign w:val="center"/>
                </w:tcPr>
                <w:p w14:paraId="45C9A67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辅助工程</w:t>
                  </w:r>
                </w:p>
              </w:tc>
              <w:tc>
                <w:tcPr>
                  <w:tcW w:w="771" w:type="pct"/>
                  <w:gridSpan w:val="3"/>
                  <w:noWrap w:val="0"/>
                  <w:vAlign w:val="center"/>
                </w:tcPr>
                <w:p w14:paraId="0A00FEC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cs="Times New Roman"/>
                      <w:szCs w:val="21"/>
                      <w:lang w:val="en-US" w:eastAsia="zh-CN"/>
                    </w:rPr>
                    <w:t>办公室</w:t>
                  </w:r>
                </w:p>
              </w:tc>
              <w:tc>
                <w:tcPr>
                  <w:tcW w:w="2187" w:type="pct"/>
                  <w:noWrap w:val="0"/>
                  <w:vAlign w:val="center"/>
                </w:tcPr>
                <w:p w14:paraId="0D28C0C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cs="Times New Roman"/>
                      <w:szCs w:val="21"/>
                      <w:lang w:val="en-US" w:eastAsia="zh-CN"/>
                    </w:rPr>
                    <w:t>依托出租方已建</w:t>
                  </w:r>
                  <w:r>
                    <w:rPr>
                      <w:rFonts w:hint="eastAsia" w:ascii="Times New Roman" w:hAnsi="Times New Roman" w:eastAsia="宋体" w:cs="Times New Roman"/>
                    </w:rPr>
                    <w:t>1栋</w:t>
                  </w:r>
                  <w:r>
                    <w:rPr>
                      <w:rFonts w:hint="eastAsia" w:cs="Times New Roman"/>
                      <w:lang w:val="en-US" w:eastAsia="zh-CN"/>
                    </w:rPr>
                    <w:t>1F办公室</w:t>
                  </w:r>
                  <w:r>
                    <w:rPr>
                      <w:rFonts w:hint="eastAsia" w:ascii="Times New Roman" w:hAnsi="Times New Roman" w:eastAsia="宋体" w:cs="Times New Roman"/>
                    </w:rPr>
                    <w:t>，建筑面积</w:t>
                  </w:r>
                  <w:r>
                    <w:rPr>
                      <w:rFonts w:hint="eastAsia" w:cs="Times New Roman"/>
                      <w:lang w:val="en-US" w:eastAsia="zh-CN"/>
                    </w:rPr>
                    <w:t>40</w:t>
                  </w:r>
                  <w:r>
                    <w:rPr>
                      <w:rFonts w:hint="eastAsia" w:ascii="Times New Roman" w:hAnsi="Times New Roman" w:eastAsia="宋体" w:cs="Times New Roman"/>
                    </w:rPr>
                    <w:t>m</w:t>
                  </w:r>
                  <w:r>
                    <w:rPr>
                      <w:rFonts w:hint="eastAsia" w:ascii="Times New Roman" w:hAnsi="Times New Roman" w:eastAsia="宋体" w:cs="Times New Roman"/>
                      <w:vertAlign w:val="superscript"/>
                    </w:rPr>
                    <w:t>2</w:t>
                  </w:r>
                </w:p>
              </w:tc>
              <w:tc>
                <w:tcPr>
                  <w:tcW w:w="656" w:type="pct"/>
                  <w:vMerge w:val="continue"/>
                  <w:noWrap w:val="0"/>
                  <w:vAlign w:val="center"/>
                </w:tcPr>
                <w:p w14:paraId="0C5D40A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577" w:type="pct"/>
                  <w:noWrap w:val="0"/>
                  <w:vAlign w:val="center"/>
                </w:tcPr>
                <w:p w14:paraId="7B3B8BB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cs="Times New Roman"/>
                      <w:szCs w:val="21"/>
                      <w:lang w:val="en-US" w:eastAsia="zh-CN"/>
                    </w:rPr>
                    <w:t>废水、固废</w:t>
                  </w:r>
                </w:p>
              </w:tc>
              <w:tc>
                <w:tcPr>
                  <w:tcW w:w="436" w:type="pct"/>
                  <w:noWrap w:val="0"/>
                  <w:vAlign w:val="center"/>
                </w:tcPr>
                <w:p w14:paraId="794DB308">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lang w:eastAsia="zh-CN"/>
                    </w:rPr>
                  </w:pPr>
                  <w:r>
                    <w:rPr>
                      <w:rFonts w:hint="eastAsia" w:cs="Times New Roman"/>
                      <w:szCs w:val="21"/>
                      <w:lang w:val="en-US" w:eastAsia="zh-CN"/>
                    </w:rPr>
                    <w:t>依托</w:t>
                  </w:r>
                </w:p>
              </w:tc>
            </w:tr>
            <w:tr w14:paraId="1F2B22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371" w:type="pct"/>
                  <w:vMerge w:val="continue"/>
                  <w:noWrap w:val="0"/>
                  <w:vAlign w:val="center"/>
                </w:tcPr>
                <w:p w14:paraId="569E3954">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rPr>
                  </w:pPr>
                </w:p>
              </w:tc>
              <w:tc>
                <w:tcPr>
                  <w:tcW w:w="771" w:type="pct"/>
                  <w:gridSpan w:val="3"/>
                  <w:noWrap w:val="0"/>
                  <w:vAlign w:val="center"/>
                </w:tcPr>
                <w:p w14:paraId="433D2B55">
                  <w:pPr>
                    <w:keepNext w:val="0"/>
                    <w:keepLines w:val="0"/>
                    <w:suppressLineNumbers w:val="0"/>
                    <w:spacing w:before="0" w:beforeAutospacing="0" w:after="0" w:afterAutospacing="0"/>
                    <w:ind w:left="0" w:right="0"/>
                    <w:jc w:val="center"/>
                    <w:rPr>
                      <w:rFonts w:hint="default" w:cs="Times New Roman"/>
                      <w:szCs w:val="21"/>
                      <w:lang w:val="en-US" w:eastAsia="zh-CN"/>
                    </w:rPr>
                  </w:pPr>
                  <w:r>
                    <w:rPr>
                      <w:rFonts w:hint="eastAsia" w:cs="Times New Roman"/>
                      <w:szCs w:val="21"/>
                      <w:lang w:val="en-US" w:eastAsia="zh-CN"/>
                    </w:rPr>
                    <w:t>员工休息室</w:t>
                  </w:r>
                </w:p>
              </w:tc>
              <w:tc>
                <w:tcPr>
                  <w:tcW w:w="2187" w:type="pct"/>
                  <w:noWrap w:val="0"/>
                  <w:vAlign w:val="center"/>
                </w:tcPr>
                <w:p w14:paraId="046F4DE5">
                  <w:pPr>
                    <w:keepNext w:val="0"/>
                    <w:keepLines w:val="0"/>
                    <w:suppressLineNumbers w:val="0"/>
                    <w:spacing w:before="0" w:beforeAutospacing="0" w:after="0" w:afterAutospacing="0"/>
                    <w:ind w:left="0" w:right="0"/>
                    <w:jc w:val="center"/>
                    <w:rPr>
                      <w:rFonts w:hint="eastAsia" w:cs="Times New Roman"/>
                      <w:szCs w:val="21"/>
                      <w:lang w:val="en-US" w:eastAsia="zh-CN"/>
                    </w:rPr>
                  </w:pPr>
                  <w:r>
                    <w:rPr>
                      <w:rFonts w:hint="eastAsia" w:cs="Times New Roman"/>
                      <w:szCs w:val="21"/>
                      <w:lang w:val="en-US" w:eastAsia="zh-CN"/>
                    </w:rPr>
                    <w:t>依托出租方已建</w:t>
                  </w:r>
                  <w:r>
                    <w:rPr>
                      <w:rFonts w:hint="eastAsia" w:ascii="Times New Roman" w:hAnsi="Times New Roman" w:eastAsia="宋体" w:cs="Times New Roman"/>
                    </w:rPr>
                    <w:t>1栋</w:t>
                  </w:r>
                  <w:r>
                    <w:rPr>
                      <w:rFonts w:hint="eastAsia" w:cs="Times New Roman"/>
                      <w:lang w:val="en-US" w:eastAsia="zh-CN"/>
                    </w:rPr>
                    <w:t>1F</w:t>
                  </w:r>
                  <w:r>
                    <w:rPr>
                      <w:rFonts w:hint="eastAsia" w:cs="Times New Roman"/>
                      <w:szCs w:val="21"/>
                      <w:lang w:val="en-US" w:eastAsia="zh-CN"/>
                    </w:rPr>
                    <w:t>员工休息室</w:t>
                  </w:r>
                  <w:r>
                    <w:rPr>
                      <w:rFonts w:hint="eastAsia" w:ascii="Times New Roman" w:hAnsi="Times New Roman" w:eastAsia="宋体" w:cs="Times New Roman"/>
                    </w:rPr>
                    <w:t>，建筑面积</w:t>
                  </w:r>
                  <w:r>
                    <w:rPr>
                      <w:rFonts w:hint="eastAsia" w:cs="Times New Roman"/>
                      <w:lang w:val="en-US" w:eastAsia="zh-CN"/>
                    </w:rPr>
                    <w:t>50</w:t>
                  </w:r>
                  <w:r>
                    <w:rPr>
                      <w:rFonts w:hint="eastAsia" w:ascii="Times New Roman" w:hAnsi="Times New Roman" w:eastAsia="宋体" w:cs="Times New Roman"/>
                    </w:rPr>
                    <w:t>m</w:t>
                  </w:r>
                  <w:r>
                    <w:rPr>
                      <w:rFonts w:hint="eastAsia" w:ascii="Times New Roman" w:hAnsi="Times New Roman" w:eastAsia="宋体" w:cs="Times New Roman"/>
                      <w:vertAlign w:val="superscript"/>
                    </w:rPr>
                    <w:t>2</w:t>
                  </w:r>
                </w:p>
              </w:tc>
              <w:tc>
                <w:tcPr>
                  <w:tcW w:w="656" w:type="pct"/>
                  <w:vMerge w:val="continue"/>
                  <w:noWrap w:val="0"/>
                  <w:vAlign w:val="center"/>
                </w:tcPr>
                <w:p w14:paraId="584BA65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577" w:type="pct"/>
                  <w:noWrap w:val="0"/>
                  <w:vAlign w:val="center"/>
                </w:tcPr>
                <w:p w14:paraId="4B4058BF">
                  <w:pPr>
                    <w:keepNext w:val="0"/>
                    <w:keepLines w:val="0"/>
                    <w:suppressLineNumbers w:val="0"/>
                    <w:spacing w:before="0" w:beforeAutospacing="0" w:after="0" w:afterAutospacing="0"/>
                    <w:ind w:left="0" w:right="0"/>
                    <w:jc w:val="center"/>
                    <w:rPr>
                      <w:rFonts w:hint="eastAsia" w:cs="Times New Roman"/>
                      <w:szCs w:val="21"/>
                      <w:lang w:val="en-US" w:eastAsia="zh-CN"/>
                    </w:rPr>
                  </w:pPr>
                  <w:r>
                    <w:rPr>
                      <w:rFonts w:hint="eastAsia" w:cs="Times New Roman"/>
                      <w:szCs w:val="21"/>
                      <w:lang w:val="en-US" w:eastAsia="zh-CN"/>
                    </w:rPr>
                    <w:t>废水、固废</w:t>
                  </w:r>
                </w:p>
              </w:tc>
              <w:tc>
                <w:tcPr>
                  <w:tcW w:w="436" w:type="pct"/>
                  <w:shd w:val="clear" w:color="auto" w:fill="auto"/>
                  <w:noWrap w:val="0"/>
                  <w:vAlign w:val="center"/>
                </w:tcPr>
                <w:p w14:paraId="1847990F">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cs="Times New Roman"/>
                      <w:szCs w:val="21"/>
                      <w:lang w:val="en-US" w:eastAsia="zh-CN"/>
                    </w:rPr>
                    <w:t>依托</w:t>
                  </w:r>
                </w:p>
              </w:tc>
            </w:tr>
            <w:tr w14:paraId="5FFC83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371" w:type="pct"/>
                  <w:vMerge w:val="continue"/>
                  <w:noWrap w:val="0"/>
                  <w:vAlign w:val="center"/>
                </w:tcPr>
                <w:p w14:paraId="314D6F31">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rPr>
                  </w:pPr>
                </w:p>
              </w:tc>
              <w:tc>
                <w:tcPr>
                  <w:tcW w:w="771" w:type="pct"/>
                  <w:gridSpan w:val="3"/>
                  <w:noWrap w:val="0"/>
                  <w:vAlign w:val="center"/>
                </w:tcPr>
                <w:p w14:paraId="574C2803">
                  <w:pPr>
                    <w:keepNext w:val="0"/>
                    <w:keepLines w:val="0"/>
                    <w:suppressLineNumbers w:val="0"/>
                    <w:spacing w:before="0" w:beforeAutospacing="0" w:after="0" w:afterAutospacing="0"/>
                    <w:ind w:left="0" w:right="0"/>
                    <w:jc w:val="center"/>
                    <w:rPr>
                      <w:rFonts w:hint="default" w:cs="Times New Roman"/>
                      <w:szCs w:val="21"/>
                      <w:lang w:val="en-US" w:eastAsia="zh-CN"/>
                    </w:rPr>
                  </w:pPr>
                  <w:r>
                    <w:rPr>
                      <w:rFonts w:hint="eastAsia" w:cs="Times New Roman"/>
                      <w:szCs w:val="21"/>
                      <w:lang w:val="en-US" w:eastAsia="zh-CN"/>
                    </w:rPr>
                    <w:t>地磅</w:t>
                  </w:r>
                </w:p>
              </w:tc>
              <w:tc>
                <w:tcPr>
                  <w:tcW w:w="2187" w:type="pct"/>
                  <w:noWrap w:val="0"/>
                  <w:vAlign w:val="center"/>
                </w:tcPr>
                <w:p w14:paraId="149E7CBC">
                  <w:pPr>
                    <w:keepNext w:val="0"/>
                    <w:keepLines w:val="0"/>
                    <w:suppressLineNumbers w:val="0"/>
                    <w:spacing w:before="0" w:beforeAutospacing="0" w:after="0" w:afterAutospacing="0"/>
                    <w:ind w:left="0" w:right="0"/>
                    <w:jc w:val="center"/>
                    <w:rPr>
                      <w:rFonts w:hint="default"/>
                      <w:lang w:val="en-US" w:eastAsia="zh-CN"/>
                    </w:rPr>
                  </w:pPr>
                  <w:r>
                    <w:rPr>
                      <w:rFonts w:hint="eastAsia" w:cs="Times New Roman"/>
                      <w:szCs w:val="21"/>
                      <w:lang w:val="en-US" w:eastAsia="zh-CN"/>
                    </w:rPr>
                    <w:t>设置1台最大称重100T地磅</w:t>
                  </w:r>
                </w:p>
              </w:tc>
              <w:tc>
                <w:tcPr>
                  <w:tcW w:w="656" w:type="pct"/>
                  <w:vMerge w:val="continue"/>
                  <w:noWrap w:val="0"/>
                  <w:vAlign w:val="center"/>
                </w:tcPr>
                <w:p w14:paraId="1F0119A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577" w:type="pct"/>
                  <w:noWrap w:val="0"/>
                  <w:vAlign w:val="center"/>
                </w:tcPr>
                <w:p w14:paraId="367C3B9C">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lang w:val="en-US" w:eastAsia="zh-CN"/>
                    </w:rPr>
                  </w:pPr>
                  <w:r>
                    <w:rPr>
                      <w:rFonts w:hint="eastAsia" w:cs="Times New Roman"/>
                      <w:szCs w:val="21"/>
                      <w:lang w:val="en-US" w:eastAsia="zh-CN"/>
                    </w:rPr>
                    <w:t>/</w:t>
                  </w:r>
                </w:p>
              </w:tc>
              <w:tc>
                <w:tcPr>
                  <w:tcW w:w="436" w:type="pct"/>
                  <w:noWrap w:val="0"/>
                  <w:vAlign w:val="center"/>
                </w:tcPr>
                <w:p w14:paraId="0E48B123">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rPr>
                  </w:pPr>
                  <w:r>
                    <w:rPr>
                      <w:rFonts w:hint="eastAsia" w:ascii="Times New Roman" w:hAnsi="Times New Roman" w:eastAsia="宋体" w:cs="Times New Roman"/>
                      <w:szCs w:val="21"/>
                    </w:rPr>
                    <w:t>新建</w:t>
                  </w:r>
                </w:p>
              </w:tc>
            </w:tr>
            <w:tr w14:paraId="2A3DE4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371" w:type="pct"/>
                  <w:vMerge w:val="continue"/>
                  <w:noWrap w:val="0"/>
                  <w:vAlign w:val="center"/>
                </w:tcPr>
                <w:p w14:paraId="6048D1EC">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rPr>
                  </w:pPr>
                </w:p>
              </w:tc>
              <w:tc>
                <w:tcPr>
                  <w:tcW w:w="771" w:type="pct"/>
                  <w:gridSpan w:val="3"/>
                  <w:noWrap w:val="0"/>
                  <w:vAlign w:val="center"/>
                </w:tcPr>
                <w:p w14:paraId="09C2101E">
                  <w:pPr>
                    <w:keepNext w:val="0"/>
                    <w:keepLines w:val="0"/>
                    <w:suppressLineNumbers w:val="0"/>
                    <w:spacing w:before="0" w:beforeAutospacing="0" w:after="0" w:afterAutospacing="0"/>
                    <w:ind w:left="0" w:leftChars="0" w:right="0" w:rightChars="0" w:firstLine="0" w:firstLineChars="0"/>
                    <w:jc w:val="center"/>
                    <w:rPr>
                      <w:rFonts w:hint="default" w:cs="Times New Roman"/>
                      <w:szCs w:val="21"/>
                      <w:lang w:val="en-US" w:eastAsia="zh-CN"/>
                    </w:rPr>
                  </w:pPr>
                  <w:r>
                    <w:rPr>
                      <w:rFonts w:hint="eastAsia" w:cs="Times New Roman"/>
                      <w:szCs w:val="21"/>
                      <w:lang w:val="en-US" w:eastAsia="zh-CN"/>
                    </w:rPr>
                    <w:t>配电房</w:t>
                  </w:r>
                </w:p>
              </w:tc>
              <w:tc>
                <w:tcPr>
                  <w:tcW w:w="2187" w:type="pct"/>
                  <w:noWrap w:val="0"/>
                  <w:vAlign w:val="center"/>
                </w:tcPr>
                <w:p w14:paraId="11B046F4">
                  <w:pPr>
                    <w:keepNext w:val="0"/>
                    <w:keepLines w:val="0"/>
                    <w:suppressLineNumbers w:val="0"/>
                    <w:spacing w:before="0" w:beforeAutospacing="0" w:after="0" w:afterAutospacing="0"/>
                    <w:ind w:left="0" w:right="0"/>
                    <w:jc w:val="center"/>
                    <w:rPr>
                      <w:rFonts w:hint="default" w:cs="Times New Roman"/>
                      <w:szCs w:val="21"/>
                      <w:lang w:val="en-US" w:eastAsia="zh-CN"/>
                    </w:rPr>
                  </w:pPr>
                  <w:r>
                    <w:rPr>
                      <w:rFonts w:hint="eastAsia" w:cs="Times New Roman"/>
                      <w:szCs w:val="21"/>
                      <w:lang w:val="en-US" w:eastAsia="zh-CN"/>
                    </w:rPr>
                    <w:t>设置配电房1间，面积约15m</w:t>
                  </w:r>
                  <w:r>
                    <w:rPr>
                      <w:rFonts w:hint="eastAsia" w:cs="Times New Roman"/>
                      <w:szCs w:val="21"/>
                      <w:vertAlign w:val="superscript"/>
                      <w:lang w:val="en-US" w:eastAsia="zh-CN"/>
                    </w:rPr>
                    <w:t>2</w:t>
                  </w:r>
                </w:p>
              </w:tc>
              <w:tc>
                <w:tcPr>
                  <w:tcW w:w="656" w:type="pct"/>
                  <w:vMerge w:val="continue"/>
                  <w:noWrap w:val="0"/>
                  <w:vAlign w:val="center"/>
                </w:tcPr>
                <w:p w14:paraId="2CC20A1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577" w:type="pct"/>
                  <w:noWrap w:val="0"/>
                  <w:vAlign w:val="center"/>
                </w:tcPr>
                <w:p w14:paraId="4477AF3E">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lang w:val="en-US" w:eastAsia="zh-CN"/>
                    </w:rPr>
                  </w:pPr>
                  <w:r>
                    <w:rPr>
                      <w:rFonts w:hint="eastAsia" w:cs="Times New Roman"/>
                      <w:szCs w:val="21"/>
                      <w:lang w:val="en-US" w:eastAsia="zh-CN"/>
                    </w:rPr>
                    <w:t>/</w:t>
                  </w:r>
                </w:p>
              </w:tc>
              <w:tc>
                <w:tcPr>
                  <w:tcW w:w="436" w:type="pct"/>
                  <w:noWrap w:val="0"/>
                  <w:vAlign w:val="center"/>
                </w:tcPr>
                <w:p w14:paraId="227E969F">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rPr>
                  </w:pPr>
                  <w:r>
                    <w:rPr>
                      <w:rFonts w:hint="eastAsia" w:ascii="Times New Roman" w:hAnsi="Times New Roman" w:eastAsia="宋体" w:cs="Times New Roman"/>
                      <w:szCs w:val="21"/>
                    </w:rPr>
                    <w:t>新建</w:t>
                  </w:r>
                </w:p>
              </w:tc>
            </w:tr>
            <w:tr w14:paraId="263F7B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371" w:type="pct"/>
                  <w:vMerge w:val="continue"/>
                  <w:noWrap w:val="0"/>
                  <w:vAlign w:val="center"/>
                </w:tcPr>
                <w:p w14:paraId="7EE8C87A">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rPr>
                  </w:pPr>
                </w:p>
              </w:tc>
              <w:tc>
                <w:tcPr>
                  <w:tcW w:w="771" w:type="pct"/>
                  <w:gridSpan w:val="3"/>
                  <w:noWrap w:val="0"/>
                  <w:vAlign w:val="center"/>
                </w:tcPr>
                <w:p w14:paraId="6EBC4C50">
                  <w:pPr>
                    <w:keepNext w:val="0"/>
                    <w:keepLines w:val="0"/>
                    <w:suppressLineNumbers w:val="0"/>
                    <w:spacing w:before="0" w:beforeAutospacing="0" w:after="0" w:afterAutospacing="0"/>
                    <w:ind w:left="0" w:leftChars="0" w:right="0" w:rightChars="0" w:firstLine="0" w:firstLineChars="0"/>
                    <w:jc w:val="center"/>
                    <w:rPr>
                      <w:rFonts w:hint="default" w:cs="Times New Roman"/>
                      <w:szCs w:val="21"/>
                      <w:lang w:val="en-US" w:eastAsia="zh-CN"/>
                    </w:rPr>
                  </w:pPr>
                  <w:r>
                    <w:rPr>
                      <w:rFonts w:hint="eastAsia" w:cs="Times New Roman"/>
                      <w:szCs w:val="21"/>
                      <w:lang w:val="en-US" w:eastAsia="zh-CN"/>
                    </w:rPr>
                    <w:t>压滤间</w:t>
                  </w:r>
                </w:p>
              </w:tc>
              <w:tc>
                <w:tcPr>
                  <w:tcW w:w="2187" w:type="pct"/>
                  <w:noWrap w:val="0"/>
                  <w:vAlign w:val="center"/>
                </w:tcPr>
                <w:p w14:paraId="39C213DC">
                  <w:pPr>
                    <w:keepNext w:val="0"/>
                    <w:keepLines w:val="0"/>
                    <w:suppressLineNumbers w:val="0"/>
                    <w:spacing w:before="0" w:beforeAutospacing="0" w:after="0" w:afterAutospacing="0"/>
                    <w:ind w:left="0" w:right="0"/>
                    <w:jc w:val="center"/>
                    <w:rPr>
                      <w:rFonts w:hint="default" w:cs="Times New Roman"/>
                      <w:szCs w:val="21"/>
                      <w:lang w:val="en-US" w:eastAsia="zh-CN"/>
                    </w:rPr>
                  </w:pPr>
                  <w:r>
                    <w:rPr>
                      <w:rFonts w:hint="eastAsia" w:cs="Times New Roman"/>
                      <w:szCs w:val="21"/>
                      <w:lang w:val="en-US" w:eastAsia="zh-CN"/>
                    </w:rPr>
                    <w:t>位于厂区西侧，占地面积约75m</w:t>
                  </w:r>
                  <w:r>
                    <w:rPr>
                      <w:rFonts w:hint="eastAsia" w:cs="Times New Roman"/>
                      <w:szCs w:val="21"/>
                      <w:vertAlign w:val="superscript"/>
                      <w:lang w:val="en-US" w:eastAsia="zh-CN"/>
                    </w:rPr>
                    <w:t>2</w:t>
                  </w:r>
                  <w:r>
                    <w:rPr>
                      <w:rFonts w:hint="eastAsia" w:cs="Times New Roman"/>
                      <w:szCs w:val="21"/>
                      <w:vertAlign w:val="baseline"/>
                      <w:lang w:val="en-US" w:eastAsia="zh-CN"/>
                    </w:rPr>
                    <w:t>，共2层，上方设置板框压滤机，下方设置泥饼堆场</w:t>
                  </w:r>
                </w:p>
              </w:tc>
              <w:tc>
                <w:tcPr>
                  <w:tcW w:w="656" w:type="pct"/>
                  <w:vMerge w:val="continue"/>
                  <w:noWrap w:val="0"/>
                  <w:vAlign w:val="center"/>
                </w:tcPr>
                <w:p w14:paraId="56C01DC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577" w:type="pct"/>
                  <w:noWrap w:val="0"/>
                  <w:vAlign w:val="center"/>
                </w:tcPr>
                <w:p w14:paraId="153E32C3">
                  <w:pPr>
                    <w:keepNext w:val="0"/>
                    <w:keepLines w:val="0"/>
                    <w:suppressLineNumbers w:val="0"/>
                    <w:spacing w:before="0" w:beforeAutospacing="0" w:after="0" w:afterAutospacing="0"/>
                    <w:ind w:left="0" w:right="0"/>
                    <w:jc w:val="center"/>
                    <w:rPr>
                      <w:rFonts w:hint="default" w:cs="Times New Roman"/>
                      <w:szCs w:val="21"/>
                      <w:lang w:val="en-US" w:eastAsia="zh-CN"/>
                    </w:rPr>
                  </w:pPr>
                  <w:r>
                    <w:rPr>
                      <w:rFonts w:hint="eastAsia" w:cs="Times New Roman"/>
                      <w:szCs w:val="21"/>
                      <w:lang w:val="en-US" w:eastAsia="zh-CN"/>
                    </w:rPr>
                    <w:t>噪声、固废</w:t>
                  </w:r>
                </w:p>
              </w:tc>
              <w:tc>
                <w:tcPr>
                  <w:tcW w:w="436" w:type="pct"/>
                  <w:noWrap w:val="0"/>
                  <w:vAlign w:val="center"/>
                </w:tcPr>
                <w:p w14:paraId="139AC498">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rPr>
                  </w:pPr>
                  <w:r>
                    <w:rPr>
                      <w:rFonts w:hint="eastAsia" w:ascii="Times New Roman" w:hAnsi="Times New Roman" w:eastAsia="宋体" w:cs="Times New Roman"/>
                      <w:szCs w:val="21"/>
                    </w:rPr>
                    <w:t>新建</w:t>
                  </w:r>
                </w:p>
              </w:tc>
            </w:tr>
            <w:tr w14:paraId="306A5C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371" w:type="pct"/>
                  <w:vMerge w:val="continue"/>
                  <w:noWrap w:val="0"/>
                  <w:vAlign w:val="center"/>
                </w:tcPr>
                <w:p w14:paraId="3CD91039">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rPr>
                  </w:pPr>
                </w:p>
              </w:tc>
              <w:tc>
                <w:tcPr>
                  <w:tcW w:w="771" w:type="pct"/>
                  <w:gridSpan w:val="3"/>
                  <w:noWrap w:val="0"/>
                  <w:vAlign w:val="center"/>
                </w:tcPr>
                <w:p w14:paraId="515F52CC">
                  <w:pPr>
                    <w:keepNext w:val="0"/>
                    <w:keepLines w:val="0"/>
                    <w:suppressLineNumbers w:val="0"/>
                    <w:spacing w:before="0" w:beforeAutospacing="0" w:after="0" w:afterAutospacing="0"/>
                    <w:ind w:left="0" w:leftChars="0" w:right="0" w:rightChars="0" w:firstLine="0" w:firstLineChars="0"/>
                    <w:jc w:val="center"/>
                    <w:rPr>
                      <w:rFonts w:hint="default" w:cs="Times New Roman"/>
                      <w:szCs w:val="21"/>
                      <w:lang w:val="en-US" w:eastAsia="zh-CN"/>
                    </w:rPr>
                  </w:pPr>
                  <w:r>
                    <w:rPr>
                      <w:rFonts w:hint="eastAsia" w:cs="Times New Roman"/>
                      <w:szCs w:val="21"/>
                      <w:lang w:val="en-US" w:eastAsia="zh-CN"/>
                    </w:rPr>
                    <w:t>循环水池</w:t>
                  </w:r>
                </w:p>
              </w:tc>
              <w:tc>
                <w:tcPr>
                  <w:tcW w:w="2187" w:type="pct"/>
                  <w:noWrap w:val="0"/>
                  <w:vAlign w:val="center"/>
                </w:tcPr>
                <w:p w14:paraId="60FCA159">
                  <w:pPr>
                    <w:keepNext w:val="0"/>
                    <w:keepLines w:val="0"/>
                    <w:suppressLineNumbers w:val="0"/>
                    <w:spacing w:before="0" w:beforeAutospacing="0" w:after="0" w:afterAutospacing="0"/>
                    <w:ind w:left="0" w:right="0"/>
                    <w:jc w:val="center"/>
                    <w:rPr>
                      <w:rFonts w:hint="default" w:cs="Times New Roman"/>
                      <w:szCs w:val="21"/>
                      <w:lang w:val="en-US" w:eastAsia="zh-CN"/>
                    </w:rPr>
                  </w:pPr>
                  <w:r>
                    <w:rPr>
                      <w:rFonts w:hint="eastAsia" w:cs="Times New Roman"/>
                      <w:szCs w:val="21"/>
                      <w:lang w:val="en-US" w:eastAsia="zh-CN"/>
                    </w:rPr>
                    <w:t>位于厂区西侧，总容积200m</w:t>
                  </w:r>
                  <w:r>
                    <w:rPr>
                      <w:rFonts w:hint="eastAsia" w:cs="Times New Roman"/>
                      <w:szCs w:val="21"/>
                      <w:vertAlign w:val="superscript"/>
                      <w:lang w:val="en-US" w:eastAsia="zh-CN"/>
                    </w:rPr>
                    <w:t>3</w:t>
                  </w:r>
                  <w:r>
                    <w:rPr>
                      <w:rFonts w:hint="eastAsia" w:cs="Times New Roman"/>
                      <w:szCs w:val="21"/>
                      <w:vertAlign w:val="baseline"/>
                      <w:lang w:val="en-US" w:eastAsia="zh-CN"/>
                    </w:rPr>
                    <w:t>，用于经处理后回用水暂存</w:t>
                  </w:r>
                </w:p>
              </w:tc>
              <w:tc>
                <w:tcPr>
                  <w:tcW w:w="656" w:type="pct"/>
                  <w:vMerge w:val="continue"/>
                  <w:noWrap w:val="0"/>
                  <w:vAlign w:val="center"/>
                </w:tcPr>
                <w:p w14:paraId="02D0F3D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577" w:type="pct"/>
                  <w:noWrap w:val="0"/>
                  <w:vAlign w:val="center"/>
                </w:tcPr>
                <w:p w14:paraId="1262CB3F">
                  <w:pPr>
                    <w:keepNext w:val="0"/>
                    <w:keepLines w:val="0"/>
                    <w:suppressLineNumbers w:val="0"/>
                    <w:spacing w:before="0" w:beforeAutospacing="0" w:after="0" w:afterAutospacing="0"/>
                    <w:ind w:left="0" w:leftChars="0" w:right="0" w:rightChars="0"/>
                    <w:jc w:val="center"/>
                    <w:rPr>
                      <w:rFonts w:hint="eastAsia" w:cs="Times New Roman"/>
                      <w:szCs w:val="21"/>
                      <w:lang w:val="en-US" w:eastAsia="zh-CN"/>
                    </w:rPr>
                  </w:pPr>
                  <w:r>
                    <w:rPr>
                      <w:rFonts w:hint="eastAsia" w:cs="Times New Roman"/>
                      <w:szCs w:val="21"/>
                      <w:lang w:val="en-US" w:eastAsia="zh-CN"/>
                    </w:rPr>
                    <w:t>/</w:t>
                  </w:r>
                </w:p>
              </w:tc>
              <w:tc>
                <w:tcPr>
                  <w:tcW w:w="436" w:type="pct"/>
                  <w:noWrap w:val="0"/>
                  <w:vAlign w:val="center"/>
                </w:tcPr>
                <w:p w14:paraId="1FFC864F">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szCs w:val="21"/>
                    </w:rPr>
                  </w:pPr>
                  <w:r>
                    <w:rPr>
                      <w:rFonts w:hint="eastAsia" w:ascii="Times New Roman" w:hAnsi="Times New Roman" w:eastAsia="宋体" w:cs="Times New Roman"/>
                      <w:szCs w:val="21"/>
                    </w:rPr>
                    <w:t>新建</w:t>
                  </w:r>
                </w:p>
              </w:tc>
            </w:tr>
            <w:tr w14:paraId="16451C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371" w:type="pct"/>
                  <w:vMerge w:val="restart"/>
                  <w:noWrap w:val="0"/>
                  <w:vAlign w:val="center"/>
                </w:tcPr>
                <w:p w14:paraId="4CDE246F">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rPr>
                  </w:pPr>
                  <w:r>
                    <w:rPr>
                      <w:rFonts w:hint="eastAsia" w:ascii="Times New Roman" w:hAnsi="Times New Roman" w:eastAsia="宋体" w:cs="Times New Roman"/>
                      <w:szCs w:val="21"/>
                    </w:rPr>
                    <w:t>公用工程</w:t>
                  </w:r>
                </w:p>
              </w:tc>
              <w:tc>
                <w:tcPr>
                  <w:tcW w:w="771" w:type="pct"/>
                  <w:gridSpan w:val="3"/>
                  <w:noWrap w:val="0"/>
                  <w:vAlign w:val="center"/>
                </w:tcPr>
                <w:p w14:paraId="3680457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供水</w:t>
                  </w:r>
                </w:p>
              </w:tc>
              <w:tc>
                <w:tcPr>
                  <w:tcW w:w="2187" w:type="pct"/>
                  <w:noWrap w:val="0"/>
                  <w:vAlign w:val="center"/>
                </w:tcPr>
                <w:p w14:paraId="08B8828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cs="Times New Roman"/>
                      <w:szCs w:val="21"/>
                      <w:lang w:val="en-US" w:eastAsia="zh-CN"/>
                    </w:rPr>
                    <w:t>生活用水由</w:t>
                  </w:r>
                  <w:r>
                    <w:rPr>
                      <w:rFonts w:hint="default" w:ascii="Times New Roman" w:hAnsi="Times New Roman" w:eastAsia="宋体" w:cs="Times New Roman"/>
                      <w:szCs w:val="21"/>
                    </w:rPr>
                    <w:t>市政</w:t>
                  </w:r>
                  <w:r>
                    <w:rPr>
                      <w:rFonts w:hint="eastAsia" w:ascii="Times New Roman" w:hAnsi="Times New Roman" w:eastAsia="宋体" w:cs="Times New Roman"/>
                      <w:szCs w:val="21"/>
                    </w:rPr>
                    <w:t>供水，</w:t>
                  </w:r>
                  <w:r>
                    <w:rPr>
                      <w:rFonts w:hint="eastAsia" w:cs="Times New Roman"/>
                      <w:szCs w:val="21"/>
                      <w:lang w:val="en-US" w:eastAsia="zh-CN"/>
                    </w:rPr>
                    <w:t>生产用水由地下水供给</w:t>
                  </w:r>
                  <w:r>
                    <w:rPr>
                      <w:rFonts w:hint="default" w:ascii="Times New Roman" w:hAnsi="Times New Roman" w:eastAsia="宋体" w:cs="Times New Roman"/>
                      <w:szCs w:val="21"/>
                    </w:rPr>
                    <w:t>。</w:t>
                  </w:r>
                </w:p>
              </w:tc>
              <w:tc>
                <w:tcPr>
                  <w:tcW w:w="656" w:type="pct"/>
                  <w:vMerge w:val="continue"/>
                  <w:noWrap w:val="0"/>
                  <w:vAlign w:val="center"/>
                </w:tcPr>
                <w:p w14:paraId="0414621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577" w:type="pct"/>
                  <w:noWrap w:val="0"/>
                  <w:vAlign w:val="center"/>
                </w:tcPr>
                <w:p w14:paraId="319C1AD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436" w:type="pct"/>
                  <w:noWrap w:val="0"/>
                  <w:vAlign w:val="center"/>
                </w:tcPr>
                <w:p w14:paraId="55049C90">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rPr>
                  </w:pPr>
                  <w:r>
                    <w:rPr>
                      <w:rFonts w:hint="eastAsia" w:ascii="Times New Roman" w:hAnsi="Times New Roman" w:eastAsia="宋体" w:cs="Times New Roman"/>
                      <w:szCs w:val="21"/>
                    </w:rPr>
                    <w:t>新建</w:t>
                  </w:r>
                </w:p>
              </w:tc>
            </w:tr>
            <w:tr w14:paraId="3804E9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371" w:type="pct"/>
                  <w:vMerge w:val="continue"/>
                  <w:noWrap w:val="0"/>
                  <w:vAlign w:val="center"/>
                </w:tcPr>
                <w:p w14:paraId="439B749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771" w:type="pct"/>
                  <w:gridSpan w:val="3"/>
                  <w:noWrap w:val="0"/>
                  <w:vAlign w:val="center"/>
                </w:tcPr>
                <w:p w14:paraId="7C06F97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供电</w:t>
                  </w:r>
                </w:p>
              </w:tc>
              <w:tc>
                <w:tcPr>
                  <w:tcW w:w="2187" w:type="pct"/>
                  <w:noWrap w:val="0"/>
                  <w:vAlign w:val="center"/>
                </w:tcPr>
                <w:p w14:paraId="29435274">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rPr>
                  </w:pPr>
                  <w:r>
                    <w:rPr>
                      <w:rFonts w:hint="eastAsia" w:ascii="Times New Roman" w:hAnsi="Times New Roman" w:eastAsia="宋体" w:cs="Times New Roman"/>
                      <w:szCs w:val="21"/>
                    </w:rPr>
                    <w:t>市政供电，自建厂内用电网</w:t>
                  </w:r>
                  <w:r>
                    <w:rPr>
                      <w:rFonts w:hint="default" w:ascii="Times New Roman" w:hAnsi="Times New Roman" w:eastAsia="宋体" w:cs="Times New Roman"/>
                      <w:szCs w:val="21"/>
                    </w:rPr>
                    <w:t>。</w:t>
                  </w:r>
                </w:p>
              </w:tc>
              <w:tc>
                <w:tcPr>
                  <w:tcW w:w="656" w:type="pct"/>
                  <w:vMerge w:val="continue"/>
                  <w:noWrap w:val="0"/>
                  <w:vAlign w:val="center"/>
                </w:tcPr>
                <w:p w14:paraId="1315B9C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577" w:type="pct"/>
                  <w:noWrap w:val="0"/>
                  <w:vAlign w:val="center"/>
                </w:tcPr>
                <w:p w14:paraId="708B963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436" w:type="pct"/>
                  <w:noWrap w:val="0"/>
                  <w:vAlign w:val="center"/>
                </w:tcPr>
                <w:p w14:paraId="281CDC89">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rPr>
                  </w:pPr>
                  <w:r>
                    <w:rPr>
                      <w:rFonts w:hint="eastAsia" w:ascii="Times New Roman" w:hAnsi="Times New Roman" w:eastAsia="宋体" w:cs="Times New Roman"/>
                      <w:szCs w:val="21"/>
                    </w:rPr>
                    <w:t>新建</w:t>
                  </w:r>
                </w:p>
              </w:tc>
            </w:tr>
            <w:tr w14:paraId="1CF76C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1" w:type="pct"/>
                  <w:vMerge w:val="restart"/>
                  <w:noWrap w:val="0"/>
                  <w:vAlign w:val="center"/>
                </w:tcPr>
                <w:p w14:paraId="7ECD0DE7">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eastAsia" w:ascii="Times New Roman" w:hAnsi="Times New Roman" w:eastAsia="宋体" w:cs="Times New Roman"/>
                      <w:bCs/>
                      <w:szCs w:val="21"/>
                    </w:rPr>
                    <w:t>仓储工程</w:t>
                  </w:r>
                </w:p>
              </w:tc>
              <w:tc>
                <w:tcPr>
                  <w:tcW w:w="771" w:type="pct"/>
                  <w:gridSpan w:val="3"/>
                  <w:noWrap w:val="0"/>
                  <w:vAlign w:val="center"/>
                </w:tcPr>
                <w:p w14:paraId="5E510BA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原料堆放区</w:t>
                  </w:r>
                </w:p>
              </w:tc>
              <w:tc>
                <w:tcPr>
                  <w:tcW w:w="2187" w:type="pct"/>
                  <w:noWrap w:val="0"/>
                  <w:vAlign w:val="center"/>
                </w:tcPr>
                <w:p w14:paraId="018D7F4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位于</w:t>
                  </w:r>
                  <w:r>
                    <w:rPr>
                      <w:rFonts w:hint="eastAsia" w:cs="Times New Roman"/>
                      <w:szCs w:val="21"/>
                      <w:lang w:val="en-US" w:eastAsia="zh-CN"/>
                    </w:rPr>
                    <w:t>厂区北</w:t>
                  </w:r>
                  <w:r>
                    <w:rPr>
                      <w:rFonts w:hint="eastAsia" w:ascii="Times New Roman" w:hAnsi="Times New Roman" w:eastAsia="宋体" w:cs="Times New Roman"/>
                      <w:szCs w:val="21"/>
                    </w:rPr>
                    <w:t>侧，面积</w:t>
                  </w:r>
                  <w:r>
                    <w:rPr>
                      <w:rFonts w:hint="eastAsia" w:cs="Times New Roman"/>
                      <w:szCs w:val="21"/>
                      <w:lang w:val="en-US" w:eastAsia="zh-CN"/>
                    </w:rPr>
                    <w:t>约15</w:t>
                  </w:r>
                  <w:r>
                    <w:rPr>
                      <w:rFonts w:hint="eastAsia" w:ascii="Times New Roman" w:hAnsi="Times New Roman" w:eastAsia="宋体" w:cs="Times New Roman"/>
                      <w:szCs w:val="21"/>
                    </w:rPr>
                    <w:t>00m</w:t>
                  </w:r>
                  <w:r>
                    <w:rPr>
                      <w:rFonts w:hint="eastAsia" w:ascii="Times New Roman" w:hAnsi="Times New Roman" w:eastAsia="宋体" w:cs="Times New Roman"/>
                      <w:szCs w:val="21"/>
                      <w:vertAlign w:val="superscript"/>
                    </w:rPr>
                    <w:t>2</w:t>
                  </w:r>
                  <w:r>
                    <w:rPr>
                      <w:rFonts w:hint="eastAsia" w:ascii="Times New Roman" w:hAnsi="Times New Roman" w:eastAsia="宋体" w:cs="Times New Roman"/>
                      <w:szCs w:val="21"/>
                    </w:rPr>
                    <w:t>，</w:t>
                  </w:r>
                  <w:r>
                    <w:rPr>
                      <w:rFonts w:hint="eastAsia" w:cs="Times New Roman"/>
                      <w:szCs w:val="21"/>
                      <w:lang w:val="en-US" w:eastAsia="zh-CN"/>
                    </w:rPr>
                    <w:t>最大堆高3m</w:t>
                  </w:r>
                  <w:r>
                    <w:rPr>
                      <w:rFonts w:hint="eastAsia" w:ascii="Times New Roman" w:hAnsi="Times New Roman" w:eastAsia="宋体" w:cs="Times New Roman"/>
                      <w:szCs w:val="21"/>
                    </w:rPr>
                    <w:t>。</w:t>
                  </w:r>
                </w:p>
              </w:tc>
              <w:tc>
                <w:tcPr>
                  <w:tcW w:w="656" w:type="pct"/>
                  <w:vMerge w:val="continue"/>
                  <w:noWrap w:val="0"/>
                  <w:vAlign w:val="center"/>
                </w:tcPr>
                <w:p w14:paraId="6AF18F0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577" w:type="pct"/>
                  <w:noWrap w:val="0"/>
                  <w:vAlign w:val="center"/>
                </w:tcPr>
                <w:p w14:paraId="3E0F511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color w:val="auto"/>
                      <w:sz w:val="21"/>
                      <w:szCs w:val="21"/>
                    </w:rPr>
                    <w:t>废气</w:t>
                  </w:r>
                  <w:r>
                    <w:rPr>
                      <w:rFonts w:hint="eastAsia" w:cs="Times New Roman"/>
                      <w:color w:val="auto"/>
                      <w:sz w:val="21"/>
                      <w:szCs w:val="21"/>
                      <w:lang w:eastAsia="zh-CN"/>
                    </w:rPr>
                    <w:t>、</w:t>
                  </w:r>
                  <w:r>
                    <w:rPr>
                      <w:rFonts w:hint="eastAsia" w:cs="Times New Roman"/>
                      <w:color w:val="auto"/>
                      <w:sz w:val="21"/>
                      <w:szCs w:val="21"/>
                      <w:lang w:val="en-US" w:eastAsia="zh-CN"/>
                    </w:rPr>
                    <w:t>废水</w:t>
                  </w:r>
                </w:p>
              </w:tc>
              <w:tc>
                <w:tcPr>
                  <w:tcW w:w="436" w:type="pct"/>
                  <w:noWrap w:val="0"/>
                  <w:vAlign w:val="center"/>
                </w:tcPr>
                <w:p w14:paraId="4014AA9E">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rPr>
                  </w:pPr>
                  <w:r>
                    <w:rPr>
                      <w:rFonts w:hint="eastAsia" w:ascii="Times New Roman" w:hAnsi="Times New Roman" w:eastAsia="宋体" w:cs="Times New Roman"/>
                      <w:szCs w:val="21"/>
                    </w:rPr>
                    <w:t>新建</w:t>
                  </w:r>
                </w:p>
              </w:tc>
            </w:tr>
            <w:tr w14:paraId="5014F7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1" w:type="pct"/>
                  <w:vMerge w:val="continue"/>
                  <w:noWrap w:val="0"/>
                  <w:vAlign w:val="center"/>
                </w:tcPr>
                <w:p w14:paraId="5A109D3E">
                  <w:pPr>
                    <w:keepNext w:val="0"/>
                    <w:keepLines w:val="0"/>
                    <w:suppressLineNumbers w:val="0"/>
                    <w:spacing w:before="0" w:beforeAutospacing="0" w:after="0" w:afterAutospacing="0"/>
                    <w:ind w:left="0" w:right="0"/>
                    <w:jc w:val="center"/>
                    <w:rPr>
                      <w:rFonts w:hint="eastAsia" w:ascii="Times New Roman" w:hAnsi="Times New Roman" w:eastAsia="宋体" w:cs="Times New Roman"/>
                      <w:bCs/>
                      <w:szCs w:val="21"/>
                    </w:rPr>
                  </w:pPr>
                </w:p>
              </w:tc>
              <w:tc>
                <w:tcPr>
                  <w:tcW w:w="771" w:type="pct"/>
                  <w:gridSpan w:val="3"/>
                  <w:noWrap w:val="0"/>
                  <w:vAlign w:val="center"/>
                </w:tcPr>
                <w:p w14:paraId="5DFC9BD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cs="Times New Roman"/>
                      <w:szCs w:val="21"/>
                      <w:lang w:val="en-US" w:eastAsia="zh-CN"/>
                    </w:rPr>
                    <w:t>成品堆放区</w:t>
                  </w:r>
                </w:p>
              </w:tc>
              <w:tc>
                <w:tcPr>
                  <w:tcW w:w="2187" w:type="pct"/>
                  <w:noWrap w:val="0"/>
                  <w:vAlign w:val="center"/>
                </w:tcPr>
                <w:p w14:paraId="7A2ED56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位于</w:t>
                  </w:r>
                  <w:r>
                    <w:rPr>
                      <w:rFonts w:hint="eastAsia" w:cs="Times New Roman"/>
                      <w:szCs w:val="21"/>
                      <w:lang w:val="en-US" w:eastAsia="zh-CN"/>
                    </w:rPr>
                    <w:t>厂区东南</w:t>
                  </w:r>
                  <w:r>
                    <w:rPr>
                      <w:rFonts w:hint="eastAsia" w:ascii="Times New Roman" w:hAnsi="Times New Roman" w:eastAsia="宋体" w:cs="Times New Roman"/>
                      <w:szCs w:val="21"/>
                      <w:lang w:val="en-US" w:eastAsia="zh-CN"/>
                    </w:rPr>
                    <w:t>侧，面积约</w:t>
                  </w:r>
                  <w:r>
                    <w:rPr>
                      <w:rFonts w:hint="eastAsia" w:cs="Times New Roman"/>
                      <w:szCs w:val="21"/>
                      <w:lang w:val="en-US" w:eastAsia="zh-CN"/>
                    </w:rPr>
                    <w:t>800</w:t>
                  </w:r>
                  <w:r>
                    <w:rPr>
                      <w:rFonts w:hint="eastAsia" w:ascii="Times New Roman" w:hAnsi="Times New Roman" w:eastAsia="宋体" w:cs="Times New Roman"/>
                      <w:szCs w:val="21"/>
                      <w:lang w:val="en-US" w:eastAsia="zh-CN"/>
                    </w:rPr>
                    <w:t>m</w:t>
                  </w:r>
                  <w:r>
                    <w:rPr>
                      <w:rFonts w:hint="eastAsia" w:ascii="Times New Roman" w:hAnsi="Times New Roman" w:eastAsia="宋体" w:cs="Times New Roman"/>
                      <w:szCs w:val="21"/>
                      <w:vertAlign w:val="superscript"/>
                      <w:lang w:val="en-US" w:eastAsia="zh-CN"/>
                    </w:rPr>
                    <w:t>2</w:t>
                  </w:r>
                  <w:r>
                    <w:rPr>
                      <w:rFonts w:hint="eastAsia" w:ascii="Times New Roman" w:hAnsi="Times New Roman" w:eastAsia="宋体" w:cs="Times New Roman"/>
                      <w:szCs w:val="21"/>
                    </w:rPr>
                    <w:t>，</w:t>
                  </w:r>
                  <w:r>
                    <w:rPr>
                      <w:rFonts w:hint="eastAsia" w:cs="Times New Roman"/>
                      <w:szCs w:val="21"/>
                      <w:lang w:val="en-US" w:eastAsia="zh-CN"/>
                    </w:rPr>
                    <w:t>最大堆高3m</w:t>
                  </w:r>
                  <w:r>
                    <w:rPr>
                      <w:rFonts w:hint="eastAsia" w:ascii="Times New Roman" w:hAnsi="Times New Roman" w:eastAsia="宋体" w:cs="Times New Roman"/>
                      <w:szCs w:val="21"/>
                    </w:rPr>
                    <w:t>。</w:t>
                  </w:r>
                </w:p>
              </w:tc>
              <w:tc>
                <w:tcPr>
                  <w:tcW w:w="656" w:type="pct"/>
                  <w:vMerge w:val="continue"/>
                  <w:noWrap w:val="0"/>
                  <w:vAlign w:val="center"/>
                </w:tcPr>
                <w:p w14:paraId="15331CB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577" w:type="pct"/>
                  <w:noWrap w:val="0"/>
                  <w:vAlign w:val="center"/>
                </w:tcPr>
                <w:p w14:paraId="5DD96F61">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lang w:eastAsia="zh-CN"/>
                    </w:rPr>
                  </w:pPr>
                  <w:r>
                    <w:rPr>
                      <w:rFonts w:hint="eastAsia" w:ascii="Times New Roman" w:hAnsi="Times New Roman" w:eastAsia="宋体" w:cs="Times New Roman"/>
                      <w:color w:val="auto"/>
                      <w:sz w:val="21"/>
                      <w:szCs w:val="21"/>
                    </w:rPr>
                    <w:t>废气</w:t>
                  </w:r>
                  <w:r>
                    <w:rPr>
                      <w:rFonts w:hint="eastAsia" w:cs="Times New Roman"/>
                      <w:color w:val="auto"/>
                      <w:sz w:val="21"/>
                      <w:szCs w:val="21"/>
                      <w:lang w:eastAsia="zh-CN"/>
                    </w:rPr>
                    <w:t>、</w:t>
                  </w:r>
                  <w:r>
                    <w:rPr>
                      <w:rFonts w:hint="eastAsia" w:cs="Times New Roman"/>
                      <w:color w:val="auto"/>
                      <w:sz w:val="21"/>
                      <w:szCs w:val="21"/>
                      <w:lang w:val="en-US" w:eastAsia="zh-CN"/>
                    </w:rPr>
                    <w:t>废水</w:t>
                  </w:r>
                </w:p>
              </w:tc>
              <w:tc>
                <w:tcPr>
                  <w:tcW w:w="436" w:type="pct"/>
                  <w:noWrap w:val="0"/>
                  <w:vAlign w:val="center"/>
                </w:tcPr>
                <w:p w14:paraId="0342DBCC">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rPr>
                  </w:pPr>
                  <w:r>
                    <w:rPr>
                      <w:rFonts w:hint="eastAsia" w:ascii="Times New Roman" w:hAnsi="Times New Roman" w:eastAsia="宋体" w:cs="Times New Roman"/>
                      <w:szCs w:val="21"/>
                    </w:rPr>
                    <w:t>新建</w:t>
                  </w:r>
                </w:p>
              </w:tc>
            </w:tr>
            <w:tr w14:paraId="18FE94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371" w:type="pct"/>
                  <w:vMerge w:val="restart"/>
                  <w:noWrap w:val="0"/>
                  <w:vAlign w:val="center"/>
                </w:tcPr>
                <w:p w14:paraId="775D497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环保</w:t>
                  </w:r>
                  <w:r>
                    <w:rPr>
                      <w:rFonts w:hint="eastAsia" w:ascii="Times New Roman" w:hAnsi="Times New Roman" w:eastAsia="宋体" w:cs="Times New Roman"/>
                      <w:szCs w:val="21"/>
                    </w:rPr>
                    <w:t>工程</w:t>
                  </w:r>
                </w:p>
              </w:tc>
              <w:tc>
                <w:tcPr>
                  <w:tcW w:w="253" w:type="pct"/>
                  <w:vMerge w:val="restart"/>
                  <w:noWrap w:val="0"/>
                  <w:vAlign w:val="center"/>
                </w:tcPr>
                <w:p w14:paraId="203B9C4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废水</w:t>
                  </w:r>
                </w:p>
              </w:tc>
              <w:tc>
                <w:tcPr>
                  <w:tcW w:w="517" w:type="pct"/>
                  <w:gridSpan w:val="2"/>
                  <w:noWrap w:val="0"/>
                  <w:vAlign w:val="center"/>
                </w:tcPr>
                <w:p w14:paraId="26194E6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cs="Times New Roman"/>
                      <w:szCs w:val="21"/>
                      <w:lang w:val="en-US" w:eastAsia="zh-CN"/>
                    </w:rPr>
                    <w:t>生活污水</w:t>
                  </w:r>
                </w:p>
              </w:tc>
              <w:tc>
                <w:tcPr>
                  <w:tcW w:w="2187" w:type="pct"/>
                  <w:noWrap w:val="0"/>
                  <w:vAlign w:val="center"/>
                </w:tcPr>
                <w:p w14:paraId="041C25A3">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lang w:val="en-US"/>
                    </w:rPr>
                  </w:pPr>
                  <w:r>
                    <w:rPr>
                      <w:rFonts w:hint="eastAsia" w:cs="Times New Roman"/>
                      <w:szCs w:val="21"/>
                      <w:lang w:val="en-US" w:eastAsia="zh-CN"/>
                    </w:rPr>
                    <w:t>依托出租方已建生活污水经预处理池（10m</w:t>
                  </w:r>
                  <w:r>
                    <w:rPr>
                      <w:rFonts w:hint="eastAsia" w:cs="Times New Roman"/>
                      <w:szCs w:val="21"/>
                      <w:vertAlign w:val="superscript"/>
                      <w:lang w:val="en-US" w:eastAsia="zh-CN"/>
                    </w:rPr>
                    <w:t>3</w:t>
                  </w:r>
                  <w:r>
                    <w:rPr>
                      <w:rFonts w:hint="eastAsia" w:cs="Times New Roman"/>
                      <w:szCs w:val="21"/>
                      <w:lang w:val="en-US" w:eastAsia="zh-CN"/>
                    </w:rPr>
                    <w:t>），生活污水经预处理后定期由槽罐车转运至邻水县大步口污水处理站进行进一步处理后排入大洪河</w:t>
                  </w:r>
                </w:p>
              </w:tc>
              <w:tc>
                <w:tcPr>
                  <w:tcW w:w="656" w:type="pct"/>
                  <w:vMerge w:val="continue"/>
                  <w:noWrap w:val="0"/>
                  <w:vAlign w:val="center"/>
                </w:tcPr>
                <w:p w14:paraId="24D0082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577" w:type="pct"/>
                  <w:noWrap w:val="0"/>
                  <w:vAlign w:val="center"/>
                </w:tcPr>
                <w:p w14:paraId="2C0EEF4D">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lang w:eastAsia="zh-CN"/>
                    </w:rPr>
                  </w:pPr>
                  <w:r>
                    <w:rPr>
                      <w:rFonts w:hint="eastAsia" w:cs="Times New Roman"/>
                      <w:szCs w:val="21"/>
                      <w:lang w:val="en-US" w:eastAsia="zh-CN"/>
                    </w:rPr>
                    <w:t>废水、固废</w:t>
                  </w:r>
                </w:p>
              </w:tc>
              <w:tc>
                <w:tcPr>
                  <w:tcW w:w="436" w:type="pct"/>
                  <w:noWrap w:val="0"/>
                  <w:vAlign w:val="center"/>
                </w:tcPr>
                <w:p w14:paraId="6F8268E8">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lang w:eastAsia="zh-CN"/>
                    </w:rPr>
                  </w:pPr>
                  <w:r>
                    <w:rPr>
                      <w:rFonts w:hint="eastAsia" w:cs="Times New Roman"/>
                      <w:szCs w:val="21"/>
                      <w:lang w:val="en-US" w:eastAsia="zh-CN"/>
                    </w:rPr>
                    <w:t>依托</w:t>
                  </w:r>
                </w:p>
              </w:tc>
            </w:tr>
            <w:tr w14:paraId="0A3C04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371" w:type="pct"/>
                  <w:vMerge w:val="continue"/>
                  <w:noWrap w:val="0"/>
                  <w:vAlign w:val="center"/>
                </w:tcPr>
                <w:p w14:paraId="0FFD2D2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253" w:type="pct"/>
                  <w:vMerge w:val="continue"/>
                  <w:noWrap w:val="0"/>
                  <w:vAlign w:val="center"/>
                </w:tcPr>
                <w:p w14:paraId="0273A4CC">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rPr>
                  </w:pPr>
                </w:p>
              </w:tc>
              <w:tc>
                <w:tcPr>
                  <w:tcW w:w="517" w:type="pct"/>
                  <w:gridSpan w:val="2"/>
                  <w:noWrap w:val="0"/>
                  <w:vAlign w:val="center"/>
                </w:tcPr>
                <w:p w14:paraId="5E8677E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cs="Times New Roman"/>
                      <w:szCs w:val="21"/>
                      <w:lang w:val="en-US" w:eastAsia="zh-CN"/>
                    </w:rPr>
                    <w:t>洗砂废水</w:t>
                  </w:r>
                </w:p>
              </w:tc>
              <w:tc>
                <w:tcPr>
                  <w:tcW w:w="2187" w:type="pct"/>
                  <w:noWrap w:val="0"/>
                  <w:vAlign w:val="center"/>
                </w:tcPr>
                <w:p w14:paraId="6BE725C5">
                  <w:pPr>
                    <w:keepNext w:val="0"/>
                    <w:keepLines w:val="0"/>
                    <w:suppressLineNumbers w:val="0"/>
                    <w:spacing w:before="0" w:beforeAutospacing="0" w:after="0" w:afterAutospacing="0"/>
                    <w:ind w:left="0" w:right="0"/>
                    <w:jc w:val="both"/>
                    <w:rPr>
                      <w:rFonts w:hint="default" w:ascii="Times New Roman" w:hAnsi="Times New Roman" w:eastAsia="宋体" w:cs="Times New Roman"/>
                      <w:szCs w:val="21"/>
                      <w:lang w:val="en-US" w:eastAsia="zh-CN"/>
                    </w:rPr>
                  </w:pPr>
                  <w:r>
                    <w:rPr>
                      <w:rFonts w:hint="eastAsia" w:cs="Times New Roman"/>
                      <w:szCs w:val="21"/>
                      <w:lang w:val="en-US" w:eastAsia="zh-CN"/>
                    </w:rPr>
                    <w:t>设置1套处理能力为150m</w:t>
                  </w:r>
                  <w:r>
                    <w:rPr>
                      <w:rFonts w:hint="eastAsia" w:cs="Times New Roman"/>
                      <w:szCs w:val="21"/>
                      <w:vertAlign w:val="superscript"/>
                      <w:lang w:val="en-US" w:eastAsia="zh-CN"/>
                    </w:rPr>
                    <w:t>3</w:t>
                  </w:r>
                  <w:r>
                    <w:rPr>
                      <w:rFonts w:hint="eastAsia" w:cs="Times New Roman"/>
                      <w:szCs w:val="21"/>
                      <w:lang w:val="en-US" w:eastAsia="zh-CN"/>
                    </w:rPr>
                    <w:t>/d的废水处理系统处理（处理工艺：絮凝沉淀+压滤）。洗砂废水经废水收集池（60m</w:t>
                  </w:r>
                  <w:r>
                    <w:rPr>
                      <w:rFonts w:hint="eastAsia" w:cs="Times New Roman"/>
                      <w:szCs w:val="21"/>
                      <w:vertAlign w:val="superscript"/>
                      <w:lang w:val="en-US" w:eastAsia="zh-CN"/>
                    </w:rPr>
                    <w:t>3</w:t>
                  </w:r>
                  <w:r>
                    <w:rPr>
                      <w:rFonts w:hint="eastAsia" w:cs="Times New Roman"/>
                      <w:szCs w:val="21"/>
                      <w:lang w:val="en-US" w:eastAsia="zh-CN"/>
                    </w:rPr>
                    <w:t>）收集后泵入废水处理系统处理后回用于生产，不外排</w:t>
                  </w:r>
                </w:p>
              </w:tc>
              <w:tc>
                <w:tcPr>
                  <w:tcW w:w="656" w:type="pct"/>
                  <w:vMerge w:val="continue"/>
                  <w:noWrap w:val="0"/>
                  <w:vAlign w:val="center"/>
                </w:tcPr>
                <w:p w14:paraId="75573EA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577" w:type="pct"/>
                  <w:noWrap w:val="0"/>
                  <w:vAlign w:val="center"/>
                </w:tcPr>
                <w:p w14:paraId="1D59100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cs="Times New Roman"/>
                      <w:szCs w:val="21"/>
                      <w:lang w:val="en-US" w:eastAsia="zh-CN"/>
                    </w:rPr>
                    <w:t>废水、固废</w:t>
                  </w:r>
                </w:p>
              </w:tc>
              <w:tc>
                <w:tcPr>
                  <w:tcW w:w="436" w:type="pct"/>
                  <w:noWrap w:val="0"/>
                  <w:vAlign w:val="center"/>
                </w:tcPr>
                <w:p w14:paraId="4196C365">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rPr>
                  </w:pPr>
                  <w:r>
                    <w:rPr>
                      <w:rFonts w:hint="eastAsia" w:ascii="Times New Roman" w:hAnsi="Times New Roman" w:eastAsia="宋体" w:cs="Times New Roman"/>
                      <w:szCs w:val="21"/>
                    </w:rPr>
                    <w:t>新建</w:t>
                  </w:r>
                </w:p>
              </w:tc>
            </w:tr>
            <w:tr w14:paraId="2D9553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1" w:type="pct"/>
                  <w:vMerge w:val="continue"/>
                  <w:noWrap w:val="0"/>
                  <w:vAlign w:val="center"/>
                </w:tcPr>
                <w:p w14:paraId="64CC11F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253" w:type="pct"/>
                  <w:vMerge w:val="continue"/>
                  <w:noWrap w:val="0"/>
                  <w:vAlign w:val="center"/>
                </w:tcPr>
                <w:p w14:paraId="27085F89">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rPr>
                  </w:pPr>
                </w:p>
              </w:tc>
              <w:tc>
                <w:tcPr>
                  <w:tcW w:w="517" w:type="pct"/>
                  <w:gridSpan w:val="2"/>
                  <w:noWrap w:val="0"/>
                  <w:vAlign w:val="center"/>
                </w:tcPr>
                <w:p w14:paraId="6CFBB302">
                  <w:pPr>
                    <w:keepNext w:val="0"/>
                    <w:keepLines w:val="0"/>
                    <w:suppressLineNumbers w:val="0"/>
                    <w:spacing w:before="0" w:beforeAutospacing="0" w:after="0" w:afterAutospacing="0"/>
                    <w:ind w:left="0" w:right="0"/>
                    <w:jc w:val="center"/>
                    <w:rPr>
                      <w:rFonts w:hint="default" w:cs="Times New Roman"/>
                      <w:szCs w:val="21"/>
                      <w:lang w:val="en-US" w:eastAsia="zh-CN"/>
                    </w:rPr>
                  </w:pPr>
                  <w:r>
                    <w:rPr>
                      <w:rFonts w:hint="eastAsia" w:cs="Times New Roman"/>
                      <w:szCs w:val="21"/>
                      <w:lang w:val="en-US" w:eastAsia="zh-CN"/>
                    </w:rPr>
                    <w:t>车辆冲洗废水</w:t>
                  </w:r>
                </w:p>
              </w:tc>
              <w:tc>
                <w:tcPr>
                  <w:tcW w:w="2187" w:type="pct"/>
                  <w:noWrap w:val="0"/>
                  <w:vAlign w:val="center"/>
                </w:tcPr>
                <w:p w14:paraId="5F8E77D0">
                  <w:pPr>
                    <w:keepNext w:val="0"/>
                    <w:keepLines w:val="0"/>
                    <w:suppressLineNumbers w:val="0"/>
                    <w:spacing w:before="0" w:beforeAutospacing="0" w:after="0" w:afterAutospacing="0"/>
                    <w:ind w:left="0" w:right="0"/>
                    <w:jc w:val="center"/>
                    <w:rPr>
                      <w:rFonts w:hint="default" w:cs="Times New Roman"/>
                      <w:szCs w:val="21"/>
                      <w:lang w:val="en-US" w:eastAsia="zh-CN"/>
                    </w:rPr>
                  </w:pPr>
                  <w:r>
                    <w:rPr>
                      <w:rFonts w:hint="eastAsia" w:cs="Times New Roman"/>
                      <w:szCs w:val="21"/>
                      <w:lang w:val="en-US" w:eastAsia="zh-CN"/>
                    </w:rPr>
                    <w:t>洗车池中车辆冲洗废水由抽水泵泵入废水处理系统进行处理后回用于生产，不外排</w:t>
                  </w:r>
                </w:p>
              </w:tc>
              <w:tc>
                <w:tcPr>
                  <w:tcW w:w="656" w:type="pct"/>
                  <w:vMerge w:val="continue"/>
                  <w:noWrap w:val="0"/>
                  <w:vAlign w:val="center"/>
                </w:tcPr>
                <w:p w14:paraId="0972429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577" w:type="pct"/>
                  <w:noWrap w:val="0"/>
                  <w:vAlign w:val="center"/>
                </w:tcPr>
                <w:p w14:paraId="7472A0E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cs="Times New Roman"/>
                      <w:szCs w:val="21"/>
                      <w:lang w:val="en-US" w:eastAsia="zh-CN"/>
                    </w:rPr>
                    <w:t>废水、固废</w:t>
                  </w:r>
                </w:p>
              </w:tc>
              <w:tc>
                <w:tcPr>
                  <w:tcW w:w="436" w:type="pct"/>
                  <w:noWrap w:val="0"/>
                  <w:vAlign w:val="center"/>
                </w:tcPr>
                <w:p w14:paraId="52F4536F">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rPr>
                  </w:pPr>
                  <w:r>
                    <w:rPr>
                      <w:rFonts w:hint="eastAsia" w:ascii="Times New Roman" w:hAnsi="Times New Roman" w:eastAsia="宋体" w:cs="Times New Roman"/>
                      <w:szCs w:val="21"/>
                    </w:rPr>
                    <w:t>新建</w:t>
                  </w:r>
                </w:p>
              </w:tc>
            </w:tr>
            <w:tr w14:paraId="5C73DE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38" w:hRule="atLeast"/>
                <w:jc w:val="center"/>
              </w:trPr>
              <w:tc>
                <w:tcPr>
                  <w:tcW w:w="371" w:type="pct"/>
                  <w:vMerge w:val="continue"/>
                  <w:noWrap w:val="0"/>
                  <w:vAlign w:val="center"/>
                </w:tcPr>
                <w:p w14:paraId="469894E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253" w:type="pct"/>
                  <w:vMerge w:val="continue"/>
                  <w:noWrap w:val="0"/>
                  <w:vAlign w:val="center"/>
                </w:tcPr>
                <w:p w14:paraId="0209CB76">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rPr>
                  </w:pPr>
                </w:p>
              </w:tc>
              <w:tc>
                <w:tcPr>
                  <w:tcW w:w="517" w:type="pct"/>
                  <w:gridSpan w:val="2"/>
                  <w:noWrap w:val="0"/>
                  <w:vAlign w:val="center"/>
                </w:tcPr>
                <w:p w14:paraId="2A455709">
                  <w:pPr>
                    <w:keepNext w:val="0"/>
                    <w:keepLines w:val="0"/>
                    <w:suppressLineNumbers w:val="0"/>
                    <w:spacing w:before="0" w:beforeAutospacing="0" w:after="0" w:afterAutospacing="0"/>
                    <w:ind w:left="0" w:right="0"/>
                    <w:jc w:val="center"/>
                    <w:rPr>
                      <w:rFonts w:hint="eastAsia" w:cs="Times New Roman"/>
                      <w:szCs w:val="21"/>
                      <w:lang w:val="en-US" w:eastAsia="zh-CN"/>
                    </w:rPr>
                  </w:pPr>
                  <w:r>
                    <w:rPr>
                      <w:rFonts w:hint="eastAsia" w:cs="Times New Roman"/>
                      <w:szCs w:val="21"/>
                      <w:lang w:val="en-US" w:eastAsia="zh-CN"/>
                    </w:rPr>
                    <w:t>降尘废水</w:t>
                  </w:r>
                </w:p>
              </w:tc>
              <w:tc>
                <w:tcPr>
                  <w:tcW w:w="2187" w:type="pct"/>
                  <w:noWrap w:val="0"/>
                  <w:vAlign w:val="center"/>
                </w:tcPr>
                <w:p w14:paraId="6B1574AB">
                  <w:pPr>
                    <w:keepNext w:val="0"/>
                    <w:keepLines w:val="0"/>
                    <w:suppressLineNumbers w:val="0"/>
                    <w:spacing w:before="0" w:beforeAutospacing="0" w:after="0" w:afterAutospacing="0"/>
                    <w:ind w:left="0" w:right="0"/>
                    <w:jc w:val="center"/>
                    <w:rPr>
                      <w:rFonts w:hint="default" w:cs="Times New Roman"/>
                      <w:szCs w:val="21"/>
                      <w:lang w:val="en-US" w:eastAsia="zh-CN"/>
                    </w:rPr>
                  </w:pPr>
                  <w:r>
                    <w:rPr>
                      <w:rFonts w:hint="eastAsia" w:cs="Times New Roman"/>
                      <w:szCs w:val="21"/>
                      <w:lang w:val="en-US" w:eastAsia="zh-CN"/>
                    </w:rPr>
                    <w:t>生产车间和堆场外围设置集水沟，降尘废水经集水沟收集后引入一个容积约30m</w:t>
                  </w:r>
                  <w:r>
                    <w:rPr>
                      <w:rFonts w:hint="eastAsia" w:cs="Times New Roman"/>
                      <w:szCs w:val="21"/>
                      <w:vertAlign w:val="superscript"/>
                      <w:lang w:val="en-US" w:eastAsia="zh-CN"/>
                    </w:rPr>
                    <w:t>3</w:t>
                  </w:r>
                  <w:r>
                    <w:rPr>
                      <w:rFonts w:hint="eastAsia" w:cs="Times New Roman"/>
                      <w:szCs w:val="21"/>
                      <w:lang w:val="en-US" w:eastAsia="zh-CN"/>
                    </w:rPr>
                    <w:t>的沉砂池进行汇集，然后由抽水泵泵入废水处理系统进行处理后回用于生产</w:t>
                  </w:r>
                </w:p>
              </w:tc>
              <w:tc>
                <w:tcPr>
                  <w:tcW w:w="656" w:type="pct"/>
                  <w:vMerge w:val="continue"/>
                  <w:noWrap w:val="0"/>
                  <w:vAlign w:val="center"/>
                </w:tcPr>
                <w:p w14:paraId="5089CDF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577" w:type="pct"/>
                  <w:noWrap w:val="0"/>
                  <w:vAlign w:val="center"/>
                </w:tcPr>
                <w:p w14:paraId="73F212E3">
                  <w:pPr>
                    <w:keepNext w:val="0"/>
                    <w:keepLines w:val="0"/>
                    <w:suppressLineNumbers w:val="0"/>
                    <w:spacing w:before="0" w:beforeAutospacing="0" w:after="0" w:afterAutospacing="0"/>
                    <w:ind w:left="0" w:leftChars="0" w:right="0" w:rightChars="0"/>
                    <w:jc w:val="center"/>
                    <w:rPr>
                      <w:rFonts w:hint="eastAsia" w:cs="Times New Roman"/>
                      <w:szCs w:val="21"/>
                      <w:lang w:val="en-US" w:eastAsia="zh-CN"/>
                    </w:rPr>
                  </w:pPr>
                  <w:r>
                    <w:rPr>
                      <w:rFonts w:hint="eastAsia" w:cs="Times New Roman"/>
                      <w:szCs w:val="21"/>
                      <w:lang w:val="en-US" w:eastAsia="zh-CN"/>
                    </w:rPr>
                    <w:t>废水、固废</w:t>
                  </w:r>
                </w:p>
              </w:tc>
              <w:tc>
                <w:tcPr>
                  <w:tcW w:w="436" w:type="pct"/>
                  <w:noWrap w:val="0"/>
                  <w:vAlign w:val="center"/>
                </w:tcPr>
                <w:p w14:paraId="69253A3B">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szCs w:val="21"/>
                    </w:rPr>
                  </w:pPr>
                  <w:r>
                    <w:rPr>
                      <w:rFonts w:hint="eastAsia" w:ascii="Times New Roman" w:hAnsi="Times New Roman" w:eastAsia="宋体" w:cs="Times New Roman"/>
                      <w:szCs w:val="21"/>
                    </w:rPr>
                    <w:t>新建</w:t>
                  </w:r>
                </w:p>
              </w:tc>
            </w:tr>
            <w:tr w14:paraId="784D9D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38" w:hRule="atLeast"/>
                <w:jc w:val="center"/>
              </w:trPr>
              <w:tc>
                <w:tcPr>
                  <w:tcW w:w="371" w:type="pct"/>
                  <w:vMerge w:val="continue"/>
                  <w:noWrap w:val="0"/>
                  <w:vAlign w:val="center"/>
                </w:tcPr>
                <w:p w14:paraId="025C402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253" w:type="pct"/>
                  <w:vMerge w:val="continue"/>
                  <w:noWrap w:val="0"/>
                  <w:vAlign w:val="center"/>
                </w:tcPr>
                <w:p w14:paraId="2A5EA029">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rPr>
                  </w:pPr>
                </w:p>
              </w:tc>
              <w:tc>
                <w:tcPr>
                  <w:tcW w:w="517" w:type="pct"/>
                  <w:gridSpan w:val="2"/>
                  <w:noWrap w:val="0"/>
                  <w:vAlign w:val="center"/>
                </w:tcPr>
                <w:p w14:paraId="33069340">
                  <w:pPr>
                    <w:keepNext w:val="0"/>
                    <w:keepLines w:val="0"/>
                    <w:suppressLineNumbers w:val="0"/>
                    <w:spacing w:before="0" w:beforeAutospacing="0" w:after="0" w:afterAutospacing="0"/>
                    <w:ind w:left="0" w:right="0"/>
                    <w:jc w:val="center"/>
                    <w:rPr>
                      <w:rFonts w:hint="default" w:cs="Times New Roman"/>
                      <w:sz w:val="21"/>
                      <w:szCs w:val="21"/>
                      <w:lang w:val="en-US" w:eastAsia="zh-CN"/>
                    </w:rPr>
                  </w:pPr>
                  <w:r>
                    <w:rPr>
                      <w:rFonts w:hint="eastAsia" w:cs="Times New Roman"/>
                      <w:sz w:val="21"/>
                      <w:szCs w:val="21"/>
                      <w:lang w:val="en-US" w:eastAsia="zh-CN"/>
                    </w:rPr>
                    <w:t>初期雨水</w:t>
                  </w:r>
                </w:p>
              </w:tc>
              <w:tc>
                <w:tcPr>
                  <w:tcW w:w="2187" w:type="pct"/>
                  <w:noWrap w:val="0"/>
                  <w:vAlign w:val="center"/>
                </w:tcPr>
                <w:p w14:paraId="5AE434F7">
                  <w:pPr>
                    <w:keepNext w:val="0"/>
                    <w:keepLines w:val="0"/>
                    <w:suppressLineNumbers w:val="0"/>
                    <w:spacing w:before="0" w:beforeAutospacing="0" w:after="0" w:afterAutospacing="0"/>
                    <w:ind w:left="0" w:right="0"/>
                    <w:jc w:val="both"/>
                    <w:rPr>
                      <w:rFonts w:hint="default" w:cs="Times New Roman"/>
                      <w:sz w:val="21"/>
                      <w:szCs w:val="21"/>
                      <w:lang w:val="en-US" w:eastAsia="zh-CN"/>
                    </w:rPr>
                  </w:pPr>
                  <w:r>
                    <w:rPr>
                      <w:rFonts w:hint="eastAsia" w:cs="Times New Roman"/>
                      <w:sz w:val="21"/>
                      <w:szCs w:val="21"/>
                      <w:lang w:val="en-US" w:eastAsia="zh-CN"/>
                    </w:rPr>
                    <w:t>厂区设置雨水导流沟，初期雨水经导流沟进入收集后引入一个容积约30m</w:t>
                  </w:r>
                  <w:r>
                    <w:rPr>
                      <w:rFonts w:hint="eastAsia" w:cs="Times New Roman"/>
                      <w:sz w:val="21"/>
                      <w:szCs w:val="21"/>
                      <w:vertAlign w:val="superscript"/>
                      <w:lang w:val="en-US" w:eastAsia="zh-CN"/>
                    </w:rPr>
                    <w:t>3</w:t>
                  </w:r>
                  <w:r>
                    <w:rPr>
                      <w:rFonts w:hint="eastAsia" w:cs="Times New Roman"/>
                      <w:sz w:val="21"/>
                      <w:szCs w:val="21"/>
                      <w:lang w:val="en-US" w:eastAsia="zh-CN"/>
                    </w:rPr>
                    <w:t>的沉砂池进行汇集，然后由抽水泵泵入废水处理系统进行处理后回用于生产，不外排</w:t>
                  </w:r>
                </w:p>
              </w:tc>
              <w:tc>
                <w:tcPr>
                  <w:tcW w:w="656" w:type="pct"/>
                  <w:vMerge w:val="continue"/>
                  <w:noWrap w:val="0"/>
                  <w:vAlign w:val="center"/>
                </w:tcPr>
                <w:p w14:paraId="18E9BB7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577" w:type="pct"/>
                  <w:noWrap w:val="0"/>
                  <w:vAlign w:val="center"/>
                </w:tcPr>
                <w:p w14:paraId="5874A06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cs="Times New Roman"/>
                      <w:szCs w:val="21"/>
                      <w:lang w:val="en-US" w:eastAsia="zh-CN"/>
                    </w:rPr>
                    <w:t>废水、固废</w:t>
                  </w:r>
                </w:p>
              </w:tc>
              <w:tc>
                <w:tcPr>
                  <w:tcW w:w="436" w:type="pct"/>
                  <w:noWrap w:val="0"/>
                  <w:vAlign w:val="center"/>
                </w:tcPr>
                <w:p w14:paraId="019A0543">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rPr>
                  </w:pPr>
                  <w:r>
                    <w:rPr>
                      <w:rFonts w:hint="eastAsia" w:ascii="Times New Roman" w:hAnsi="Times New Roman" w:eastAsia="宋体" w:cs="Times New Roman"/>
                      <w:szCs w:val="21"/>
                    </w:rPr>
                    <w:t>新建</w:t>
                  </w:r>
                </w:p>
              </w:tc>
            </w:tr>
            <w:tr w14:paraId="0CEAF3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371" w:type="pct"/>
                  <w:vMerge w:val="continue"/>
                  <w:noWrap w:val="0"/>
                  <w:vAlign w:val="center"/>
                </w:tcPr>
                <w:p w14:paraId="518C076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253" w:type="pct"/>
                  <w:vMerge w:val="restart"/>
                  <w:noWrap w:val="0"/>
                  <w:vAlign w:val="center"/>
                </w:tcPr>
                <w:p w14:paraId="1A9A329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废气治理</w:t>
                  </w:r>
                </w:p>
              </w:tc>
              <w:tc>
                <w:tcPr>
                  <w:tcW w:w="517" w:type="pct"/>
                  <w:gridSpan w:val="2"/>
                  <w:noWrap w:val="0"/>
                  <w:vAlign w:val="center"/>
                </w:tcPr>
                <w:p w14:paraId="1A1A42B9">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szCs w:val="21"/>
                      <w:lang w:val="en-US" w:eastAsia="zh-CN"/>
                    </w:rPr>
                  </w:pPr>
                  <w:r>
                    <w:rPr>
                      <w:rFonts w:hint="eastAsia" w:cs="Times New Roman"/>
                      <w:szCs w:val="21"/>
                      <w:lang w:val="en-US" w:eastAsia="zh-CN"/>
                    </w:rPr>
                    <w:t>装卸粉尘</w:t>
                  </w:r>
                </w:p>
              </w:tc>
              <w:tc>
                <w:tcPr>
                  <w:tcW w:w="2187" w:type="pct"/>
                  <w:vMerge w:val="restart"/>
                  <w:noWrap w:val="0"/>
                  <w:vAlign w:val="center"/>
                </w:tcPr>
                <w:p w14:paraId="586A001A">
                  <w:pPr>
                    <w:keepNext w:val="0"/>
                    <w:keepLines w:val="0"/>
                    <w:suppressLineNumbers w:val="0"/>
                    <w:spacing w:before="0" w:beforeAutospacing="0" w:after="0" w:afterAutospacing="0"/>
                    <w:ind w:left="0" w:right="0"/>
                    <w:rPr>
                      <w:rFonts w:hint="default" w:ascii="Times New Roman" w:hAnsi="Times New Roman" w:eastAsia="宋体" w:cs="Times New Roman"/>
                      <w:szCs w:val="21"/>
                      <w:lang w:val="en-US" w:eastAsia="zh-CN"/>
                    </w:rPr>
                  </w:pPr>
                  <w:r>
                    <w:rPr>
                      <w:rFonts w:hint="eastAsia"/>
                      <w:szCs w:val="21"/>
                      <w:lang w:val="en-US" w:eastAsia="zh-CN"/>
                    </w:rPr>
                    <w:t>项目</w:t>
                  </w:r>
                  <w:r>
                    <w:rPr>
                      <w:rFonts w:hint="eastAsia"/>
                      <w:szCs w:val="21"/>
                    </w:rPr>
                    <w:t>堆场设三面围挡及</w:t>
                  </w:r>
                  <w:r>
                    <w:rPr>
                      <w:rFonts w:hint="eastAsia"/>
                      <w:szCs w:val="21"/>
                      <w:lang w:eastAsia="zh-CN"/>
                    </w:rPr>
                    <w:t>铺设防尘网</w:t>
                  </w:r>
                  <w:r>
                    <w:rPr>
                      <w:rFonts w:hint="eastAsia"/>
                      <w:szCs w:val="21"/>
                      <w:lang w:val="en-US" w:eastAsia="zh-CN"/>
                    </w:rPr>
                    <w:t>，堆场内设置喷淋控尘装置，在干燥天气增加对堆场洒水频次，保证物料堆面层湿润，同时在物料表面敷设防尘网，减少风力起尘；原料及成品装卸过程</w:t>
                  </w:r>
                  <w:r>
                    <w:rPr>
                      <w:rFonts w:hint="eastAsia"/>
                      <w:szCs w:val="21"/>
                    </w:rPr>
                    <w:t>取</w:t>
                  </w:r>
                  <w:r>
                    <w:rPr>
                      <w:rFonts w:hint="eastAsia"/>
                      <w:szCs w:val="21"/>
                      <w:lang w:val="en-US" w:eastAsia="zh-CN"/>
                    </w:rPr>
                    <w:t>喷淋</w:t>
                  </w:r>
                  <w:r>
                    <w:rPr>
                      <w:rFonts w:hint="eastAsia"/>
                      <w:szCs w:val="21"/>
                    </w:rPr>
                    <w:t>降尘，并在装卸作业过程中加强管理，尽量减小装卸落差距离，降低粉尘产生量</w:t>
                  </w:r>
                  <w:r>
                    <w:rPr>
                      <w:rFonts w:hint="eastAsia"/>
                      <w:szCs w:val="21"/>
                      <w:lang w:eastAsia="zh-CN"/>
                    </w:rPr>
                    <w:t>。</w:t>
                  </w:r>
                </w:p>
              </w:tc>
              <w:tc>
                <w:tcPr>
                  <w:tcW w:w="656" w:type="pct"/>
                  <w:vMerge w:val="continue"/>
                  <w:noWrap w:val="0"/>
                  <w:vAlign w:val="center"/>
                </w:tcPr>
                <w:p w14:paraId="1323F68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577" w:type="pct"/>
                  <w:vMerge w:val="restart"/>
                  <w:noWrap w:val="0"/>
                  <w:vAlign w:val="center"/>
                </w:tcPr>
                <w:p w14:paraId="1BE2AC8D">
                  <w:pPr>
                    <w:pStyle w:val="98"/>
                    <w:keepNext w:val="0"/>
                    <w:keepLines w:val="0"/>
                    <w:suppressLineNumbers w:val="0"/>
                    <w:spacing w:before="0" w:beforeAutospacing="0" w:after="0" w:afterAutospacing="0" w:line="240" w:lineRule="auto"/>
                    <w:ind w:left="0" w:right="0"/>
                    <w:rPr>
                      <w:rFonts w:hint="eastAsia" w:ascii="Times New Roman" w:hAnsi="Times New Roman" w:eastAsia="宋体" w:cs="Times New Roman"/>
                      <w:sz w:val="21"/>
                      <w:szCs w:val="21"/>
                      <w:lang w:eastAsia="zh-CN"/>
                    </w:rPr>
                  </w:pPr>
                  <w:r>
                    <w:rPr>
                      <w:rFonts w:hint="eastAsia" w:ascii="Times New Roman" w:hAnsi="Times New Roman" w:eastAsia="宋体" w:cs="Times New Roman"/>
                      <w:color w:val="auto"/>
                      <w:sz w:val="21"/>
                      <w:szCs w:val="21"/>
                    </w:rPr>
                    <w:t>废气</w:t>
                  </w:r>
                  <w:r>
                    <w:rPr>
                      <w:rFonts w:hint="eastAsia" w:cs="Times New Roman"/>
                      <w:color w:val="auto"/>
                      <w:sz w:val="21"/>
                      <w:szCs w:val="21"/>
                      <w:lang w:eastAsia="zh-CN"/>
                    </w:rPr>
                    <w:t>、</w:t>
                  </w:r>
                  <w:r>
                    <w:rPr>
                      <w:rFonts w:hint="eastAsia" w:cs="Times New Roman"/>
                      <w:color w:val="auto"/>
                      <w:sz w:val="21"/>
                      <w:szCs w:val="21"/>
                      <w:lang w:val="en-US" w:eastAsia="zh-CN"/>
                    </w:rPr>
                    <w:t>废水</w:t>
                  </w:r>
                </w:p>
              </w:tc>
              <w:tc>
                <w:tcPr>
                  <w:tcW w:w="436" w:type="pct"/>
                  <w:vMerge w:val="restart"/>
                  <w:noWrap w:val="0"/>
                  <w:vAlign w:val="center"/>
                </w:tcPr>
                <w:p w14:paraId="3431454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新建</w:t>
                  </w:r>
                </w:p>
              </w:tc>
            </w:tr>
            <w:tr w14:paraId="7F42DA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371" w:type="pct"/>
                  <w:vMerge w:val="continue"/>
                  <w:noWrap w:val="0"/>
                  <w:vAlign w:val="center"/>
                </w:tcPr>
                <w:p w14:paraId="3135CABE">
                  <w:pPr>
                    <w:keepNext w:val="0"/>
                    <w:keepLines w:val="0"/>
                    <w:suppressLineNumbers w:val="0"/>
                    <w:spacing w:before="0" w:beforeAutospacing="0" w:after="0" w:afterAutospacing="0"/>
                    <w:ind w:left="0" w:right="0"/>
                    <w:rPr>
                      <w:rFonts w:hint="default" w:ascii="Times New Roman" w:hAnsi="Times New Roman" w:eastAsia="宋体" w:cs="Times New Roman"/>
                    </w:rPr>
                  </w:pPr>
                </w:p>
              </w:tc>
              <w:tc>
                <w:tcPr>
                  <w:tcW w:w="253" w:type="pct"/>
                  <w:vMerge w:val="continue"/>
                  <w:noWrap w:val="0"/>
                  <w:vAlign w:val="center"/>
                </w:tcPr>
                <w:p w14:paraId="348CE038">
                  <w:pPr>
                    <w:keepNext w:val="0"/>
                    <w:keepLines w:val="0"/>
                    <w:suppressLineNumbers w:val="0"/>
                    <w:spacing w:before="0" w:beforeAutospacing="0" w:after="0" w:afterAutospacing="0"/>
                    <w:ind w:left="0" w:right="0"/>
                    <w:rPr>
                      <w:rFonts w:hint="default" w:ascii="Times New Roman" w:hAnsi="Times New Roman" w:eastAsia="宋体" w:cs="Times New Roman"/>
                    </w:rPr>
                  </w:pPr>
                </w:p>
              </w:tc>
              <w:tc>
                <w:tcPr>
                  <w:tcW w:w="517" w:type="pct"/>
                  <w:gridSpan w:val="2"/>
                  <w:noWrap w:val="0"/>
                  <w:vAlign w:val="center"/>
                </w:tcPr>
                <w:p w14:paraId="0CD29AA8">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lang w:val="en-US" w:eastAsia="zh-CN"/>
                    </w:rPr>
                  </w:pPr>
                  <w:r>
                    <w:rPr>
                      <w:rFonts w:hint="eastAsia"/>
                      <w:vertAlign w:val="baseline"/>
                      <w:lang w:val="en-US" w:eastAsia="zh-CN"/>
                    </w:rPr>
                    <w:t>堆存粉尘</w:t>
                  </w:r>
                </w:p>
              </w:tc>
              <w:tc>
                <w:tcPr>
                  <w:tcW w:w="2187" w:type="pct"/>
                  <w:vMerge w:val="continue"/>
                  <w:noWrap w:val="0"/>
                  <w:vAlign w:val="center"/>
                </w:tcPr>
                <w:p w14:paraId="5622B900">
                  <w:pPr>
                    <w:keepNext w:val="0"/>
                    <w:keepLines w:val="0"/>
                    <w:suppressLineNumbers w:val="0"/>
                    <w:spacing w:before="0" w:beforeAutospacing="0" w:after="0" w:afterAutospacing="0"/>
                    <w:ind w:left="0" w:right="0"/>
                    <w:rPr>
                      <w:rFonts w:hint="default" w:ascii="Times New Roman" w:hAnsi="Times New Roman" w:eastAsia="宋体" w:cs="Times New Roman"/>
                      <w:lang w:val="en-US" w:eastAsia="zh-CN"/>
                    </w:rPr>
                  </w:pPr>
                </w:p>
              </w:tc>
              <w:tc>
                <w:tcPr>
                  <w:tcW w:w="656" w:type="pct"/>
                  <w:vMerge w:val="continue"/>
                  <w:noWrap w:val="0"/>
                  <w:vAlign w:val="center"/>
                </w:tcPr>
                <w:p w14:paraId="5EE20854">
                  <w:pPr>
                    <w:keepNext w:val="0"/>
                    <w:keepLines w:val="0"/>
                    <w:suppressLineNumbers w:val="0"/>
                    <w:spacing w:before="0" w:beforeAutospacing="0" w:after="0" w:afterAutospacing="0"/>
                    <w:ind w:left="0" w:right="0"/>
                    <w:rPr>
                      <w:rFonts w:hint="eastAsia" w:ascii="Times New Roman" w:hAnsi="Times New Roman" w:eastAsia="宋体" w:cs="Times New Roman"/>
                    </w:rPr>
                  </w:pPr>
                </w:p>
              </w:tc>
              <w:tc>
                <w:tcPr>
                  <w:tcW w:w="577" w:type="pct"/>
                  <w:vMerge w:val="continue"/>
                  <w:noWrap w:val="0"/>
                  <w:vAlign w:val="center"/>
                </w:tcPr>
                <w:p w14:paraId="34E96F1D">
                  <w:pPr>
                    <w:pStyle w:val="98"/>
                    <w:keepNext w:val="0"/>
                    <w:keepLines w:val="0"/>
                    <w:suppressLineNumbers w:val="0"/>
                    <w:spacing w:before="0" w:beforeAutospacing="0" w:after="0" w:afterAutospacing="0" w:line="240" w:lineRule="auto"/>
                    <w:ind w:left="0" w:right="0"/>
                    <w:rPr>
                      <w:rFonts w:hint="default" w:ascii="Times New Roman" w:hAnsi="Times New Roman" w:eastAsia="宋体" w:cs="Times New Roman"/>
                      <w:sz w:val="21"/>
                      <w:szCs w:val="21"/>
                      <w:lang w:val="en-US" w:eastAsia="zh-CN"/>
                    </w:rPr>
                  </w:pPr>
                </w:p>
              </w:tc>
              <w:tc>
                <w:tcPr>
                  <w:tcW w:w="436" w:type="pct"/>
                  <w:vMerge w:val="continue"/>
                  <w:noWrap w:val="0"/>
                  <w:vAlign w:val="center"/>
                </w:tcPr>
                <w:p w14:paraId="737BBAFC">
                  <w:pPr>
                    <w:keepNext w:val="0"/>
                    <w:keepLines w:val="0"/>
                    <w:suppressLineNumbers w:val="0"/>
                    <w:spacing w:before="0" w:beforeAutospacing="0" w:after="0" w:afterAutospacing="0"/>
                    <w:ind w:left="0" w:right="0"/>
                    <w:rPr>
                      <w:rFonts w:hint="eastAsia" w:ascii="Times New Roman" w:hAnsi="Times New Roman" w:eastAsia="宋体" w:cs="Times New Roman"/>
                    </w:rPr>
                  </w:pPr>
                </w:p>
              </w:tc>
            </w:tr>
            <w:tr w14:paraId="5A6182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371" w:type="pct"/>
                  <w:vMerge w:val="continue"/>
                  <w:noWrap w:val="0"/>
                  <w:vAlign w:val="center"/>
                </w:tcPr>
                <w:p w14:paraId="4420B746">
                  <w:pPr>
                    <w:keepNext w:val="0"/>
                    <w:keepLines w:val="0"/>
                    <w:suppressLineNumbers w:val="0"/>
                    <w:spacing w:before="0" w:beforeAutospacing="0" w:after="0" w:afterAutospacing="0"/>
                    <w:ind w:left="0" w:right="0"/>
                    <w:rPr>
                      <w:rFonts w:hint="eastAsia" w:ascii="Times New Roman" w:hAnsi="Times New Roman" w:eastAsia="宋体" w:cs="Times New Roman"/>
                    </w:rPr>
                  </w:pPr>
                </w:p>
              </w:tc>
              <w:tc>
                <w:tcPr>
                  <w:tcW w:w="253" w:type="pct"/>
                  <w:vMerge w:val="continue"/>
                  <w:noWrap w:val="0"/>
                  <w:vAlign w:val="center"/>
                </w:tcPr>
                <w:p w14:paraId="297CDB82">
                  <w:pPr>
                    <w:keepNext w:val="0"/>
                    <w:keepLines w:val="0"/>
                    <w:suppressLineNumbers w:val="0"/>
                    <w:spacing w:before="0" w:beforeAutospacing="0" w:after="0" w:afterAutospacing="0"/>
                    <w:ind w:left="0" w:right="0"/>
                    <w:rPr>
                      <w:rFonts w:hint="eastAsia" w:ascii="Times New Roman" w:hAnsi="Times New Roman" w:eastAsia="宋体" w:cs="Times New Roman"/>
                    </w:rPr>
                  </w:pPr>
                </w:p>
              </w:tc>
              <w:tc>
                <w:tcPr>
                  <w:tcW w:w="869" w:type="dxa"/>
                  <w:gridSpan w:val="2"/>
                  <w:noWrap w:val="0"/>
                  <w:vAlign w:val="center"/>
                </w:tcPr>
                <w:p w14:paraId="152FB18F">
                  <w:pPr>
                    <w:keepNext w:val="0"/>
                    <w:keepLines w:val="0"/>
                    <w:widowControl/>
                    <w:suppressLineNumbers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lang w:val="en-US" w:eastAsia="zh-CN"/>
                    </w:rPr>
                  </w:pPr>
                  <w:r>
                    <w:rPr>
                      <w:rFonts w:hint="eastAsia"/>
                      <w:vertAlign w:val="baseline"/>
                      <w:lang w:val="en-US" w:eastAsia="zh-CN"/>
                    </w:rPr>
                    <w:t>进料粉尘</w:t>
                  </w:r>
                </w:p>
              </w:tc>
              <w:tc>
                <w:tcPr>
                  <w:tcW w:w="3671" w:type="dxa"/>
                  <w:noWrap w:val="0"/>
                  <w:vAlign w:val="center"/>
                </w:tcPr>
                <w:p w14:paraId="484C6FBB">
                  <w:pPr>
                    <w:keepNext w:val="0"/>
                    <w:keepLines w:val="0"/>
                    <w:suppressLineNumbers w:val="0"/>
                    <w:spacing w:before="0" w:beforeAutospacing="0" w:after="0" w:afterAutospacing="0"/>
                    <w:ind w:left="0" w:leftChars="0" w:right="0" w:rightChars="0"/>
                    <w:rPr>
                      <w:rFonts w:hint="eastAsia" w:ascii="Times New Roman" w:hAnsi="Times New Roman" w:eastAsia="宋体" w:cs="Times New Roman"/>
                    </w:rPr>
                  </w:pPr>
                  <w:r>
                    <w:rPr>
                      <w:rFonts w:hint="eastAsia"/>
                      <w:vertAlign w:val="baseline"/>
                      <w:lang w:val="en-US" w:eastAsia="zh-CN"/>
                    </w:rPr>
                    <w:t>进料过程在封闭的厂房中进行，进料口设置喷淋降尘装置。</w:t>
                  </w:r>
                </w:p>
              </w:tc>
              <w:tc>
                <w:tcPr>
                  <w:tcW w:w="656" w:type="pct"/>
                  <w:vMerge w:val="continue"/>
                  <w:noWrap w:val="0"/>
                  <w:vAlign w:val="center"/>
                </w:tcPr>
                <w:p w14:paraId="70D77C4C">
                  <w:pPr>
                    <w:keepNext w:val="0"/>
                    <w:keepLines w:val="0"/>
                    <w:suppressLineNumbers w:val="0"/>
                    <w:spacing w:before="0" w:beforeAutospacing="0" w:after="0" w:afterAutospacing="0"/>
                    <w:ind w:left="0" w:right="0"/>
                    <w:rPr>
                      <w:rFonts w:hint="eastAsia" w:ascii="Times New Roman" w:hAnsi="Times New Roman" w:eastAsia="宋体" w:cs="Times New Roman"/>
                    </w:rPr>
                  </w:pPr>
                </w:p>
              </w:tc>
              <w:tc>
                <w:tcPr>
                  <w:tcW w:w="577" w:type="pct"/>
                  <w:noWrap w:val="0"/>
                  <w:vAlign w:val="center"/>
                </w:tcPr>
                <w:p w14:paraId="5497FCC8">
                  <w:pPr>
                    <w:pStyle w:val="98"/>
                    <w:keepNext w:val="0"/>
                    <w:keepLines w:val="0"/>
                    <w:suppressLineNumbers w:val="0"/>
                    <w:spacing w:before="0" w:beforeAutospacing="0" w:after="0" w:afterAutospacing="0" w:line="240" w:lineRule="auto"/>
                    <w:ind w:left="0" w:right="0"/>
                    <w:rPr>
                      <w:rFonts w:hint="eastAsia" w:ascii="Times New Roman" w:hAnsi="Times New Roman" w:eastAsia="宋体" w:cs="Times New Roman"/>
                      <w:sz w:val="21"/>
                      <w:szCs w:val="21"/>
                    </w:rPr>
                  </w:pPr>
                  <w:r>
                    <w:rPr>
                      <w:rFonts w:hint="eastAsia" w:ascii="Times New Roman" w:hAnsi="Times New Roman" w:eastAsia="宋体" w:cs="Times New Roman"/>
                      <w:color w:val="auto"/>
                      <w:sz w:val="21"/>
                      <w:szCs w:val="21"/>
                    </w:rPr>
                    <w:t>废气</w:t>
                  </w:r>
                  <w:r>
                    <w:rPr>
                      <w:rFonts w:hint="eastAsia" w:cs="Times New Roman"/>
                      <w:color w:val="auto"/>
                      <w:sz w:val="21"/>
                      <w:szCs w:val="21"/>
                      <w:lang w:eastAsia="zh-CN"/>
                    </w:rPr>
                    <w:t>、</w:t>
                  </w:r>
                  <w:r>
                    <w:rPr>
                      <w:rFonts w:hint="eastAsia" w:cs="Times New Roman"/>
                      <w:color w:val="auto"/>
                      <w:sz w:val="21"/>
                      <w:szCs w:val="21"/>
                      <w:lang w:val="en-US" w:eastAsia="zh-CN"/>
                    </w:rPr>
                    <w:t>废水</w:t>
                  </w:r>
                </w:p>
              </w:tc>
              <w:tc>
                <w:tcPr>
                  <w:tcW w:w="436" w:type="pct"/>
                  <w:noWrap w:val="0"/>
                  <w:vAlign w:val="center"/>
                </w:tcPr>
                <w:p w14:paraId="11408329">
                  <w:pPr>
                    <w:keepNext w:val="0"/>
                    <w:keepLines w:val="0"/>
                    <w:suppressLineNumbers w:val="0"/>
                    <w:spacing w:before="0" w:beforeAutospacing="0" w:after="0" w:afterAutospacing="0"/>
                    <w:ind w:left="0" w:right="0"/>
                    <w:rPr>
                      <w:rFonts w:hint="eastAsia" w:ascii="Times New Roman" w:hAnsi="Times New Roman" w:eastAsia="宋体" w:cs="Times New Roman"/>
                    </w:rPr>
                  </w:pPr>
                  <w:r>
                    <w:rPr>
                      <w:rFonts w:hint="eastAsia" w:ascii="Times New Roman" w:hAnsi="Times New Roman" w:eastAsia="宋体" w:cs="Times New Roman"/>
                      <w:szCs w:val="21"/>
                    </w:rPr>
                    <w:t>新建</w:t>
                  </w:r>
                </w:p>
              </w:tc>
            </w:tr>
            <w:tr w14:paraId="67175B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371" w:type="pct"/>
                  <w:vMerge w:val="continue"/>
                  <w:noWrap w:val="0"/>
                  <w:vAlign w:val="center"/>
                </w:tcPr>
                <w:p w14:paraId="1328A97F">
                  <w:pPr>
                    <w:keepNext w:val="0"/>
                    <w:keepLines w:val="0"/>
                    <w:suppressLineNumbers w:val="0"/>
                    <w:spacing w:before="0" w:beforeAutospacing="0" w:after="0" w:afterAutospacing="0"/>
                    <w:ind w:left="0" w:right="0"/>
                    <w:rPr>
                      <w:rFonts w:hint="eastAsia" w:ascii="Times New Roman" w:hAnsi="Times New Roman" w:eastAsia="宋体" w:cs="Times New Roman"/>
                    </w:rPr>
                  </w:pPr>
                </w:p>
              </w:tc>
              <w:tc>
                <w:tcPr>
                  <w:tcW w:w="253" w:type="pct"/>
                  <w:vMerge w:val="continue"/>
                  <w:noWrap w:val="0"/>
                  <w:vAlign w:val="center"/>
                </w:tcPr>
                <w:p w14:paraId="1BEB8779">
                  <w:pPr>
                    <w:keepNext w:val="0"/>
                    <w:keepLines w:val="0"/>
                    <w:suppressLineNumbers w:val="0"/>
                    <w:spacing w:before="0" w:beforeAutospacing="0" w:after="0" w:afterAutospacing="0"/>
                    <w:ind w:left="0" w:right="0"/>
                    <w:rPr>
                      <w:rFonts w:hint="eastAsia" w:ascii="Times New Roman" w:hAnsi="Times New Roman" w:eastAsia="宋体" w:cs="Times New Roman"/>
                    </w:rPr>
                  </w:pPr>
                </w:p>
              </w:tc>
              <w:tc>
                <w:tcPr>
                  <w:tcW w:w="869" w:type="dxa"/>
                  <w:gridSpan w:val="2"/>
                  <w:noWrap w:val="0"/>
                  <w:vAlign w:val="center"/>
                </w:tcPr>
                <w:p w14:paraId="39E8CD95">
                  <w:pPr>
                    <w:keepNext w:val="0"/>
                    <w:keepLines w:val="0"/>
                    <w:widowControl/>
                    <w:suppressLineNumbers w:val="0"/>
                    <w:snapToGrid w:val="0"/>
                    <w:spacing w:before="0" w:beforeAutospacing="0" w:after="0" w:afterAutospacing="0"/>
                    <w:ind w:left="0" w:leftChars="0" w:right="0" w:rightChars="0"/>
                    <w:jc w:val="center"/>
                    <w:textAlignment w:val="center"/>
                    <w:rPr>
                      <w:rFonts w:hint="eastAsia"/>
                      <w:vertAlign w:val="baseline"/>
                      <w:lang w:val="en-US" w:eastAsia="zh-CN"/>
                    </w:rPr>
                  </w:pPr>
                  <w:r>
                    <w:rPr>
                      <w:rFonts w:hint="eastAsia"/>
                      <w:vertAlign w:val="baseline"/>
                      <w:lang w:val="en-US" w:eastAsia="zh-CN"/>
                    </w:rPr>
                    <w:t>破碎粉尘</w:t>
                  </w:r>
                </w:p>
              </w:tc>
              <w:tc>
                <w:tcPr>
                  <w:tcW w:w="3671" w:type="dxa"/>
                  <w:noWrap w:val="0"/>
                  <w:vAlign w:val="center"/>
                </w:tcPr>
                <w:p w14:paraId="1320FE1C">
                  <w:pPr>
                    <w:keepNext w:val="0"/>
                    <w:keepLines w:val="0"/>
                    <w:suppressLineNumbers w:val="0"/>
                    <w:spacing w:before="0" w:beforeAutospacing="0" w:after="0" w:afterAutospacing="0"/>
                    <w:ind w:left="0" w:leftChars="0" w:right="0" w:rightChars="0"/>
                    <w:rPr>
                      <w:rFonts w:hint="eastAsia"/>
                      <w:vertAlign w:val="baseline"/>
                      <w:lang w:val="en-US" w:eastAsia="zh-CN"/>
                    </w:rPr>
                  </w:pPr>
                  <w:r>
                    <w:rPr>
                      <w:rFonts w:hint="eastAsia"/>
                      <w:vertAlign w:val="baseline"/>
                      <w:lang w:val="en-US" w:eastAsia="zh-CN"/>
                    </w:rPr>
                    <w:t>破碎过程在封闭的厂房中进行，破碎机的进料口和出料口设置喷淋降尘装置。</w:t>
                  </w:r>
                </w:p>
              </w:tc>
              <w:tc>
                <w:tcPr>
                  <w:tcW w:w="656" w:type="pct"/>
                  <w:vMerge w:val="continue"/>
                  <w:noWrap w:val="0"/>
                  <w:vAlign w:val="center"/>
                </w:tcPr>
                <w:p w14:paraId="5A7AC2A3">
                  <w:pPr>
                    <w:keepNext w:val="0"/>
                    <w:keepLines w:val="0"/>
                    <w:suppressLineNumbers w:val="0"/>
                    <w:spacing w:before="0" w:beforeAutospacing="0" w:after="0" w:afterAutospacing="0"/>
                    <w:ind w:left="0" w:right="0"/>
                    <w:rPr>
                      <w:rFonts w:hint="eastAsia" w:ascii="Times New Roman" w:hAnsi="Times New Roman" w:eastAsia="宋体" w:cs="Times New Roman"/>
                    </w:rPr>
                  </w:pPr>
                </w:p>
              </w:tc>
              <w:tc>
                <w:tcPr>
                  <w:tcW w:w="577" w:type="pct"/>
                  <w:noWrap w:val="0"/>
                  <w:vAlign w:val="center"/>
                </w:tcPr>
                <w:p w14:paraId="200E4E8A">
                  <w:pPr>
                    <w:pStyle w:val="98"/>
                    <w:keepNext w:val="0"/>
                    <w:keepLines w:val="0"/>
                    <w:suppressLineNumbers w:val="0"/>
                    <w:spacing w:before="0" w:beforeAutospacing="0" w:after="0" w:afterAutospacing="0" w:line="240" w:lineRule="auto"/>
                    <w:ind w:left="0" w:right="0"/>
                    <w:rPr>
                      <w:rFonts w:hint="eastAsia" w:ascii="Times New Roman" w:hAnsi="Times New Roman" w:eastAsia="宋体" w:cs="Times New Roman"/>
                      <w:color w:val="auto"/>
                      <w:sz w:val="21"/>
                      <w:szCs w:val="21"/>
                    </w:rPr>
                  </w:pPr>
                </w:p>
              </w:tc>
              <w:tc>
                <w:tcPr>
                  <w:tcW w:w="436" w:type="pct"/>
                  <w:noWrap w:val="0"/>
                  <w:vAlign w:val="center"/>
                </w:tcPr>
                <w:p w14:paraId="2C52700B">
                  <w:pPr>
                    <w:keepNext w:val="0"/>
                    <w:keepLines w:val="0"/>
                    <w:suppressLineNumbers w:val="0"/>
                    <w:spacing w:before="0" w:beforeAutospacing="0" w:after="0" w:afterAutospacing="0"/>
                    <w:ind w:left="0" w:right="0"/>
                    <w:rPr>
                      <w:rFonts w:hint="eastAsia" w:ascii="Times New Roman" w:hAnsi="Times New Roman" w:eastAsia="宋体" w:cs="Times New Roman"/>
                      <w:szCs w:val="21"/>
                    </w:rPr>
                  </w:pPr>
                </w:p>
              </w:tc>
            </w:tr>
            <w:tr w14:paraId="244808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371" w:type="pct"/>
                  <w:vMerge w:val="continue"/>
                  <w:noWrap w:val="0"/>
                  <w:vAlign w:val="center"/>
                </w:tcPr>
                <w:p w14:paraId="375E959A">
                  <w:pPr>
                    <w:keepNext w:val="0"/>
                    <w:keepLines w:val="0"/>
                    <w:suppressLineNumbers w:val="0"/>
                    <w:spacing w:before="0" w:beforeAutospacing="0" w:after="0" w:afterAutospacing="0"/>
                    <w:ind w:left="0" w:right="0"/>
                    <w:rPr>
                      <w:rFonts w:hint="eastAsia" w:ascii="Times New Roman" w:hAnsi="Times New Roman" w:eastAsia="宋体" w:cs="Times New Roman"/>
                    </w:rPr>
                  </w:pPr>
                </w:p>
              </w:tc>
              <w:tc>
                <w:tcPr>
                  <w:tcW w:w="253" w:type="pct"/>
                  <w:vMerge w:val="continue"/>
                  <w:noWrap w:val="0"/>
                  <w:vAlign w:val="center"/>
                </w:tcPr>
                <w:p w14:paraId="43BA1B5A">
                  <w:pPr>
                    <w:keepNext w:val="0"/>
                    <w:keepLines w:val="0"/>
                    <w:suppressLineNumbers w:val="0"/>
                    <w:spacing w:before="0" w:beforeAutospacing="0" w:after="0" w:afterAutospacing="0"/>
                    <w:ind w:left="0" w:right="0"/>
                    <w:rPr>
                      <w:rFonts w:hint="eastAsia" w:ascii="Times New Roman" w:hAnsi="Times New Roman" w:eastAsia="宋体" w:cs="Times New Roman"/>
                    </w:rPr>
                  </w:pPr>
                </w:p>
              </w:tc>
              <w:tc>
                <w:tcPr>
                  <w:tcW w:w="869" w:type="dxa"/>
                  <w:gridSpan w:val="2"/>
                  <w:noWrap w:val="0"/>
                  <w:vAlign w:val="center"/>
                </w:tcPr>
                <w:p w14:paraId="3F73D226">
                  <w:pPr>
                    <w:keepNext w:val="0"/>
                    <w:keepLines w:val="0"/>
                    <w:widowControl/>
                    <w:suppressLineNumbers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kern w:val="0"/>
                      <w:szCs w:val="21"/>
                      <w:lang w:bidi="ar"/>
                    </w:rPr>
                  </w:pPr>
                  <w:r>
                    <w:rPr>
                      <w:rFonts w:hint="eastAsia"/>
                      <w:vertAlign w:val="baseline"/>
                      <w:lang w:val="en-US" w:eastAsia="zh-CN"/>
                    </w:rPr>
                    <w:t>车辆运输粉尘</w:t>
                  </w:r>
                </w:p>
              </w:tc>
              <w:tc>
                <w:tcPr>
                  <w:tcW w:w="3671" w:type="dxa"/>
                  <w:noWrap w:val="0"/>
                  <w:vAlign w:val="center"/>
                </w:tcPr>
                <w:p w14:paraId="57BE46D6">
                  <w:pPr>
                    <w:keepNext w:val="0"/>
                    <w:keepLines w:val="0"/>
                    <w:suppressLineNumbers w:val="0"/>
                    <w:spacing w:before="0" w:beforeAutospacing="0" w:after="0" w:afterAutospacing="0"/>
                    <w:ind w:left="0" w:leftChars="0" w:right="0" w:rightChars="0"/>
                    <w:rPr>
                      <w:rFonts w:hint="default" w:ascii="Times New Roman" w:hAnsi="Times New Roman" w:eastAsia="宋体" w:cs="Times New Roman"/>
                      <w:szCs w:val="21"/>
                    </w:rPr>
                  </w:pPr>
                  <w:r>
                    <w:rPr>
                      <w:rFonts w:hint="default"/>
                      <w:vertAlign w:val="baseline"/>
                      <w:lang w:val="en-US" w:eastAsia="zh-CN"/>
                    </w:rPr>
                    <w:t>对运输货车采取加盖篷布密闭，出厂货车清洗轮胎，货车禁止超载，防止</w:t>
                  </w:r>
                  <w:r>
                    <w:rPr>
                      <w:rFonts w:hint="eastAsia"/>
                      <w:vertAlign w:val="baseline"/>
                      <w:lang w:val="en-US" w:eastAsia="zh-CN"/>
                    </w:rPr>
                    <w:t>物</w:t>
                  </w:r>
                  <w:r>
                    <w:rPr>
                      <w:rFonts w:hint="default"/>
                      <w:vertAlign w:val="baseline"/>
                      <w:lang w:val="en-US" w:eastAsia="zh-CN"/>
                    </w:rPr>
                    <w:t>料散落；在厂内运输路段，要求运输车辆减速慢行；厂区地面定期清扫，保持地面清洁，并采取勤洒水等措施，降低运输车辆扬尘产生量。</w:t>
                  </w:r>
                </w:p>
              </w:tc>
              <w:tc>
                <w:tcPr>
                  <w:tcW w:w="656" w:type="pct"/>
                  <w:vMerge w:val="continue"/>
                  <w:noWrap w:val="0"/>
                  <w:vAlign w:val="center"/>
                </w:tcPr>
                <w:p w14:paraId="687874E9">
                  <w:pPr>
                    <w:keepNext w:val="0"/>
                    <w:keepLines w:val="0"/>
                    <w:suppressLineNumbers w:val="0"/>
                    <w:spacing w:before="0" w:beforeAutospacing="0" w:after="0" w:afterAutospacing="0"/>
                    <w:ind w:left="0" w:right="0"/>
                    <w:rPr>
                      <w:rFonts w:hint="eastAsia" w:ascii="Times New Roman" w:hAnsi="Times New Roman" w:eastAsia="宋体" w:cs="Times New Roman"/>
                    </w:rPr>
                  </w:pPr>
                </w:p>
              </w:tc>
              <w:tc>
                <w:tcPr>
                  <w:tcW w:w="577" w:type="pct"/>
                  <w:noWrap w:val="0"/>
                  <w:vAlign w:val="center"/>
                </w:tcPr>
                <w:p w14:paraId="7EC720AC">
                  <w:pPr>
                    <w:pStyle w:val="98"/>
                    <w:keepNext w:val="0"/>
                    <w:keepLines w:val="0"/>
                    <w:suppressLineNumbers w:val="0"/>
                    <w:spacing w:before="0" w:beforeAutospacing="0" w:after="0" w:afterAutospacing="0" w:line="240" w:lineRule="auto"/>
                    <w:ind w:left="0" w:leftChars="0" w:right="0" w:rightChars="0"/>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废气</w:t>
                  </w:r>
                  <w:r>
                    <w:rPr>
                      <w:rFonts w:hint="eastAsia" w:cs="Times New Roman"/>
                      <w:color w:val="auto"/>
                      <w:sz w:val="21"/>
                      <w:szCs w:val="21"/>
                      <w:lang w:eastAsia="zh-CN"/>
                    </w:rPr>
                    <w:t>、</w:t>
                  </w:r>
                  <w:r>
                    <w:rPr>
                      <w:rFonts w:hint="eastAsia" w:cs="Times New Roman"/>
                      <w:color w:val="auto"/>
                      <w:sz w:val="21"/>
                      <w:szCs w:val="21"/>
                      <w:lang w:val="en-US" w:eastAsia="zh-CN"/>
                    </w:rPr>
                    <w:t>废水</w:t>
                  </w:r>
                </w:p>
              </w:tc>
              <w:tc>
                <w:tcPr>
                  <w:tcW w:w="436" w:type="pct"/>
                  <w:noWrap w:val="0"/>
                  <w:vAlign w:val="center"/>
                </w:tcPr>
                <w:p w14:paraId="51AC0D15">
                  <w:pPr>
                    <w:keepNext w:val="0"/>
                    <w:keepLines w:val="0"/>
                    <w:suppressLineNumbers w:val="0"/>
                    <w:spacing w:before="0" w:beforeAutospacing="0" w:after="0" w:afterAutospacing="0"/>
                    <w:ind w:left="0" w:leftChars="0" w:right="0" w:rightChars="0"/>
                    <w:rPr>
                      <w:rFonts w:hint="eastAsia" w:ascii="Times New Roman" w:hAnsi="Times New Roman" w:eastAsia="宋体" w:cs="Times New Roman"/>
                      <w:szCs w:val="21"/>
                    </w:rPr>
                  </w:pPr>
                  <w:r>
                    <w:rPr>
                      <w:rFonts w:hint="eastAsia" w:ascii="Times New Roman" w:hAnsi="Times New Roman" w:eastAsia="宋体" w:cs="Times New Roman"/>
                      <w:szCs w:val="21"/>
                    </w:rPr>
                    <w:t>新建</w:t>
                  </w:r>
                </w:p>
              </w:tc>
            </w:tr>
            <w:tr w14:paraId="05FF4A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371" w:type="pct"/>
                  <w:vMerge w:val="continue"/>
                  <w:noWrap w:val="0"/>
                  <w:vAlign w:val="center"/>
                </w:tcPr>
                <w:p w14:paraId="6B6768A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771" w:type="pct"/>
                  <w:gridSpan w:val="3"/>
                  <w:noWrap w:val="0"/>
                  <w:vAlign w:val="center"/>
                </w:tcPr>
                <w:p w14:paraId="6314C79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噪声</w:t>
                  </w:r>
                </w:p>
              </w:tc>
              <w:tc>
                <w:tcPr>
                  <w:tcW w:w="2187" w:type="pct"/>
                  <w:noWrap w:val="0"/>
                  <w:vAlign w:val="center"/>
                </w:tcPr>
                <w:p w14:paraId="2EB83237">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lang w:val="en-US" w:eastAsia="zh-CN"/>
                    </w:rPr>
                  </w:pPr>
                  <w:r>
                    <w:rPr>
                      <w:rFonts w:hint="eastAsia"/>
                      <w:color w:val="auto"/>
                      <w:lang w:val="en-US" w:eastAsia="zh-CN"/>
                    </w:rPr>
                    <w:t>合理安排生产时间，</w:t>
                  </w:r>
                  <w:r>
                    <w:rPr>
                      <w:rFonts w:hint="default" w:ascii="Times New Roman" w:hAnsi="Times New Roman" w:eastAsia="宋体"/>
                      <w:color w:val="auto"/>
                    </w:rPr>
                    <w:t>对生产车间厂房实行全封闭，同时在钢架棚厂房内安装吸声板材</w:t>
                  </w:r>
                  <w:r>
                    <w:rPr>
                      <w:rFonts w:hint="eastAsia"/>
                      <w:color w:val="auto"/>
                      <w:lang w:eastAsia="zh-CN"/>
                    </w:rPr>
                    <w:t>，</w:t>
                  </w:r>
                  <w:r>
                    <w:rPr>
                      <w:rFonts w:hint="default" w:ascii="Times New Roman" w:hAnsi="Times New Roman" w:eastAsia="宋体"/>
                      <w:color w:val="auto"/>
                    </w:rPr>
                    <w:t>合理平面布置、采用低噪声设备，加装</w:t>
                  </w:r>
                  <w:r>
                    <w:rPr>
                      <w:rFonts w:hint="eastAsia"/>
                      <w:color w:val="auto"/>
                      <w:lang w:eastAsia="zh-CN"/>
                    </w:rPr>
                    <w:t>减振</w:t>
                  </w:r>
                  <w:r>
                    <w:rPr>
                      <w:rFonts w:hint="default" w:ascii="Times New Roman" w:hAnsi="Times New Roman" w:eastAsia="宋体"/>
                      <w:color w:val="auto"/>
                    </w:rPr>
                    <w:t>垫，高噪声设备下沉</w:t>
                  </w:r>
                  <w:r>
                    <w:rPr>
                      <w:rFonts w:hint="eastAsia"/>
                      <w:color w:val="auto"/>
                      <w:lang w:val="en-US" w:eastAsia="zh-CN"/>
                    </w:rPr>
                    <w:t>或</w:t>
                  </w:r>
                  <w:r>
                    <w:rPr>
                      <w:rFonts w:hint="default" w:ascii="Times New Roman" w:hAnsi="Times New Roman" w:eastAsia="宋体"/>
                      <w:color w:val="auto"/>
                    </w:rPr>
                    <w:t>密闭设置</w:t>
                  </w:r>
                  <w:r>
                    <w:rPr>
                      <w:rFonts w:hint="eastAsia"/>
                      <w:color w:val="auto"/>
                      <w:lang w:eastAsia="zh-CN"/>
                    </w:rPr>
                    <w:t>，</w:t>
                  </w:r>
                  <w:r>
                    <w:rPr>
                      <w:rFonts w:hint="default" w:ascii="Times New Roman" w:hAnsi="Times New Roman" w:eastAsia="宋体"/>
                      <w:color w:val="auto"/>
                    </w:rPr>
                    <w:t>运输车辆限速行驶、禁鸣等措施</w:t>
                  </w:r>
                </w:p>
              </w:tc>
              <w:tc>
                <w:tcPr>
                  <w:tcW w:w="656" w:type="pct"/>
                  <w:vMerge w:val="continue"/>
                  <w:noWrap w:val="0"/>
                  <w:vAlign w:val="center"/>
                </w:tcPr>
                <w:p w14:paraId="36C280A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577" w:type="pct"/>
                  <w:noWrap w:val="0"/>
                  <w:vAlign w:val="center"/>
                </w:tcPr>
                <w:p w14:paraId="2C8B663B">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w:t>
                  </w:r>
                </w:p>
              </w:tc>
              <w:tc>
                <w:tcPr>
                  <w:tcW w:w="436" w:type="pct"/>
                  <w:noWrap w:val="0"/>
                  <w:vAlign w:val="center"/>
                </w:tcPr>
                <w:p w14:paraId="6255F5F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新</w:t>
                  </w:r>
                  <w:r>
                    <w:rPr>
                      <w:rFonts w:hint="default" w:ascii="Times New Roman" w:hAnsi="Times New Roman" w:eastAsia="宋体" w:cs="Times New Roman"/>
                      <w:szCs w:val="21"/>
                    </w:rPr>
                    <w:t>建</w:t>
                  </w:r>
                </w:p>
              </w:tc>
            </w:tr>
            <w:tr w14:paraId="318ED6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371" w:type="pct"/>
                  <w:vMerge w:val="continue"/>
                  <w:noWrap w:val="0"/>
                  <w:vAlign w:val="center"/>
                </w:tcPr>
                <w:p w14:paraId="347ED99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377" w:type="pct"/>
                  <w:gridSpan w:val="2"/>
                  <w:vMerge w:val="restart"/>
                  <w:noWrap w:val="0"/>
                  <w:vAlign w:val="center"/>
                </w:tcPr>
                <w:p w14:paraId="54DCADA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固体废物</w:t>
                  </w:r>
                </w:p>
              </w:tc>
              <w:tc>
                <w:tcPr>
                  <w:tcW w:w="393" w:type="pct"/>
                  <w:noWrap w:val="0"/>
                  <w:vAlign w:val="center"/>
                </w:tcPr>
                <w:p w14:paraId="46F6C84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cs="Times New Roman"/>
                      <w:szCs w:val="21"/>
                      <w:lang w:val="en-US" w:eastAsia="zh-CN"/>
                    </w:rPr>
                    <w:t>一般固废</w:t>
                  </w:r>
                </w:p>
              </w:tc>
              <w:tc>
                <w:tcPr>
                  <w:tcW w:w="2187" w:type="pct"/>
                  <w:noWrap w:val="0"/>
                  <w:vAlign w:val="center"/>
                </w:tcPr>
                <w:p w14:paraId="7E2A4933">
                  <w:pPr>
                    <w:pStyle w:val="98"/>
                    <w:keepNext w:val="0"/>
                    <w:keepLines w:val="0"/>
                    <w:suppressLineNumbers w:val="0"/>
                    <w:spacing w:before="0" w:beforeAutospacing="0" w:after="0" w:afterAutospacing="0" w:line="240" w:lineRule="auto"/>
                    <w:ind w:left="0" w:right="0"/>
                    <w:rPr>
                      <w:rFonts w:hint="default" w:ascii="Times New Roman" w:hAnsi="Times New Roman" w:eastAsia="宋体" w:cs="Times New Roman"/>
                      <w:sz w:val="21"/>
                      <w:szCs w:val="21"/>
                    </w:rPr>
                  </w:pPr>
                  <w:r>
                    <w:rPr>
                      <w:rFonts w:hint="eastAsia" w:cs="Times New Roman"/>
                      <w:sz w:val="21"/>
                      <w:szCs w:val="21"/>
                      <w:lang w:val="en-US" w:eastAsia="zh-CN"/>
                    </w:rPr>
                    <w:t>新建一个泥饼堆场，位于压滤间1层，面积约75m</w:t>
                  </w:r>
                  <w:r>
                    <w:rPr>
                      <w:rFonts w:hint="eastAsia" w:cs="Times New Roman"/>
                      <w:sz w:val="21"/>
                      <w:szCs w:val="21"/>
                      <w:vertAlign w:val="superscript"/>
                      <w:lang w:val="en-US" w:eastAsia="zh-CN"/>
                    </w:rPr>
                    <w:t>2</w:t>
                  </w:r>
                </w:p>
              </w:tc>
              <w:tc>
                <w:tcPr>
                  <w:tcW w:w="656" w:type="pct"/>
                  <w:vMerge w:val="continue"/>
                  <w:noWrap w:val="0"/>
                  <w:vAlign w:val="center"/>
                </w:tcPr>
                <w:p w14:paraId="0265934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577" w:type="pct"/>
                  <w:noWrap w:val="0"/>
                  <w:vAlign w:val="center"/>
                </w:tcPr>
                <w:p w14:paraId="55744737">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w:t>
                  </w:r>
                </w:p>
              </w:tc>
              <w:tc>
                <w:tcPr>
                  <w:tcW w:w="436" w:type="pct"/>
                  <w:noWrap w:val="0"/>
                  <w:vAlign w:val="center"/>
                </w:tcPr>
                <w:p w14:paraId="04E907BF">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rPr>
                  </w:pPr>
                  <w:r>
                    <w:rPr>
                      <w:rFonts w:hint="eastAsia" w:ascii="Times New Roman" w:hAnsi="Times New Roman" w:eastAsia="宋体" w:cs="Times New Roman"/>
                      <w:szCs w:val="21"/>
                    </w:rPr>
                    <w:t>新建</w:t>
                  </w:r>
                </w:p>
              </w:tc>
            </w:tr>
            <w:tr w14:paraId="71A0C5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371" w:type="pct"/>
                  <w:vMerge w:val="continue"/>
                  <w:noWrap w:val="0"/>
                  <w:vAlign w:val="center"/>
                </w:tcPr>
                <w:p w14:paraId="370BC8E6">
                  <w:pPr>
                    <w:keepNext w:val="0"/>
                    <w:keepLines w:val="0"/>
                    <w:suppressLineNumbers w:val="0"/>
                    <w:spacing w:before="0" w:beforeAutospacing="0" w:after="0" w:afterAutospacing="0"/>
                    <w:ind w:left="0" w:right="0"/>
                    <w:jc w:val="center"/>
                    <w:rPr>
                      <w:rFonts w:hint="default"/>
                    </w:rPr>
                  </w:pPr>
                </w:p>
              </w:tc>
              <w:tc>
                <w:tcPr>
                  <w:tcW w:w="377" w:type="pct"/>
                  <w:gridSpan w:val="2"/>
                  <w:vMerge w:val="continue"/>
                  <w:noWrap w:val="0"/>
                  <w:vAlign w:val="center"/>
                </w:tcPr>
                <w:p w14:paraId="55A7485F">
                  <w:pPr>
                    <w:keepNext w:val="0"/>
                    <w:keepLines w:val="0"/>
                    <w:suppressLineNumbers w:val="0"/>
                    <w:spacing w:before="0" w:beforeAutospacing="0" w:after="0" w:afterAutospacing="0"/>
                    <w:ind w:left="0" w:right="0"/>
                    <w:jc w:val="center"/>
                    <w:rPr>
                      <w:rFonts w:hint="default"/>
                    </w:rPr>
                  </w:pPr>
                </w:p>
              </w:tc>
              <w:tc>
                <w:tcPr>
                  <w:tcW w:w="393" w:type="pct"/>
                  <w:noWrap w:val="0"/>
                  <w:vAlign w:val="center"/>
                </w:tcPr>
                <w:p w14:paraId="530E7EE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cs="Times New Roman"/>
                      <w:szCs w:val="21"/>
                      <w:lang w:val="en-US" w:eastAsia="zh-CN"/>
                    </w:rPr>
                    <w:t>危险废物</w:t>
                  </w:r>
                </w:p>
              </w:tc>
              <w:tc>
                <w:tcPr>
                  <w:tcW w:w="2187" w:type="pct"/>
                  <w:noWrap w:val="0"/>
                  <w:vAlign w:val="center"/>
                </w:tcPr>
                <w:p w14:paraId="122EE4E2">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新建1个面积为</w:t>
                  </w:r>
                  <w:r>
                    <w:rPr>
                      <w:rFonts w:hint="eastAsia" w:ascii="Times New Roman" w:hAnsi="Times New Roman" w:eastAsia="宋体" w:cs="Times New Roman"/>
                      <w:sz w:val="21"/>
                      <w:szCs w:val="21"/>
                      <w:lang w:val="en-US" w:eastAsia="zh-CN"/>
                    </w:rPr>
                    <w:t>2</w:t>
                  </w:r>
                  <w:r>
                    <w:rPr>
                      <w:rFonts w:hint="eastAsia" w:ascii="Times New Roman" w:hAnsi="Times New Roman" w:eastAsia="宋体" w:cs="Times New Roman"/>
                      <w:sz w:val="21"/>
                      <w:szCs w:val="21"/>
                    </w:rPr>
                    <w:t>m</w:t>
                  </w:r>
                  <w:r>
                    <w:rPr>
                      <w:rFonts w:hint="eastAsia" w:ascii="Times New Roman" w:hAnsi="Times New Roman" w:eastAsia="宋体" w:cs="Times New Roman"/>
                      <w:sz w:val="21"/>
                      <w:szCs w:val="21"/>
                      <w:vertAlign w:val="superscript"/>
                    </w:rPr>
                    <w:t>2</w:t>
                  </w:r>
                  <w:r>
                    <w:rPr>
                      <w:rFonts w:hint="eastAsia" w:ascii="Times New Roman" w:hAnsi="Times New Roman" w:eastAsia="宋体" w:cs="Times New Roman"/>
                      <w:sz w:val="21"/>
                      <w:szCs w:val="21"/>
                    </w:rPr>
                    <w:t>的危废暂存间，位于</w:t>
                  </w:r>
                  <w:r>
                    <w:rPr>
                      <w:rFonts w:hint="eastAsia" w:cs="Times New Roman"/>
                      <w:bCs/>
                      <w:kern w:val="0"/>
                      <w:sz w:val="21"/>
                      <w:szCs w:val="21"/>
                      <w:lang w:val="en-US" w:eastAsia="zh-CN"/>
                    </w:rPr>
                    <w:t>厂区东侧</w:t>
                  </w:r>
                </w:p>
              </w:tc>
              <w:tc>
                <w:tcPr>
                  <w:tcW w:w="656" w:type="pct"/>
                  <w:vMerge w:val="continue"/>
                  <w:noWrap w:val="0"/>
                  <w:vAlign w:val="center"/>
                </w:tcPr>
                <w:p w14:paraId="0487224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577" w:type="pct"/>
                  <w:shd w:val="clear" w:color="auto" w:fill="auto"/>
                  <w:noWrap w:val="0"/>
                  <w:vAlign w:val="center"/>
                </w:tcPr>
                <w:p w14:paraId="36242C8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w:t>
                  </w:r>
                </w:p>
              </w:tc>
              <w:tc>
                <w:tcPr>
                  <w:tcW w:w="436" w:type="pct"/>
                  <w:shd w:val="clear" w:color="auto" w:fill="auto"/>
                  <w:noWrap w:val="0"/>
                  <w:vAlign w:val="center"/>
                </w:tcPr>
                <w:p w14:paraId="42F0BB7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新建</w:t>
                  </w:r>
                </w:p>
              </w:tc>
            </w:tr>
            <w:tr w14:paraId="284F9D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1" w:type="pct"/>
                  <w:vMerge w:val="continue"/>
                  <w:noWrap w:val="0"/>
                  <w:vAlign w:val="center"/>
                </w:tcPr>
                <w:p w14:paraId="01BD45D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zCs w:val="21"/>
                    </w:rPr>
                  </w:pPr>
                  <w:bookmarkStart w:id="4" w:name="_Toc14630"/>
                  <w:bookmarkStart w:id="5" w:name="_Toc328662251"/>
                </w:p>
              </w:tc>
              <w:tc>
                <w:tcPr>
                  <w:tcW w:w="771" w:type="pct"/>
                  <w:gridSpan w:val="3"/>
                  <w:vMerge w:val="restart"/>
                  <w:noWrap w:val="0"/>
                  <w:vAlign w:val="center"/>
                </w:tcPr>
                <w:p w14:paraId="5626D20F">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土壤和地下水</w:t>
                  </w:r>
                </w:p>
              </w:tc>
              <w:tc>
                <w:tcPr>
                  <w:tcW w:w="2187" w:type="pct"/>
                  <w:noWrap w:val="0"/>
                  <w:vAlign w:val="center"/>
                </w:tcPr>
                <w:p w14:paraId="5C6B2F9C">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重点防渗区：</w:t>
                  </w:r>
                </w:p>
                <w:p w14:paraId="401F72A8">
                  <w:pPr>
                    <w:pStyle w:val="68"/>
                    <w:keepNext w:val="0"/>
                    <w:keepLines w:val="0"/>
                    <w:suppressLineNumbers w:val="0"/>
                    <w:adjustRightInd/>
                    <w:snapToGrid w:val="0"/>
                    <w:spacing w:before="0" w:beforeAutospacing="0" w:after="0" w:afterAutospacing="0" w:line="240" w:lineRule="auto"/>
                    <w:ind w:left="0" w:right="0" w:firstLine="0" w:firstLineChars="0"/>
                    <w:jc w:val="left"/>
                    <w:rPr>
                      <w:rFonts w:hint="default" w:ascii="Times New Roman" w:hAnsi="Times New Roman" w:eastAsia="宋体" w:cs="Times New Roman"/>
                      <w:szCs w:val="21"/>
                      <w:lang w:val="en-US" w:eastAsia="zh-CN"/>
                    </w:rPr>
                  </w:pPr>
                  <w:r>
                    <w:rPr>
                      <w:rFonts w:hint="eastAsia" w:ascii="Times New Roman" w:hAnsi="Times New Roman" w:eastAsia="宋体" w:cs="宋体"/>
                      <w:color w:val="auto"/>
                      <w:kern w:val="2"/>
                      <w:sz w:val="21"/>
                      <w:szCs w:val="21"/>
                    </w:rPr>
                    <w:t>危废间地面采取抗渗混凝土垫层+2mm厚环氧树脂+防渗托盘，同时配置空的收集桶</w:t>
                  </w:r>
                </w:p>
              </w:tc>
              <w:tc>
                <w:tcPr>
                  <w:tcW w:w="656" w:type="pct"/>
                  <w:vMerge w:val="continue"/>
                  <w:noWrap w:val="0"/>
                  <w:vAlign w:val="center"/>
                </w:tcPr>
                <w:p w14:paraId="67BE2E1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577" w:type="pct"/>
                  <w:noWrap w:val="0"/>
                  <w:vAlign w:val="center"/>
                </w:tcPr>
                <w:p w14:paraId="19244F98">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c>
                <w:tcPr>
                  <w:tcW w:w="436" w:type="pct"/>
                  <w:noWrap w:val="0"/>
                  <w:vAlign w:val="center"/>
                </w:tcPr>
                <w:p w14:paraId="0B3453B4">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rPr>
                  </w:pPr>
                  <w:r>
                    <w:rPr>
                      <w:rFonts w:hint="eastAsia" w:ascii="Times New Roman" w:hAnsi="Times New Roman" w:eastAsia="宋体" w:cs="Times New Roman"/>
                      <w:szCs w:val="21"/>
                    </w:rPr>
                    <w:t>新建</w:t>
                  </w:r>
                </w:p>
              </w:tc>
            </w:tr>
            <w:tr w14:paraId="35E0AA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1" w:type="pct"/>
                  <w:vMerge w:val="continue"/>
                  <w:noWrap w:val="0"/>
                  <w:vAlign w:val="center"/>
                </w:tcPr>
                <w:p w14:paraId="4BD722A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771" w:type="pct"/>
                  <w:gridSpan w:val="3"/>
                  <w:vMerge w:val="continue"/>
                  <w:noWrap w:val="0"/>
                  <w:vAlign w:val="center"/>
                </w:tcPr>
                <w:p w14:paraId="6E615EA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2187" w:type="pct"/>
                  <w:noWrap w:val="0"/>
                  <w:vAlign w:val="center"/>
                </w:tcPr>
                <w:p w14:paraId="34DCF760">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一般防渗区：</w:t>
                  </w:r>
                </w:p>
                <w:p w14:paraId="6650889B">
                  <w:pPr>
                    <w:pStyle w:val="68"/>
                    <w:keepNext w:val="0"/>
                    <w:keepLines w:val="0"/>
                    <w:suppressLineNumbers w:val="0"/>
                    <w:adjustRightInd/>
                    <w:snapToGrid w:val="0"/>
                    <w:spacing w:before="0" w:beforeAutospacing="0" w:after="0" w:afterAutospacing="0" w:line="240" w:lineRule="auto"/>
                    <w:ind w:left="0" w:right="0" w:firstLine="0" w:firstLineChars="0"/>
                    <w:jc w:val="left"/>
                    <w:rPr>
                      <w:rFonts w:hint="default" w:ascii="Times New Roman" w:hAnsi="Times New Roman" w:eastAsia="宋体" w:cs="Times New Roman"/>
                      <w:szCs w:val="21"/>
                      <w:lang w:val="en-US" w:eastAsia="zh-CN"/>
                    </w:rPr>
                  </w:pPr>
                  <w:r>
                    <w:rPr>
                      <w:rFonts w:hint="eastAsia" w:cs="宋体"/>
                      <w:color w:val="auto"/>
                      <w:kern w:val="2"/>
                      <w:sz w:val="21"/>
                      <w:szCs w:val="21"/>
                      <w:lang w:val="en-US" w:eastAsia="zh-CN"/>
                    </w:rPr>
                    <w:t>废水收集池、沉沙池、循环水池、预处理池池体均采用防渗混凝土构筑</w:t>
                  </w:r>
                  <w:r>
                    <w:rPr>
                      <w:rFonts w:hint="eastAsia" w:ascii="Times New Roman" w:hAnsi="Times New Roman" w:eastAsia="宋体" w:cs="宋体"/>
                      <w:color w:val="auto"/>
                      <w:kern w:val="2"/>
                      <w:sz w:val="21"/>
                      <w:szCs w:val="21"/>
                      <w:lang w:eastAsia="zh-CN"/>
                    </w:rPr>
                    <w:t>；</w:t>
                  </w:r>
                  <w:r>
                    <w:rPr>
                      <w:rFonts w:hint="eastAsia" w:cs="宋体"/>
                      <w:color w:val="auto"/>
                      <w:kern w:val="2"/>
                      <w:sz w:val="21"/>
                      <w:szCs w:val="21"/>
                      <w:lang w:val="en-US" w:eastAsia="zh-CN"/>
                    </w:rPr>
                    <w:t>压滤间场地面</w:t>
                  </w:r>
                  <w:r>
                    <w:rPr>
                      <w:rFonts w:hint="eastAsia" w:ascii="Times New Roman" w:hAnsi="Times New Roman" w:eastAsia="宋体" w:cs="宋体"/>
                      <w:color w:val="auto"/>
                      <w:kern w:val="2"/>
                      <w:sz w:val="21"/>
                      <w:szCs w:val="21"/>
                      <w:lang w:val="en-US" w:eastAsia="zh-CN"/>
                    </w:rPr>
                    <w:t>采用防渗混凝土垫层</w:t>
                  </w:r>
                </w:p>
              </w:tc>
              <w:tc>
                <w:tcPr>
                  <w:tcW w:w="656" w:type="pct"/>
                  <w:vMerge w:val="continue"/>
                  <w:noWrap w:val="0"/>
                  <w:vAlign w:val="center"/>
                </w:tcPr>
                <w:p w14:paraId="231256A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577" w:type="pct"/>
                  <w:noWrap w:val="0"/>
                  <w:vAlign w:val="center"/>
                </w:tcPr>
                <w:p w14:paraId="3AF319B8">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c>
                <w:tcPr>
                  <w:tcW w:w="436" w:type="pct"/>
                  <w:noWrap w:val="0"/>
                  <w:vAlign w:val="center"/>
                </w:tcPr>
                <w:p w14:paraId="20266081">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rPr>
                  </w:pPr>
                  <w:r>
                    <w:rPr>
                      <w:rFonts w:hint="eastAsia" w:ascii="Times New Roman" w:hAnsi="Times New Roman" w:eastAsia="宋体" w:cs="Times New Roman"/>
                      <w:szCs w:val="21"/>
                    </w:rPr>
                    <w:t>新建</w:t>
                  </w:r>
                </w:p>
              </w:tc>
            </w:tr>
            <w:tr w14:paraId="2B2644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1" w:type="pct"/>
                  <w:vMerge w:val="continue"/>
                  <w:noWrap w:val="0"/>
                  <w:vAlign w:val="center"/>
                </w:tcPr>
                <w:p w14:paraId="3BF06B5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771" w:type="pct"/>
                  <w:gridSpan w:val="3"/>
                  <w:vMerge w:val="continue"/>
                  <w:noWrap w:val="0"/>
                  <w:vAlign w:val="center"/>
                </w:tcPr>
                <w:p w14:paraId="4392B2F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2187" w:type="pct"/>
                  <w:noWrap w:val="0"/>
                  <w:vAlign w:val="center"/>
                </w:tcPr>
                <w:p w14:paraId="251074F7">
                  <w:pPr>
                    <w:pStyle w:val="2"/>
                    <w:keepNext w:val="0"/>
                    <w:keepLines w:val="0"/>
                    <w:suppressLineNumbers w:val="0"/>
                    <w:spacing w:before="0" w:beforeAutospacing="0" w:after="0" w:afterAutospacing="0" w:line="240" w:lineRule="auto"/>
                    <w:ind w:left="0" w:leftChars="0" w:right="0" w:firstLine="0" w:firstLineChars="0"/>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简单防渗区：</w:t>
                  </w:r>
                </w:p>
                <w:p w14:paraId="00AF509F">
                  <w:pPr>
                    <w:keepNext w:val="0"/>
                    <w:keepLines w:val="0"/>
                    <w:suppressLineNumbers w:val="0"/>
                    <w:spacing w:before="0" w:beforeAutospacing="0" w:after="0" w:afterAutospacing="0"/>
                    <w:ind w:left="0" w:right="0"/>
                    <w:rPr>
                      <w:rFonts w:hint="default" w:ascii="Times New Roman" w:hAnsi="Times New Roman" w:eastAsia="宋体" w:cs="Times New Roman"/>
                      <w:szCs w:val="21"/>
                      <w:lang w:val="en-US" w:eastAsia="zh-CN"/>
                    </w:rPr>
                  </w:pPr>
                  <w:r>
                    <w:rPr>
                      <w:rFonts w:hint="eastAsia" w:ascii="Times New Roman" w:hAnsi="Times New Roman" w:eastAsia="宋体" w:cs="宋体"/>
                      <w:color w:val="auto"/>
                      <w:szCs w:val="21"/>
                      <w:lang w:val="en-US" w:eastAsia="zh-CN"/>
                    </w:rPr>
                    <w:t>除重点防渗区和一般防渗区以外区域采用混凝土硬化</w:t>
                  </w:r>
                </w:p>
              </w:tc>
              <w:tc>
                <w:tcPr>
                  <w:tcW w:w="656" w:type="pct"/>
                  <w:vMerge w:val="continue"/>
                  <w:noWrap w:val="0"/>
                  <w:vAlign w:val="center"/>
                </w:tcPr>
                <w:p w14:paraId="3E78AB3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577" w:type="pct"/>
                  <w:noWrap w:val="0"/>
                  <w:vAlign w:val="center"/>
                </w:tcPr>
                <w:p w14:paraId="6B295D27">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c>
                <w:tcPr>
                  <w:tcW w:w="436" w:type="pct"/>
                  <w:noWrap w:val="0"/>
                  <w:vAlign w:val="center"/>
                </w:tcPr>
                <w:p w14:paraId="3125B4AF">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rPr>
                  </w:pPr>
                  <w:r>
                    <w:rPr>
                      <w:rFonts w:hint="eastAsia" w:ascii="Times New Roman" w:hAnsi="Times New Roman" w:eastAsia="宋体" w:cs="Times New Roman"/>
                      <w:szCs w:val="21"/>
                    </w:rPr>
                    <w:t>新建</w:t>
                  </w:r>
                </w:p>
              </w:tc>
            </w:tr>
            <w:tr w14:paraId="7F8D9F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1" w:type="pct"/>
                  <w:vMerge w:val="continue"/>
                  <w:noWrap w:val="0"/>
                  <w:vAlign w:val="center"/>
                </w:tcPr>
                <w:p w14:paraId="3F361F6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771" w:type="pct"/>
                  <w:gridSpan w:val="3"/>
                  <w:noWrap w:val="0"/>
                  <w:vAlign w:val="center"/>
                </w:tcPr>
                <w:p w14:paraId="12CA43F6">
                  <w:pPr>
                    <w:pStyle w:val="98"/>
                    <w:keepNext w:val="0"/>
                    <w:keepLines w:val="0"/>
                    <w:suppressLineNumbers w:val="0"/>
                    <w:spacing w:before="0" w:beforeAutospacing="0" w:after="0" w:afterAutospacing="0" w:line="240" w:lineRule="auto"/>
                    <w:ind w:left="0" w:right="0"/>
                    <w:rPr>
                      <w:rFonts w:hint="default" w:ascii="Times New Roman" w:hAnsi="Times New Roman" w:eastAsia="宋体" w:cs="Times New Roman"/>
                      <w:sz w:val="21"/>
                      <w:szCs w:val="21"/>
                    </w:rPr>
                  </w:pPr>
                  <w:r>
                    <w:rPr>
                      <w:rFonts w:hint="eastAsia" w:ascii="Times New Roman" w:hAnsi="Times New Roman" w:eastAsia="宋体" w:cs="Times New Roman"/>
                      <w:color w:val="auto"/>
                      <w:sz w:val="21"/>
                      <w:szCs w:val="21"/>
                    </w:rPr>
                    <w:t>风险防范措施</w:t>
                  </w:r>
                </w:p>
              </w:tc>
              <w:tc>
                <w:tcPr>
                  <w:tcW w:w="2187" w:type="pct"/>
                  <w:noWrap w:val="0"/>
                  <w:vAlign w:val="center"/>
                </w:tcPr>
                <w:p w14:paraId="0326D6D6">
                  <w:pPr>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sz w:val="21"/>
                      <w:szCs w:val="21"/>
                    </w:rPr>
                  </w:pPr>
                  <w:r>
                    <w:rPr>
                      <w:rFonts w:hint="eastAsia" w:ascii="Times New Roman" w:hAnsi="Times New Roman" w:eastAsia="宋体" w:cs="Times New Roman"/>
                      <w:color w:val="auto"/>
                      <w:sz w:val="21"/>
                      <w:szCs w:val="21"/>
                    </w:rPr>
                    <w:t>加强危废暂存间管理，分类储存；编制突发环境事件应急预案等</w:t>
                  </w:r>
                </w:p>
              </w:tc>
              <w:tc>
                <w:tcPr>
                  <w:tcW w:w="656" w:type="pct"/>
                  <w:vMerge w:val="continue"/>
                  <w:noWrap w:val="0"/>
                  <w:vAlign w:val="center"/>
                </w:tcPr>
                <w:p w14:paraId="4DAFC44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577" w:type="pct"/>
                  <w:noWrap w:val="0"/>
                  <w:vAlign w:val="center"/>
                </w:tcPr>
                <w:p w14:paraId="5DE38793">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c>
                <w:tcPr>
                  <w:tcW w:w="436" w:type="pct"/>
                  <w:noWrap w:val="0"/>
                  <w:vAlign w:val="center"/>
                </w:tcPr>
                <w:p w14:paraId="46C1C6D4">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rPr>
                  </w:pPr>
                  <w:r>
                    <w:rPr>
                      <w:rFonts w:hint="eastAsia" w:ascii="Times New Roman" w:hAnsi="Times New Roman" w:eastAsia="宋体" w:cs="Times New Roman"/>
                      <w:szCs w:val="21"/>
                    </w:rPr>
                    <w:t>新建</w:t>
                  </w:r>
                </w:p>
              </w:tc>
            </w:tr>
          </w:tbl>
          <w:p w14:paraId="2DE4455D">
            <w:pPr>
              <w:pStyle w:val="72"/>
              <w:keepNext w:val="0"/>
              <w:keepLines w:val="0"/>
              <w:suppressLineNumbers w:val="0"/>
              <w:spacing w:before="0" w:beforeAutospacing="0" w:after="0" w:afterAutospacing="0"/>
              <w:ind w:left="0" w:right="0" w:firstLine="0"/>
              <w:rPr>
                <w:rFonts w:hint="eastAsia" w:ascii="Times New Roman" w:hAnsi="Times New Roman" w:eastAsia="宋体" w:cs="Times New Roman"/>
                <w:b/>
                <w:bCs/>
                <w:color w:val="auto"/>
              </w:rPr>
            </w:pPr>
            <w:r>
              <w:rPr>
                <w:rFonts w:hint="eastAsia" w:ascii="Times New Roman" w:hAnsi="Times New Roman" w:eastAsia="宋体" w:cs="Times New Roman"/>
                <w:b/>
                <w:bCs/>
                <w:color w:val="auto"/>
                <w:lang w:val="en-US" w:eastAsia="zh-CN"/>
              </w:rPr>
              <w:t>3</w:t>
            </w:r>
            <w:r>
              <w:rPr>
                <w:rFonts w:hint="eastAsia" w:ascii="Times New Roman" w:hAnsi="Times New Roman" w:eastAsia="宋体" w:cs="Times New Roman"/>
                <w:b/>
                <w:bCs/>
                <w:color w:val="auto"/>
              </w:rPr>
              <w:t>、</w:t>
            </w:r>
            <w:r>
              <w:rPr>
                <w:rFonts w:hint="default" w:ascii="Times New Roman" w:hAnsi="Times New Roman" w:eastAsia="宋体" w:cs="Times New Roman"/>
                <w:b/>
                <w:bCs/>
                <w:color w:val="auto"/>
              </w:rPr>
              <w:t>主要设备</w:t>
            </w:r>
            <w:bookmarkEnd w:id="4"/>
            <w:bookmarkEnd w:id="5"/>
          </w:p>
          <w:p w14:paraId="35897CFD">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rPr>
              <w:t>根据建设单位提供的资料，本项目的主要设备清单如下：</w:t>
            </w:r>
          </w:p>
          <w:p w14:paraId="2B39A27B">
            <w:pPr>
              <w:keepNext w:val="0"/>
              <w:keepLines w:val="0"/>
              <w:suppressLineNumbers w:val="0"/>
              <w:tabs>
                <w:tab w:val="left" w:pos="0"/>
              </w:tabs>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表2-</w:t>
            </w:r>
            <w:r>
              <w:rPr>
                <w:rFonts w:hint="eastAsia" w:ascii="Times New Roman" w:hAnsi="Times New Roman" w:eastAsia="宋体" w:cs="Times New Roman"/>
                <w:b/>
                <w:bCs/>
                <w:szCs w:val="21"/>
                <w:lang w:val="en-US" w:eastAsia="zh-CN"/>
              </w:rPr>
              <w:t>3</w:t>
            </w:r>
            <w:r>
              <w:rPr>
                <w:rFonts w:hint="eastAsia" w:ascii="Times New Roman" w:hAnsi="Times New Roman" w:eastAsia="宋体" w:cs="Times New Roman"/>
                <w:b/>
                <w:bCs/>
                <w:szCs w:val="21"/>
              </w:rPr>
              <w:t xml:space="preserve"> </w:t>
            </w:r>
            <w:r>
              <w:rPr>
                <w:rFonts w:hint="eastAsia" w:ascii="Times New Roman" w:hAnsi="Times New Roman" w:eastAsia="宋体" w:cs="Times New Roman"/>
                <w:b/>
                <w:bCs/>
                <w:szCs w:val="21"/>
                <w:lang w:val="en-US" w:eastAsia="zh-CN"/>
              </w:rPr>
              <w:t xml:space="preserve"> </w:t>
            </w:r>
            <w:r>
              <w:rPr>
                <w:rFonts w:hint="default" w:ascii="Times New Roman" w:hAnsi="Times New Roman" w:eastAsia="宋体" w:cs="Times New Roman"/>
                <w:b/>
                <w:bCs/>
                <w:szCs w:val="21"/>
              </w:rPr>
              <w:t>项目主要设备一览表</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17"/>
              <w:gridCol w:w="1306"/>
              <w:gridCol w:w="1793"/>
              <w:gridCol w:w="1793"/>
              <w:gridCol w:w="1778"/>
            </w:tblGrid>
            <w:tr w14:paraId="19931E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23" w:type="pct"/>
                  <w:noWrap w:val="0"/>
                  <w:vAlign w:val="center"/>
                </w:tcPr>
                <w:p w14:paraId="210F9564">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设备名称</w:t>
                  </w:r>
                </w:p>
              </w:tc>
              <w:tc>
                <w:tcPr>
                  <w:tcW w:w="778" w:type="pct"/>
                  <w:noWrap w:val="0"/>
                  <w:vAlign w:val="center"/>
                </w:tcPr>
                <w:p w14:paraId="3D4E3167">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规格型号</w:t>
                  </w:r>
                </w:p>
              </w:tc>
              <w:tc>
                <w:tcPr>
                  <w:tcW w:w="1068" w:type="pct"/>
                  <w:noWrap w:val="0"/>
                  <w:vAlign w:val="center"/>
                </w:tcPr>
                <w:p w14:paraId="45A2D0C0">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数量</w:t>
                  </w:r>
                </w:p>
              </w:tc>
              <w:tc>
                <w:tcPr>
                  <w:tcW w:w="1068" w:type="pct"/>
                  <w:noWrap w:val="0"/>
                  <w:vAlign w:val="center"/>
                </w:tcPr>
                <w:p w14:paraId="645A98DD">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用途</w:t>
                  </w:r>
                </w:p>
              </w:tc>
              <w:tc>
                <w:tcPr>
                  <w:tcW w:w="1059" w:type="pct"/>
                  <w:noWrap w:val="0"/>
                  <w:vAlign w:val="center"/>
                </w:tcPr>
                <w:p w14:paraId="250674A4">
                  <w:pPr>
                    <w:keepNext w:val="0"/>
                    <w:keepLines w:val="0"/>
                    <w:suppressLineNumbers w:val="0"/>
                    <w:snapToGrid w:val="0"/>
                    <w:spacing w:before="0" w:beforeAutospacing="0" w:after="0" w:afterAutospacing="0" w:line="320" w:lineRule="exact"/>
                    <w:ind w:left="0" w:right="0"/>
                    <w:jc w:val="center"/>
                    <w:rPr>
                      <w:rFonts w:hint="eastAsia" w:ascii="Times New Roman" w:hAnsi="Times New Roman" w:eastAsia="宋体" w:cs="Times New Roman"/>
                      <w:b/>
                      <w:bCs/>
                      <w:szCs w:val="21"/>
                    </w:rPr>
                  </w:pPr>
                  <w:r>
                    <w:rPr>
                      <w:rFonts w:hint="eastAsia" w:ascii="Times New Roman" w:hAnsi="Times New Roman" w:eastAsia="宋体" w:cs="Times New Roman"/>
                      <w:b/>
                      <w:bCs/>
                      <w:szCs w:val="21"/>
                    </w:rPr>
                    <w:t>备注</w:t>
                  </w:r>
                </w:p>
              </w:tc>
            </w:tr>
            <w:tr w14:paraId="43D95B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3" w:type="pct"/>
                  <w:noWrap w:val="0"/>
                  <w:vAlign w:val="center"/>
                </w:tcPr>
                <w:p w14:paraId="2695293B">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zCs w:val="21"/>
                      <w:lang w:eastAsia="zh-CN"/>
                    </w:rPr>
                  </w:pPr>
                  <w:r>
                    <w:rPr>
                      <w:rFonts w:hint="eastAsia" w:cs="Times New Roman"/>
                      <w:szCs w:val="21"/>
                      <w:lang w:val="en-US" w:eastAsia="zh-CN"/>
                    </w:rPr>
                    <w:t>喂料机</w:t>
                  </w:r>
                </w:p>
              </w:tc>
              <w:tc>
                <w:tcPr>
                  <w:tcW w:w="778" w:type="pct"/>
                  <w:noWrap w:val="0"/>
                  <w:vAlign w:val="center"/>
                </w:tcPr>
                <w:p w14:paraId="121DF81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lang w:val="en-US" w:eastAsia="zh-CN"/>
                    </w:rPr>
                    <w:t>/</w:t>
                  </w:r>
                </w:p>
              </w:tc>
              <w:tc>
                <w:tcPr>
                  <w:tcW w:w="1068" w:type="pct"/>
                  <w:noWrap w:val="0"/>
                  <w:vAlign w:val="center"/>
                </w:tcPr>
                <w:p w14:paraId="18A8392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cs="Times New Roman"/>
                      <w:szCs w:val="21"/>
                      <w:lang w:val="en-US" w:eastAsia="zh-CN"/>
                    </w:rPr>
                    <w:t>1台</w:t>
                  </w:r>
                </w:p>
              </w:tc>
              <w:tc>
                <w:tcPr>
                  <w:tcW w:w="1068" w:type="pct"/>
                  <w:noWrap w:val="0"/>
                  <w:vAlign w:val="center"/>
                </w:tcPr>
                <w:p w14:paraId="249AA6AD">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zCs w:val="21"/>
                      <w:lang w:val="en-US" w:eastAsia="zh-CN"/>
                    </w:rPr>
                  </w:pPr>
                  <w:r>
                    <w:rPr>
                      <w:rFonts w:hint="eastAsia" w:cs="Times New Roman"/>
                      <w:szCs w:val="21"/>
                      <w:lang w:val="en-US" w:eastAsia="zh-CN"/>
                    </w:rPr>
                    <w:t>进料</w:t>
                  </w:r>
                </w:p>
              </w:tc>
              <w:tc>
                <w:tcPr>
                  <w:tcW w:w="1059" w:type="pct"/>
                  <w:noWrap w:val="0"/>
                  <w:vAlign w:val="center"/>
                </w:tcPr>
                <w:p w14:paraId="1C81B49E">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lang w:eastAsia="zh-CN"/>
                    </w:rPr>
                  </w:pPr>
                  <w:r>
                    <w:rPr>
                      <w:rFonts w:hint="eastAsia" w:cs="Times New Roman"/>
                      <w:szCs w:val="21"/>
                      <w:lang w:val="en-US" w:eastAsia="zh-CN"/>
                    </w:rPr>
                    <w:t>利旧</w:t>
                  </w:r>
                </w:p>
              </w:tc>
            </w:tr>
            <w:tr w14:paraId="566AB2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3" w:type="pct"/>
                  <w:noWrap w:val="0"/>
                  <w:vAlign w:val="center"/>
                </w:tcPr>
                <w:p w14:paraId="66CB2E9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cs="Times New Roman"/>
                      <w:szCs w:val="21"/>
                      <w:lang w:val="en-US" w:eastAsia="zh-CN"/>
                    </w:rPr>
                    <w:t>颚式破碎机</w:t>
                  </w:r>
                </w:p>
              </w:tc>
              <w:tc>
                <w:tcPr>
                  <w:tcW w:w="778" w:type="pct"/>
                  <w:noWrap w:val="0"/>
                  <w:vAlign w:val="center"/>
                </w:tcPr>
                <w:p w14:paraId="6DC033C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lang w:val="en-US" w:eastAsia="zh-CN"/>
                    </w:rPr>
                    <w:t>/</w:t>
                  </w:r>
                </w:p>
              </w:tc>
              <w:tc>
                <w:tcPr>
                  <w:tcW w:w="1068" w:type="pct"/>
                  <w:noWrap w:val="0"/>
                  <w:vAlign w:val="center"/>
                </w:tcPr>
                <w:p w14:paraId="6696909C">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zCs w:val="21"/>
                      <w:lang w:val="en-US" w:eastAsia="zh-CN"/>
                    </w:rPr>
                  </w:pPr>
                  <w:r>
                    <w:rPr>
                      <w:rFonts w:hint="eastAsia" w:cs="Times New Roman"/>
                      <w:szCs w:val="21"/>
                      <w:lang w:val="en-US" w:eastAsia="zh-CN"/>
                    </w:rPr>
                    <w:t>1台</w:t>
                  </w:r>
                </w:p>
              </w:tc>
              <w:tc>
                <w:tcPr>
                  <w:tcW w:w="1068" w:type="pct"/>
                  <w:noWrap w:val="0"/>
                  <w:vAlign w:val="center"/>
                </w:tcPr>
                <w:p w14:paraId="38FC3E1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cs="Times New Roman"/>
                      <w:szCs w:val="21"/>
                      <w:lang w:val="en-US" w:eastAsia="zh-CN"/>
                    </w:rPr>
                    <w:t>破碎</w:t>
                  </w:r>
                </w:p>
              </w:tc>
              <w:tc>
                <w:tcPr>
                  <w:tcW w:w="1059" w:type="pct"/>
                  <w:noWrap w:val="0"/>
                  <w:vAlign w:val="center"/>
                </w:tcPr>
                <w:p w14:paraId="510B93F6">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lang w:eastAsia="zh-CN"/>
                    </w:rPr>
                  </w:pPr>
                  <w:r>
                    <w:rPr>
                      <w:rFonts w:hint="eastAsia" w:cs="Times New Roman"/>
                      <w:szCs w:val="21"/>
                      <w:lang w:val="en-US" w:eastAsia="zh-CN"/>
                    </w:rPr>
                    <w:t>利旧</w:t>
                  </w:r>
                </w:p>
              </w:tc>
            </w:tr>
            <w:tr w14:paraId="1C5DB8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3" w:type="pct"/>
                  <w:noWrap w:val="0"/>
                  <w:vAlign w:val="center"/>
                </w:tcPr>
                <w:p w14:paraId="65E7DA8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cs="Times New Roman"/>
                      <w:szCs w:val="21"/>
                      <w:lang w:val="en-US" w:eastAsia="zh-CN"/>
                    </w:rPr>
                    <w:t>锤头粉碎机</w:t>
                  </w:r>
                </w:p>
              </w:tc>
              <w:tc>
                <w:tcPr>
                  <w:tcW w:w="778" w:type="pct"/>
                  <w:noWrap w:val="0"/>
                  <w:vAlign w:val="center"/>
                </w:tcPr>
                <w:p w14:paraId="0E35F017">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c>
                <w:tcPr>
                  <w:tcW w:w="1068" w:type="pct"/>
                  <w:noWrap w:val="0"/>
                  <w:vAlign w:val="center"/>
                </w:tcPr>
                <w:p w14:paraId="0AA5CF9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cs="Times New Roman"/>
                      <w:szCs w:val="21"/>
                      <w:lang w:val="en-US" w:eastAsia="zh-CN"/>
                    </w:rPr>
                    <w:t>1台</w:t>
                  </w:r>
                </w:p>
              </w:tc>
              <w:tc>
                <w:tcPr>
                  <w:tcW w:w="1068" w:type="pct"/>
                  <w:noWrap w:val="0"/>
                  <w:vAlign w:val="center"/>
                </w:tcPr>
                <w:p w14:paraId="42D9207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cs="Times New Roman"/>
                      <w:szCs w:val="21"/>
                      <w:lang w:val="en-US" w:eastAsia="zh-CN"/>
                    </w:rPr>
                    <w:t>粉碎</w:t>
                  </w:r>
                </w:p>
              </w:tc>
              <w:tc>
                <w:tcPr>
                  <w:tcW w:w="1059" w:type="pct"/>
                  <w:noWrap w:val="0"/>
                  <w:vAlign w:val="center"/>
                </w:tcPr>
                <w:p w14:paraId="0CC0AE4E">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lang w:eastAsia="zh-CN"/>
                    </w:rPr>
                  </w:pPr>
                  <w:r>
                    <w:rPr>
                      <w:rFonts w:hint="eastAsia" w:cs="Times New Roman"/>
                      <w:szCs w:val="21"/>
                      <w:lang w:val="en-US" w:eastAsia="zh-CN"/>
                    </w:rPr>
                    <w:t>利旧</w:t>
                  </w:r>
                </w:p>
              </w:tc>
            </w:tr>
            <w:tr w14:paraId="536D1B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3" w:type="pct"/>
                  <w:noWrap w:val="0"/>
                  <w:vAlign w:val="center"/>
                </w:tcPr>
                <w:p w14:paraId="2C1C396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cs="Times New Roman"/>
                      <w:szCs w:val="21"/>
                      <w:lang w:val="en-US" w:eastAsia="zh-CN"/>
                    </w:rPr>
                    <w:t>振动筛</w:t>
                  </w:r>
                </w:p>
              </w:tc>
              <w:tc>
                <w:tcPr>
                  <w:tcW w:w="778" w:type="pct"/>
                  <w:noWrap w:val="0"/>
                  <w:vAlign w:val="center"/>
                </w:tcPr>
                <w:p w14:paraId="60272B63">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c>
                <w:tcPr>
                  <w:tcW w:w="1068" w:type="pct"/>
                  <w:noWrap w:val="0"/>
                  <w:vAlign w:val="center"/>
                </w:tcPr>
                <w:p w14:paraId="68D54D4B">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zCs w:val="21"/>
                      <w:lang w:val="en-US" w:eastAsia="zh-CN"/>
                    </w:rPr>
                  </w:pPr>
                  <w:r>
                    <w:rPr>
                      <w:rFonts w:hint="eastAsia" w:cs="Times New Roman"/>
                      <w:szCs w:val="21"/>
                      <w:lang w:val="en-US" w:eastAsia="zh-CN"/>
                    </w:rPr>
                    <w:t>1台</w:t>
                  </w:r>
                </w:p>
              </w:tc>
              <w:tc>
                <w:tcPr>
                  <w:tcW w:w="1068" w:type="pct"/>
                  <w:noWrap w:val="0"/>
                  <w:vAlign w:val="center"/>
                </w:tcPr>
                <w:p w14:paraId="76962880">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zCs w:val="21"/>
                    </w:rPr>
                  </w:pPr>
                  <w:r>
                    <w:rPr>
                      <w:rFonts w:hint="eastAsia" w:cs="Times New Roman"/>
                      <w:szCs w:val="21"/>
                      <w:lang w:val="en-US" w:eastAsia="zh-CN"/>
                    </w:rPr>
                    <w:t>筛分</w:t>
                  </w:r>
                </w:p>
              </w:tc>
              <w:tc>
                <w:tcPr>
                  <w:tcW w:w="1059" w:type="pct"/>
                  <w:noWrap w:val="0"/>
                  <w:vAlign w:val="center"/>
                </w:tcPr>
                <w:p w14:paraId="2B5809BF">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lang w:val="en-US" w:eastAsia="zh-CN"/>
                    </w:rPr>
                  </w:pPr>
                  <w:r>
                    <w:rPr>
                      <w:rFonts w:hint="eastAsia" w:cs="Times New Roman"/>
                      <w:szCs w:val="21"/>
                      <w:lang w:val="en-US" w:eastAsia="zh-CN"/>
                    </w:rPr>
                    <w:t>利旧</w:t>
                  </w:r>
                </w:p>
              </w:tc>
            </w:tr>
            <w:tr w14:paraId="533A07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23" w:type="pct"/>
                  <w:noWrap w:val="0"/>
                  <w:vAlign w:val="center"/>
                </w:tcPr>
                <w:p w14:paraId="70AF253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Cs w:val="21"/>
                      <w:lang w:val="en-US" w:eastAsia="zh-CN"/>
                    </w:rPr>
                  </w:pPr>
                  <w:r>
                    <w:rPr>
                      <w:rFonts w:hint="eastAsia" w:cs="Times New Roman"/>
                      <w:color w:val="000000"/>
                      <w:szCs w:val="21"/>
                      <w:lang w:val="en-US" w:eastAsia="zh-CN"/>
                    </w:rPr>
                    <w:t>滚动筛</w:t>
                  </w:r>
                </w:p>
              </w:tc>
              <w:tc>
                <w:tcPr>
                  <w:tcW w:w="778" w:type="pct"/>
                  <w:noWrap w:val="0"/>
                  <w:vAlign w:val="center"/>
                </w:tcPr>
                <w:p w14:paraId="60E907D5">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w:t>
                  </w:r>
                </w:p>
              </w:tc>
              <w:tc>
                <w:tcPr>
                  <w:tcW w:w="1068" w:type="pct"/>
                  <w:noWrap w:val="0"/>
                  <w:vAlign w:val="center"/>
                </w:tcPr>
                <w:p w14:paraId="09305651">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szCs w:val="21"/>
                      <w:lang w:val="en-US" w:eastAsia="zh-CN"/>
                    </w:rPr>
                  </w:pPr>
                  <w:r>
                    <w:rPr>
                      <w:rFonts w:hint="eastAsia" w:cs="Times New Roman"/>
                      <w:szCs w:val="21"/>
                      <w:lang w:val="en-US" w:eastAsia="zh-CN"/>
                    </w:rPr>
                    <w:t>1台</w:t>
                  </w:r>
                </w:p>
              </w:tc>
              <w:tc>
                <w:tcPr>
                  <w:tcW w:w="1068" w:type="pct"/>
                  <w:noWrap w:val="0"/>
                  <w:vAlign w:val="center"/>
                </w:tcPr>
                <w:p w14:paraId="735AC5F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Cs w:val="21"/>
                    </w:rPr>
                  </w:pPr>
                  <w:r>
                    <w:rPr>
                      <w:rFonts w:hint="eastAsia" w:cs="Times New Roman"/>
                      <w:szCs w:val="21"/>
                      <w:lang w:val="en-US" w:eastAsia="zh-CN"/>
                    </w:rPr>
                    <w:t>筛分</w:t>
                  </w:r>
                </w:p>
              </w:tc>
              <w:tc>
                <w:tcPr>
                  <w:tcW w:w="1059" w:type="pct"/>
                  <w:noWrap w:val="0"/>
                  <w:vAlign w:val="center"/>
                </w:tcPr>
                <w:p w14:paraId="3EC12BC0">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B0F0"/>
                      <w:szCs w:val="21"/>
                      <w:lang w:val="en-US" w:eastAsia="zh-CN"/>
                    </w:rPr>
                  </w:pPr>
                  <w:r>
                    <w:rPr>
                      <w:rFonts w:hint="eastAsia" w:cs="Times New Roman"/>
                      <w:szCs w:val="21"/>
                      <w:lang w:val="en-US" w:eastAsia="zh-CN"/>
                    </w:rPr>
                    <w:t>利旧</w:t>
                  </w:r>
                </w:p>
              </w:tc>
            </w:tr>
            <w:tr w14:paraId="2A1535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3" w:type="pct"/>
                  <w:noWrap w:val="0"/>
                  <w:vAlign w:val="center"/>
                </w:tcPr>
                <w:p w14:paraId="486403F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Cs w:val="21"/>
                      <w:lang w:val="en-US" w:eastAsia="zh-CN"/>
                    </w:rPr>
                  </w:pPr>
                  <w:r>
                    <w:rPr>
                      <w:rFonts w:hint="eastAsia" w:cs="Times New Roman"/>
                      <w:color w:val="000000"/>
                      <w:szCs w:val="21"/>
                      <w:lang w:val="en-US" w:eastAsia="zh-CN"/>
                    </w:rPr>
                    <w:t>轮式洗砂机</w:t>
                  </w:r>
                </w:p>
              </w:tc>
              <w:tc>
                <w:tcPr>
                  <w:tcW w:w="778" w:type="pct"/>
                  <w:noWrap w:val="0"/>
                  <w:vAlign w:val="center"/>
                </w:tcPr>
                <w:p w14:paraId="1179C46C">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w:t>
                  </w:r>
                </w:p>
              </w:tc>
              <w:tc>
                <w:tcPr>
                  <w:tcW w:w="1068" w:type="pct"/>
                  <w:noWrap w:val="0"/>
                  <w:vAlign w:val="center"/>
                </w:tcPr>
                <w:p w14:paraId="6C3B255D">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szCs w:val="21"/>
                      <w:lang w:val="en-US" w:eastAsia="zh-CN"/>
                    </w:rPr>
                  </w:pPr>
                  <w:r>
                    <w:rPr>
                      <w:rFonts w:hint="eastAsia" w:cs="Times New Roman"/>
                      <w:szCs w:val="21"/>
                      <w:lang w:val="en-US" w:eastAsia="zh-CN"/>
                    </w:rPr>
                    <w:t>1台</w:t>
                  </w:r>
                </w:p>
              </w:tc>
              <w:tc>
                <w:tcPr>
                  <w:tcW w:w="1068" w:type="pct"/>
                  <w:noWrap w:val="0"/>
                  <w:vAlign w:val="center"/>
                </w:tcPr>
                <w:p w14:paraId="7E0AC5A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Cs w:val="21"/>
                      <w:lang w:val="en-US" w:eastAsia="zh-CN"/>
                    </w:rPr>
                  </w:pPr>
                  <w:r>
                    <w:rPr>
                      <w:rFonts w:hint="eastAsia" w:cs="Times New Roman"/>
                      <w:color w:val="000000"/>
                      <w:szCs w:val="21"/>
                      <w:lang w:val="en-US" w:eastAsia="zh-CN"/>
                    </w:rPr>
                    <w:t>洗砂</w:t>
                  </w:r>
                </w:p>
              </w:tc>
              <w:tc>
                <w:tcPr>
                  <w:tcW w:w="1059" w:type="pct"/>
                  <w:noWrap w:val="0"/>
                  <w:vAlign w:val="center"/>
                </w:tcPr>
                <w:p w14:paraId="1008BFF5">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color w:val="00B0F0"/>
                      <w:szCs w:val="21"/>
                    </w:rPr>
                  </w:pPr>
                  <w:r>
                    <w:rPr>
                      <w:rFonts w:hint="eastAsia" w:cs="Times New Roman"/>
                      <w:szCs w:val="21"/>
                      <w:lang w:val="en-US" w:eastAsia="zh-CN"/>
                    </w:rPr>
                    <w:t>利旧</w:t>
                  </w:r>
                </w:p>
              </w:tc>
            </w:tr>
            <w:tr w14:paraId="433F39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3" w:type="pct"/>
                  <w:noWrap w:val="0"/>
                  <w:vAlign w:val="center"/>
                </w:tcPr>
                <w:p w14:paraId="40947DC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Cs w:val="21"/>
                      <w:lang w:val="en-US" w:eastAsia="zh-CN"/>
                    </w:rPr>
                  </w:pPr>
                  <w:r>
                    <w:rPr>
                      <w:rFonts w:hint="eastAsia" w:cs="Times New Roman"/>
                      <w:color w:val="000000"/>
                      <w:szCs w:val="21"/>
                      <w:lang w:val="en-US" w:eastAsia="zh-CN"/>
                    </w:rPr>
                    <w:t>细砂回收一体机</w:t>
                  </w:r>
                </w:p>
              </w:tc>
              <w:tc>
                <w:tcPr>
                  <w:tcW w:w="778" w:type="pct"/>
                  <w:noWrap w:val="0"/>
                  <w:vAlign w:val="center"/>
                </w:tcPr>
                <w:p w14:paraId="2E802133">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w:t>
                  </w:r>
                </w:p>
              </w:tc>
              <w:tc>
                <w:tcPr>
                  <w:tcW w:w="1068" w:type="pct"/>
                  <w:noWrap w:val="0"/>
                  <w:vAlign w:val="center"/>
                </w:tcPr>
                <w:p w14:paraId="7CE414F0">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szCs w:val="21"/>
                    </w:rPr>
                  </w:pPr>
                  <w:r>
                    <w:rPr>
                      <w:rFonts w:hint="eastAsia" w:cs="Times New Roman"/>
                      <w:szCs w:val="21"/>
                      <w:lang w:val="en-US" w:eastAsia="zh-CN"/>
                    </w:rPr>
                    <w:t>1台</w:t>
                  </w:r>
                </w:p>
              </w:tc>
              <w:tc>
                <w:tcPr>
                  <w:tcW w:w="1068" w:type="pct"/>
                  <w:noWrap w:val="0"/>
                  <w:vAlign w:val="center"/>
                </w:tcPr>
                <w:p w14:paraId="6FFB2D22">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kern w:val="2"/>
                      <w:sz w:val="21"/>
                      <w:szCs w:val="21"/>
                      <w:lang w:val="en-US" w:eastAsia="zh-CN" w:bidi="ar-SA"/>
                    </w:rPr>
                  </w:pPr>
                  <w:r>
                    <w:rPr>
                      <w:rFonts w:hint="eastAsia" w:cs="Times New Roman"/>
                      <w:color w:val="000000"/>
                      <w:szCs w:val="21"/>
                      <w:lang w:val="en-US" w:eastAsia="zh-CN"/>
                    </w:rPr>
                    <w:t>固液分离</w:t>
                  </w:r>
                </w:p>
              </w:tc>
              <w:tc>
                <w:tcPr>
                  <w:tcW w:w="1059" w:type="pct"/>
                  <w:noWrap w:val="0"/>
                  <w:vAlign w:val="center"/>
                </w:tcPr>
                <w:p w14:paraId="24AE29AB">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color w:val="00B0F0"/>
                      <w:kern w:val="2"/>
                      <w:sz w:val="21"/>
                      <w:szCs w:val="21"/>
                      <w:lang w:val="en-US" w:eastAsia="zh-CN" w:bidi="ar-SA"/>
                    </w:rPr>
                  </w:pPr>
                  <w:r>
                    <w:rPr>
                      <w:rFonts w:hint="eastAsia" w:cs="Times New Roman"/>
                      <w:szCs w:val="21"/>
                      <w:lang w:val="en-US" w:eastAsia="zh-CN"/>
                    </w:rPr>
                    <w:t>利旧</w:t>
                  </w:r>
                </w:p>
              </w:tc>
            </w:tr>
            <w:tr w14:paraId="4730AF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3" w:type="pct"/>
                  <w:vMerge w:val="restart"/>
                  <w:noWrap w:val="0"/>
                  <w:vAlign w:val="center"/>
                </w:tcPr>
                <w:p w14:paraId="248463F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kern w:val="0"/>
                      <w:szCs w:val="21"/>
                      <w:lang w:val="en-US" w:eastAsia="zh-CN" w:bidi="ar"/>
                    </w:rPr>
                    <w:t>皮带输送机</w:t>
                  </w:r>
                </w:p>
              </w:tc>
              <w:tc>
                <w:tcPr>
                  <w:tcW w:w="778" w:type="pct"/>
                  <w:noWrap w:val="0"/>
                  <w:vAlign w:val="center"/>
                </w:tcPr>
                <w:p w14:paraId="65D02B1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szCs w:val="21"/>
                      <w:lang w:val="en-US" w:eastAsia="zh-CN"/>
                    </w:rPr>
                  </w:pPr>
                  <w:r>
                    <w:rPr>
                      <w:rFonts w:hint="eastAsia" w:cs="Times New Roman"/>
                      <w:color w:val="000000"/>
                      <w:szCs w:val="21"/>
                      <w:lang w:val="en-US" w:eastAsia="zh-CN"/>
                    </w:rPr>
                    <w:t>15m</w:t>
                  </w:r>
                </w:p>
              </w:tc>
              <w:tc>
                <w:tcPr>
                  <w:tcW w:w="1068" w:type="pct"/>
                  <w:noWrap w:val="0"/>
                  <w:vAlign w:val="center"/>
                </w:tcPr>
                <w:p w14:paraId="5AA3322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lang w:val="en-US" w:eastAsia="zh-CN"/>
                    </w:rPr>
                  </w:pPr>
                  <w:r>
                    <w:rPr>
                      <w:rFonts w:hint="eastAsia" w:cs="Times New Roman"/>
                      <w:szCs w:val="21"/>
                      <w:lang w:val="en-US" w:eastAsia="zh-CN"/>
                    </w:rPr>
                    <w:t>1条</w:t>
                  </w:r>
                </w:p>
              </w:tc>
              <w:tc>
                <w:tcPr>
                  <w:tcW w:w="1068" w:type="pct"/>
                  <w:noWrap w:val="0"/>
                  <w:vAlign w:val="center"/>
                </w:tcPr>
                <w:p w14:paraId="06DAC255">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kern w:val="2"/>
                      <w:sz w:val="21"/>
                      <w:szCs w:val="21"/>
                      <w:lang w:val="en-US" w:eastAsia="zh-CN" w:bidi="ar-SA"/>
                    </w:rPr>
                  </w:pPr>
                  <w:r>
                    <w:rPr>
                      <w:rFonts w:hint="eastAsia" w:cs="Times New Roman"/>
                      <w:color w:val="000000"/>
                      <w:szCs w:val="21"/>
                      <w:lang w:val="en-US" w:eastAsia="zh-CN"/>
                    </w:rPr>
                    <w:t>物料运输</w:t>
                  </w:r>
                </w:p>
              </w:tc>
              <w:tc>
                <w:tcPr>
                  <w:tcW w:w="1059" w:type="pct"/>
                  <w:noWrap w:val="0"/>
                  <w:vAlign w:val="center"/>
                </w:tcPr>
                <w:p w14:paraId="14B82D29">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color w:val="00B0F0"/>
                      <w:kern w:val="2"/>
                      <w:sz w:val="21"/>
                      <w:szCs w:val="21"/>
                      <w:lang w:val="en-US" w:eastAsia="zh-CN" w:bidi="ar-SA"/>
                    </w:rPr>
                  </w:pPr>
                  <w:r>
                    <w:rPr>
                      <w:rFonts w:hint="eastAsia" w:cs="Times New Roman"/>
                      <w:szCs w:val="21"/>
                      <w:lang w:val="en-US" w:eastAsia="zh-CN"/>
                    </w:rPr>
                    <w:t>利旧</w:t>
                  </w:r>
                </w:p>
              </w:tc>
            </w:tr>
            <w:tr w14:paraId="201369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3" w:type="pct"/>
                  <w:vMerge w:val="continue"/>
                  <w:noWrap w:val="0"/>
                  <w:vAlign w:val="center"/>
                </w:tcPr>
                <w:p w14:paraId="73DAA8F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kern w:val="0"/>
                      <w:szCs w:val="21"/>
                      <w:lang w:val="en-US" w:eastAsia="zh-CN" w:bidi="ar"/>
                    </w:rPr>
                  </w:pPr>
                </w:p>
              </w:tc>
              <w:tc>
                <w:tcPr>
                  <w:tcW w:w="778" w:type="pct"/>
                  <w:noWrap w:val="0"/>
                  <w:vAlign w:val="center"/>
                </w:tcPr>
                <w:p w14:paraId="5D7A899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szCs w:val="21"/>
                      <w:lang w:val="en-US" w:eastAsia="zh-CN"/>
                    </w:rPr>
                  </w:pPr>
                  <w:r>
                    <w:rPr>
                      <w:rFonts w:hint="eastAsia" w:cs="Times New Roman"/>
                      <w:color w:val="000000"/>
                      <w:szCs w:val="21"/>
                      <w:lang w:val="en-US" w:eastAsia="zh-CN"/>
                    </w:rPr>
                    <w:t>40m</w:t>
                  </w:r>
                </w:p>
              </w:tc>
              <w:tc>
                <w:tcPr>
                  <w:tcW w:w="1068" w:type="pct"/>
                  <w:noWrap w:val="0"/>
                  <w:vAlign w:val="center"/>
                </w:tcPr>
                <w:p w14:paraId="08CCF1F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szCs w:val="21"/>
                      <w:lang w:val="en-US" w:eastAsia="zh-CN" w:bidi="ar"/>
                    </w:rPr>
                  </w:pPr>
                  <w:r>
                    <w:rPr>
                      <w:rFonts w:hint="eastAsia" w:cs="Times New Roman"/>
                      <w:szCs w:val="21"/>
                      <w:lang w:val="en-US" w:eastAsia="zh-CN"/>
                    </w:rPr>
                    <w:t>1条</w:t>
                  </w:r>
                </w:p>
              </w:tc>
              <w:tc>
                <w:tcPr>
                  <w:tcW w:w="1068" w:type="pct"/>
                  <w:noWrap w:val="0"/>
                  <w:vAlign w:val="center"/>
                </w:tcPr>
                <w:p w14:paraId="28285A21">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szCs w:val="21"/>
                    </w:rPr>
                  </w:pPr>
                  <w:r>
                    <w:rPr>
                      <w:rFonts w:hint="eastAsia" w:cs="Times New Roman"/>
                      <w:color w:val="000000"/>
                      <w:szCs w:val="21"/>
                      <w:lang w:val="en-US" w:eastAsia="zh-CN"/>
                    </w:rPr>
                    <w:t>物料运输</w:t>
                  </w:r>
                </w:p>
              </w:tc>
              <w:tc>
                <w:tcPr>
                  <w:tcW w:w="1059" w:type="pct"/>
                  <w:noWrap w:val="0"/>
                  <w:vAlign w:val="center"/>
                </w:tcPr>
                <w:p w14:paraId="47BF36A4">
                  <w:pPr>
                    <w:keepNext w:val="0"/>
                    <w:keepLines w:val="0"/>
                    <w:suppressLineNumbers w:val="0"/>
                    <w:spacing w:before="0" w:beforeAutospacing="0" w:after="0" w:afterAutospacing="0"/>
                    <w:ind w:left="0" w:right="0"/>
                    <w:jc w:val="center"/>
                    <w:rPr>
                      <w:rFonts w:hint="eastAsia" w:ascii="Times New Roman" w:hAnsi="Times New Roman" w:eastAsia="宋体" w:cs="Times New Roman"/>
                      <w:lang w:val="en-US" w:eastAsia="zh-CN"/>
                    </w:rPr>
                  </w:pPr>
                  <w:r>
                    <w:rPr>
                      <w:rFonts w:hint="eastAsia" w:cs="Times New Roman"/>
                      <w:szCs w:val="21"/>
                      <w:lang w:val="en-US" w:eastAsia="zh-CN"/>
                    </w:rPr>
                    <w:t>利旧</w:t>
                  </w:r>
                </w:p>
              </w:tc>
            </w:tr>
            <w:tr w14:paraId="7BB1EF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3" w:type="pct"/>
                  <w:vMerge w:val="continue"/>
                  <w:noWrap w:val="0"/>
                  <w:vAlign w:val="center"/>
                </w:tcPr>
                <w:p w14:paraId="7C24FA0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kern w:val="0"/>
                      <w:szCs w:val="21"/>
                      <w:lang w:val="en-US" w:eastAsia="zh-CN" w:bidi="ar"/>
                    </w:rPr>
                  </w:pPr>
                </w:p>
              </w:tc>
              <w:tc>
                <w:tcPr>
                  <w:tcW w:w="778" w:type="pct"/>
                  <w:noWrap w:val="0"/>
                  <w:vAlign w:val="center"/>
                </w:tcPr>
                <w:p w14:paraId="3A1B29B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szCs w:val="21"/>
                      <w:lang w:val="en-US" w:eastAsia="zh-CN"/>
                    </w:rPr>
                  </w:pPr>
                  <w:r>
                    <w:rPr>
                      <w:rFonts w:hint="eastAsia" w:cs="Times New Roman"/>
                      <w:color w:val="000000"/>
                      <w:szCs w:val="21"/>
                      <w:lang w:val="en-US" w:eastAsia="zh-CN"/>
                    </w:rPr>
                    <w:t>90m</w:t>
                  </w:r>
                </w:p>
              </w:tc>
              <w:tc>
                <w:tcPr>
                  <w:tcW w:w="1068" w:type="pct"/>
                  <w:noWrap w:val="0"/>
                  <w:vAlign w:val="center"/>
                </w:tcPr>
                <w:p w14:paraId="21BCF23C">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szCs w:val="21"/>
                      <w:lang w:val="en-US" w:eastAsia="zh-CN" w:bidi="ar"/>
                    </w:rPr>
                  </w:pPr>
                  <w:r>
                    <w:rPr>
                      <w:rFonts w:hint="eastAsia" w:cs="Times New Roman"/>
                      <w:szCs w:val="21"/>
                      <w:lang w:val="en-US" w:eastAsia="zh-CN"/>
                    </w:rPr>
                    <w:t>1条</w:t>
                  </w:r>
                </w:p>
              </w:tc>
              <w:tc>
                <w:tcPr>
                  <w:tcW w:w="1068" w:type="pct"/>
                  <w:noWrap w:val="0"/>
                  <w:vAlign w:val="center"/>
                </w:tcPr>
                <w:p w14:paraId="483C4764">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szCs w:val="21"/>
                    </w:rPr>
                  </w:pPr>
                  <w:r>
                    <w:rPr>
                      <w:rFonts w:hint="eastAsia" w:cs="Times New Roman"/>
                      <w:color w:val="000000"/>
                      <w:szCs w:val="21"/>
                      <w:lang w:val="en-US" w:eastAsia="zh-CN"/>
                    </w:rPr>
                    <w:t>物料运输</w:t>
                  </w:r>
                </w:p>
              </w:tc>
              <w:tc>
                <w:tcPr>
                  <w:tcW w:w="1059" w:type="pct"/>
                  <w:noWrap w:val="0"/>
                  <w:vAlign w:val="center"/>
                </w:tcPr>
                <w:p w14:paraId="6A571B46">
                  <w:pPr>
                    <w:keepNext w:val="0"/>
                    <w:keepLines w:val="0"/>
                    <w:suppressLineNumbers w:val="0"/>
                    <w:spacing w:before="0" w:beforeAutospacing="0" w:after="0" w:afterAutospacing="0"/>
                    <w:ind w:left="0" w:right="0"/>
                    <w:jc w:val="center"/>
                    <w:rPr>
                      <w:rFonts w:hint="eastAsia" w:ascii="Times New Roman" w:hAnsi="Times New Roman" w:eastAsia="宋体" w:cs="Times New Roman"/>
                      <w:lang w:val="en-US" w:eastAsia="zh-CN"/>
                    </w:rPr>
                  </w:pPr>
                  <w:r>
                    <w:rPr>
                      <w:rFonts w:hint="eastAsia" w:cs="Times New Roman"/>
                      <w:szCs w:val="21"/>
                      <w:lang w:val="en-US" w:eastAsia="zh-CN"/>
                    </w:rPr>
                    <w:t>利旧</w:t>
                  </w:r>
                </w:p>
              </w:tc>
            </w:tr>
            <w:tr w14:paraId="11066B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3" w:type="pct"/>
                  <w:noWrap w:val="0"/>
                  <w:vAlign w:val="center"/>
                </w:tcPr>
                <w:p w14:paraId="05489D8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Cs w:val="21"/>
                      <w:lang w:val="en-US" w:eastAsia="zh-CN"/>
                    </w:rPr>
                  </w:pPr>
                  <w:r>
                    <w:rPr>
                      <w:rFonts w:hint="eastAsia" w:cs="Times New Roman"/>
                      <w:color w:val="000000"/>
                      <w:szCs w:val="21"/>
                      <w:lang w:val="en-US" w:eastAsia="zh-CN"/>
                    </w:rPr>
                    <w:t>挖机</w:t>
                  </w:r>
                </w:p>
              </w:tc>
              <w:tc>
                <w:tcPr>
                  <w:tcW w:w="778" w:type="pct"/>
                  <w:noWrap w:val="0"/>
                  <w:vAlign w:val="center"/>
                </w:tcPr>
                <w:p w14:paraId="2B4554A6">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w:t>
                  </w:r>
                </w:p>
              </w:tc>
              <w:tc>
                <w:tcPr>
                  <w:tcW w:w="1068" w:type="pct"/>
                  <w:noWrap w:val="0"/>
                  <w:vAlign w:val="center"/>
                </w:tcPr>
                <w:p w14:paraId="681450C9">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szCs w:val="21"/>
                    </w:rPr>
                  </w:pPr>
                  <w:r>
                    <w:rPr>
                      <w:rFonts w:hint="eastAsia" w:cs="Times New Roman"/>
                      <w:szCs w:val="21"/>
                      <w:lang w:val="en-US" w:eastAsia="zh-CN"/>
                    </w:rPr>
                    <w:t>1台</w:t>
                  </w:r>
                </w:p>
              </w:tc>
              <w:tc>
                <w:tcPr>
                  <w:tcW w:w="1068" w:type="pct"/>
                  <w:noWrap w:val="0"/>
                  <w:vAlign w:val="center"/>
                </w:tcPr>
                <w:p w14:paraId="2C74F33E">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kern w:val="2"/>
                      <w:sz w:val="21"/>
                      <w:szCs w:val="21"/>
                      <w:lang w:val="en-US" w:eastAsia="zh-CN" w:bidi="ar-SA"/>
                    </w:rPr>
                  </w:pPr>
                  <w:r>
                    <w:rPr>
                      <w:rFonts w:hint="eastAsia" w:cs="Times New Roman"/>
                      <w:szCs w:val="21"/>
                      <w:lang w:val="en-US" w:eastAsia="zh-CN"/>
                    </w:rPr>
                    <w:t>进料</w:t>
                  </w:r>
                </w:p>
              </w:tc>
              <w:tc>
                <w:tcPr>
                  <w:tcW w:w="1059" w:type="pct"/>
                  <w:noWrap w:val="0"/>
                  <w:vAlign w:val="center"/>
                </w:tcPr>
                <w:p w14:paraId="755555DC">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color w:val="00B0F0"/>
                      <w:kern w:val="2"/>
                      <w:sz w:val="21"/>
                      <w:szCs w:val="21"/>
                      <w:lang w:val="en-US" w:eastAsia="zh-CN" w:bidi="ar-SA"/>
                    </w:rPr>
                  </w:pPr>
                  <w:r>
                    <w:rPr>
                      <w:rFonts w:hint="eastAsia" w:cs="Times New Roman"/>
                      <w:szCs w:val="21"/>
                      <w:lang w:val="en-US" w:eastAsia="zh-CN"/>
                    </w:rPr>
                    <w:t>利旧</w:t>
                  </w:r>
                </w:p>
              </w:tc>
            </w:tr>
            <w:tr w14:paraId="5A850F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3" w:type="pct"/>
                  <w:noWrap w:val="0"/>
                  <w:vAlign w:val="center"/>
                </w:tcPr>
                <w:p w14:paraId="665296D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Cs w:val="21"/>
                      <w:lang w:val="en-US" w:eastAsia="zh-CN"/>
                    </w:rPr>
                  </w:pPr>
                  <w:r>
                    <w:rPr>
                      <w:rFonts w:hint="eastAsia" w:cs="Times New Roman"/>
                      <w:color w:val="000000"/>
                      <w:szCs w:val="21"/>
                      <w:lang w:val="en-US" w:eastAsia="zh-CN"/>
                    </w:rPr>
                    <w:t>铲车</w:t>
                  </w:r>
                </w:p>
              </w:tc>
              <w:tc>
                <w:tcPr>
                  <w:tcW w:w="778" w:type="pct"/>
                  <w:noWrap w:val="0"/>
                  <w:vAlign w:val="center"/>
                </w:tcPr>
                <w:p w14:paraId="12CF045B">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w:t>
                  </w:r>
                </w:p>
              </w:tc>
              <w:tc>
                <w:tcPr>
                  <w:tcW w:w="1068" w:type="pct"/>
                  <w:noWrap w:val="0"/>
                  <w:vAlign w:val="center"/>
                </w:tcPr>
                <w:p w14:paraId="67074699">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szCs w:val="21"/>
                    </w:rPr>
                  </w:pPr>
                  <w:r>
                    <w:rPr>
                      <w:rFonts w:hint="eastAsia" w:cs="Times New Roman"/>
                      <w:szCs w:val="21"/>
                      <w:lang w:val="en-US" w:eastAsia="zh-CN"/>
                    </w:rPr>
                    <w:t>1台</w:t>
                  </w:r>
                </w:p>
              </w:tc>
              <w:tc>
                <w:tcPr>
                  <w:tcW w:w="1068" w:type="pct"/>
                  <w:noWrap w:val="0"/>
                  <w:vAlign w:val="center"/>
                </w:tcPr>
                <w:p w14:paraId="4296AF1E">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szCs w:val="21"/>
                      <w:lang w:val="en-US" w:eastAsia="zh-CN"/>
                    </w:rPr>
                  </w:pPr>
                  <w:r>
                    <w:rPr>
                      <w:rFonts w:hint="eastAsia" w:cs="Times New Roman"/>
                      <w:color w:val="000000"/>
                      <w:szCs w:val="21"/>
                      <w:lang w:val="en-US" w:eastAsia="zh-CN"/>
                    </w:rPr>
                    <w:t>装载</w:t>
                  </w:r>
                </w:p>
              </w:tc>
              <w:tc>
                <w:tcPr>
                  <w:tcW w:w="1059" w:type="pct"/>
                  <w:noWrap w:val="0"/>
                  <w:vAlign w:val="center"/>
                </w:tcPr>
                <w:p w14:paraId="7B3A02A0">
                  <w:pPr>
                    <w:keepNext w:val="0"/>
                    <w:keepLines w:val="0"/>
                    <w:suppressLineNumbers w:val="0"/>
                    <w:spacing w:before="0" w:beforeAutospacing="0" w:after="0" w:afterAutospacing="0"/>
                    <w:ind w:left="0" w:right="0"/>
                    <w:jc w:val="center"/>
                    <w:rPr>
                      <w:rFonts w:hint="eastAsia" w:ascii="Times New Roman" w:hAnsi="Times New Roman" w:eastAsia="宋体" w:cs="Times New Roman"/>
                      <w:lang w:val="en-US" w:eastAsia="zh-CN"/>
                    </w:rPr>
                  </w:pPr>
                  <w:r>
                    <w:rPr>
                      <w:rFonts w:hint="eastAsia" w:cs="Times New Roman"/>
                      <w:szCs w:val="21"/>
                      <w:lang w:val="en-US" w:eastAsia="zh-CN"/>
                    </w:rPr>
                    <w:t>利旧</w:t>
                  </w:r>
                </w:p>
              </w:tc>
            </w:tr>
            <w:tr w14:paraId="20B48E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3" w:type="pct"/>
                  <w:noWrap w:val="0"/>
                  <w:vAlign w:val="center"/>
                </w:tcPr>
                <w:p w14:paraId="37D6A6A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Cs w:val="21"/>
                      <w:lang w:val="en-US" w:eastAsia="zh-CN"/>
                    </w:rPr>
                  </w:pPr>
                  <w:r>
                    <w:rPr>
                      <w:rFonts w:hint="eastAsia" w:cs="Times New Roman"/>
                      <w:color w:val="000000"/>
                      <w:szCs w:val="21"/>
                      <w:lang w:val="en-US" w:eastAsia="zh-CN"/>
                    </w:rPr>
                    <w:t>压滤机</w:t>
                  </w:r>
                </w:p>
              </w:tc>
              <w:tc>
                <w:tcPr>
                  <w:tcW w:w="778" w:type="pct"/>
                  <w:noWrap w:val="0"/>
                  <w:vAlign w:val="center"/>
                </w:tcPr>
                <w:p w14:paraId="0AA844EA">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w:t>
                  </w:r>
                </w:p>
              </w:tc>
              <w:tc>
                <w:tcPr>
                  <w:tcW w:w="1068" w:type="pct"/>
                  <w:noWrap w:val="0"/>
                  <w:vAlign w:val="center"/>
                </w:tcPr>
                <w:p w14:paraId="72EB8F58">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szCs w:val="21"/>
                      <w:lang w:val="en-US" w:eastAsia="zh-CN"/>
                    </w:rPr>
                  </w:pPr>
                  <w:r>
                    <w:rPr>
                      <w:rFonts w:hint="eastAsia" w:cs="Times New Roman"/>
                      <w:szCs w:val="21"/>
                      <w:lang w:val="en-US" w:eastAsia="zh-CN"/>
                    </w:rPr>
                    <w:t>1台</w:t>
                  </w:r>
                </w:p>
              </w:tc>
              <w:tc>
                <w:tcPr>
                  <w:tcW w:w="1068" w:type="pct"/>
                  <w:noWrap w:val="0"/>
                  <w:vAlign w:val="center"/>
                </w:tcPr>
                <w:p w14:paraId="2CE86F5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Cs w:val="21"/>
                      <w:lang w:val="en-US" w:eastAsia="zh-CN"/>
                    </w:rPr>
                  </w:pPr>
                  <w:r>
                    <w:rPr>
                      <w:rFonts w:hint="eastAsia" w:cs="Times New Roman"/>
                      <w:color w:val="000000"/>
                      <w:szCs w:val="21"/>
                      <w:lang w:val="en-US" w:eastAsia="zh-CN"/>
                    </w:rPr>
                    <w:t>废水处理</w:t>
                  </w:r>
                </w:p>
              </w:tc>
              <w:tc>
                <w:tcPr>
                  <w:tcW w:w="1059" w:type="pct"/>
                  <w:noWrap w:val="0"/>
                  <w:vAlign w:val="center"/>
                </w:tcPr>
                <w:p w14:paraId="54ED91AB">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B0F0"/>
                      <w:szCs w:val="21"/>
                    </w:rPr>
                  </w:pPr>
                  <w:r>
                    <w:rPr>
                      <w:rFonts w:hint="eastAsia" w:cs="Times New Roman"/>
                      <w:szCs w:val="21"/>
                      <w:lang w:val="en-US" w:eastAsia="zh-CN"/>
                    </w:rPr>
                    <w:t>利旧</w:t>
                  </w:r>
                </w:p>
              </w:tc>
            </w:tr>
            <w:tr w14:paraId="782C98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3" w:type="pct"/>
                  <w:noWrap w:val="0"/>
                  <w:vAlign w:val="center"/>
                </w:tcPr>
                <w:p w14:paraId="667F2B09">
                  <w:pPr>
                    <w:keepNext w:val="0"/>
                    <w:keepLines w:val="0"/>
                    <w:suppressLineNumbers w:val="0"/>
                    <w:adjustRightInd w:val="0"/>
                    <w:snapToGrid w:val="0"/>
                    <w:spacing w:before="0" w:beforeAutospacing="0" w:after="0" w:afterAutospacing="0"/>
                    <w:ind w:left="0" w:right="0"/>
                    <w:jc w:val="center"/>
                    <w:rPr>
                      <w:rFonts w:hint="default" w:cs="Times New Roman"/>
                      <w:color w:val="000000"/>
                      <w:szCs w:val="21"/>
                      <w:lang w:val="en-US" w:eastAsia="zh-CN"/>
                    </w:rPr>
                  </w:pPr>
                  <w:r>
                    <w:rPr>
                      <w:rFonts w:hint="eastAsia" w:cs="Times New Roman"/>
                      <w:color w:val="000000"/>
                      <w:szCs w:val="21"/>
                      <w:lang w:val="en-US" w:eastAsia="zh-CN"/>
                    </w:rPr>
                    <w:t>絮凝沉淀罐</w:t>
                  </w:r>
                </w:p>
              </w:tc>
              <w:tc>
                <w:tcPr>
                  <w:tcW w:w="778" w:type="pct"/>
                  <w:noWrap w:val="0"/>
                  <w:vAlign w:val="center"/>
                </w:tcPr>
                <w:p w14:paraId="0BE349C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Cs w:val="21"/>
                      <w:lang w:val="en-US" w:eastAsia="zh-CN"/>
                    </w:rPr>
                  </w:pPr>
                  <w:r>
                    <w:rPr>
                      <w:rFonts w:hint="eastAsia" w:cs="Times New Roman"/>
                      <w:color w:val="000000"/>
                      <w:szCs w:val="21"/>
                      <w:lang w:val="en-US" w:eastAsia="zh-CN"/>
                    </w:rPr>
                    <w:t>150m</w:t>
                  </w:r>
                  <w:r>
                    <w:rPr>
                      <w:rFonts w:hint="eastAsia" w:cs="Times New Roman"/>
                      <w:color w:val="000000"/>
                      <w:szCs w:val="21"/>
                      <w:vertAlign w:val="superscript"/>
                      <w:lang w:val="en-US" w:eastAsia="zh-CN"/>
                    </w:rPr>
                    <w:t>3</w:t>
                  </w:r>
                </w:p>
              </w:tc>
              <w:tc>
                <w:tcPr>
                  <w:tcW w:w="1068" w:type="pct"/>
                  <w:noWrap w:val="0"/>
                  <w:vAlign w:val="center"/>
                </w:tcPr>
                <w:p w14:paraId="6CD2EBE0">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szCs w:val="21"/>
                      <w:lang w:val="en-US" w:eastAsia="zh-CN"/>
                    </w:rPr>
                  </w:pPr>
                  <w:r>
                    <w:rPr>
                      <w:rFonts w:hint="eastAsia" w:cs="Times New Roman"/>
                      <w:szCs w:val="21"/>
                      <w:lang w:val="en-US" w:eastAsia="zh-CN"/>
                    </w:rPr>
                    <w:t>1台</w:t>
                  </w:r>
                </w:p>
              </w:tc>
              <w:tc>
                <w:tcPr>
                  <w:tcW w:w="1068" w:type="pct"/>
                  <w:noWrap w:val="0"/>
                  <w:vAlign w:val="center"/>
                </w:tcPr>
                <w:p w14:paraId="439637B9">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szCs w:val="21"/>
                      <w:lang w:val="en-US" w:eastAsia="zh-CN"/>
                    </w:rPr>
                  </w:pPr>
                  <w:r>
                    <w:rPr>
                      <w:rFonts w:hint="eastAsia" w:cs="Times New Roman"/>
                      <w:color w:val="000000"/>
                      <w:szCs w:val="21"/>
                      <w:lang w:val="en-US" w:eastAsia="zh-CN"/>
                    </w:rPr>
                    <w:t>废水处理</w:t>
                  </w:r>
                </w:p>
              </w:tc>
              <w:tc>
                <w:tcPr>
                  <w:tcW w:w="1059" w:type="pct"/>
                  <w:noWrap w:val="0"/>
                  <w:vAlign w:val="center"/>
                </w:tcPr>
                <w:p w14:paraId="322D1E4F">
                  <w:pPr>
                    <w:keepNext w:val="0"/>
                    <w:keepLines w:val="0"/>
                    <w:suppressLineNumbers w:val="0"/>
                    <w:spacing w:before="0" w:beforeAutospacing="0" w:after="0" w:afterAutospacing="0"/>
                    <w:ind w:left="0" w:right="0"/>
                    <w:jc w:val="center"/>
                    <w:rPr>
                      <w:rFonts w:hint="eastAsia" w:ascii="Times New Roman" w:hAnsi="Times New Roman" w:eastAsia="宋体" w:cs="Times New Roman"/>
                      <w:lang w:val="en-US" w:eastAsia="zh-CN"/>
                    </w:rPr>
                  </w:pPr>
                  <w:r>
                    <w:rPr>
                      <w:rFonts w:hint="eastAsia" w:cs="Times New Roman"/>
                      <w:lang w:val="en-US" w:eastAsia="zh-CN"/>
                    </w:rPr>
                    <w:t>新建</w:t>
                  </w:r>
                </w:p>
              </w:tc>
            </w:tr>
            <w:tr w14:paraId="14D698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3" w:type="pct"/>
                  <w:noWrap w:val="0"/>
                  <w:vAlign w:val="center"/>
                </w:tcPr>
                <w:p w14:paraId="3709612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cs="Times New Roman"/>
                      <w:szCs w:val="21"/>
                      <w:lang w:val="en-US" w:eastAsia="zh-CN"/>
                    </w:rPr>
                    <w:t>水泵</w:t>
                  </w:r>
                </w:p>
              </w:tc>
              <w:tc>
                <w:tcPr>
                  <w:tcW w:w="778" w:type="pct"/>
                  <w:noWrap w:val="0"/>
                  <w:vAlign w:val="center"/>
                </w:tcPr>
                <w:p w14:paraId="3EEFA45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szCs w:val="21"/>
                      <w:lang w:bidi="ar"/>
                    </w:rPr>
                  </w:pPr>
                  <w:r>
                    <w:rPr>
                      <w:rFonts w:hint="eastAsia" w:ascii="Times New Roman" w:hAnsi="Times New Roman" w:eastAsia="宋体" w:cs="Times New Roman"/>
                      <w:color w:val="000000"/>
                      <w:szCs w:val="21"/>
                      <w:lang w:val="en-US" w:eastAsia="zh-CN"/>
                    </w:rPr>
                    <w:t>/</w:t>
                  </w:r>
                </w:p>
              </w:tc>
              <w:tc>
                <w:tcPr>
                  <w:tcW w:w="1068" w:type="pct"/>
                  <w:noWrap w:val="0"/>
                  <w:vAlign w:val="center"/>
                </w:tcPr>
                <w:p w14:paraId="1856A767">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rPr>
                  </w:pPr>
                  <w:r>
                    <w:rPr>
                      <w:rFonts w:hint="eastAsia" w:cs="Times New Roman"/>
                      <w:szCs w:val="21"/>
                      <w:lang w:val="en-US" w:eastAsia="zh-CN"/>
                    </w:rPr>
                    <w:t>2台</w:t>
                  </w:r>
                </w:p>
              </w:tc>
              <w:tc>
                <w:tcPr>
                  <w:tcW w:w="1068" w:type="pct"/>
                  <w:noWrap w:val="0"/>
                  <w:vAlign w:val="center"/>
                </w:tcPr>
                <w:p w14:paraId="68BE3876">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lang w:val="en-US" w:eastAsia="zh-CN"/>
                    </w:rPr>
                  </w:pPr>
                  <w:r>
                    <w:rPr>
                      <w:rFonts w:hint="eastAsia" w:cs="Times New Roman"/>
                      <w:szCs w:val="21"/>
                      <w:lang w:val="en-US" w:eastAsia="zh-CN"/>
                    </w:rPr>
                    <w:t>抽水</w:t>
                  </w:r>
                </w:p>
              </w:tc>
              <w:tc>
                <w:tcPr>
                  <w:tcW w:w="1059" w:type="pct"/>
                  <w:noWrap w:val="0"/>
                  <w:vAlign w:val="center"/>
                </w:tcPr>
                <w:p w14:paraId="4F6BA162">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lang w:val="en-US" w:eastAsia="zh-CN"/>
                    </w:rPr>
                  </w:pPr>
                  <w:r>
                    <w:rPr>
                      <w:rFonts w:hint="eastAsia" w:cs="Times New Roman"/>
                      <w:szCs w:val="21"/>
                      <w:lang w:val="en-US" w:eastAsia="zh-CN"/>
                    </w:rPr>
                    <w:t>利旧</w:t>
                  </w:r>
                </w:p>
              </w:tc>
            </w:tr>
            <w:tr w14:paraId="004721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3" w:type="pct"/>
                  <w:noWrap w:val="0"/>
                  <w:vAlign w:val="center"/>
                </w:tcPr>
                <w:p w14:paraId="3A8570B4">
                  <w:pPr>
                    <w:keepNext w:val="0"/>
                    <w:keepLines w:val="0"/>
                    <w:suppressLineNumbers w:val="0"/>
                    <w:spacing w:before="0" w:beforeAutospacing="0" w:after="0" w:afterAutospacing="0"/>
                    <w:ind w:left="0" w:right="0"/>
                    <w:jc w:val="center"/>
                    <w:rPr>
                      <w:rFonts w:hint="default" w:cs="Times New Roman"/>
                      <w:szCs w:val="21"/>
                      <w:lang w:val="en-US" w:eastAsia="zh-CN"/>
                    </w:rPr>
                  </w:pPr>
                  <w:r>
                    <w:rPr>
                      <w:rFonts w:hint="eastAsia" w:cs="Times New Roman"/>
                      <w:szCs w:val="21"/>
                      <w:lang w:val="en-US" w:eastAsia="zh-CN"/>
                    </w:rPr>
                    <w:t>泥泵</w:t>
                  </w:r>
                </w:p>
              </w:tc>
              <w:tc>
                <w:tcPr>
                  <w:tcW w:w="778" w:type="pct"/>
                  <w:noWrap w:val="0"/>
                  <w:vAlign w:val="center"/>
                </w:tcPr>
                <w:p w14:paraId="0EFC937F">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w:t>
                  </w:r>
                </w:p>
              </w:tc>
              <w:tc>
                <w:tcPr>
                  <w:tcW w:w="1068" w:type="pct"/>
                  <w:noWrap w:val="0"/>
                  <w:vAlign w:val="center"/>
                </w:tcPr>
                <w:p w14:paraId="6E9C5476">
                  <w:pPr>
                    <w:keepNext w:val="0"/>
                    <w:keepLines w:val="0"/>
                    <w:suppressLineNumbers w:val="0"/>
                    <w:spacing w:before="0" w:beforeAutospacing="0" w:after="0" w:afterAutospacing="0"/>
                    <w:ind w:left="0" w:right="0"/>
                    <w:jc w:val="center"/>
                    <w:rPr>
                      <w:rFonts w:hint="eastAsia" w:cs="Times New Roman"/>
                      <w:szCs w:val="21"/>
                      <w:lang w:val="en-US" w:eastAsia="zh-CN"/>
                    </w:rPr>
                  </w:pPr>
                  <w:r>
                    <w:rPr>
                      <w:rFonts w:hint="eastAsia" w:cs="Times New Roman"/>
                      <w:szCs w:val="21"/>
                      <w:lang w:val="en-US" w:eastAsia="zh-CN"/>
                    </w:rPr>
                    <w:t>1台</w:t>
                  </w:r>
                </w:p>
              </w:tc>
              <w:tc>
                <w:tcPr>
                  <w:tcW w:w="1068" w:type="pct"/>
                  <w:noWrap w:val="0"/>
                  <w:vAlign w:val="center"/>
                </w:tcPr>
                <w:p w14:paraId="16B151DD">
                  <w:pPr>
                    <w:keepNext w:val="0"/>
                    <w:keepLines w:val="0"/>
                    <w:suppressLineNumbers w:val="0"/>
                    <w:spacing w:before="0" w:beforeAutospacing="0" w:after="0" w:afterAutospacing="0"/>
                    <w:ind w:left="0" w:right="0"/>
                    <w:jc w:val="center"/>
                    <w:rPr>
                      <w:rFonts w:hint="default" w:cs="Times New Roman"/>
                      <w:szCs w:val="21"/>
                      <w:lang w:val="en-US" w:eastAsia="zh-CN"/>
                    </w:rPr>
                  </w:pPr>
                  <w:r>
                    <w:rPr>
                      <w:rFonts w:hint="eastAsia" w:cs="Times New Roman"/>
                      <w:szCs w:val="21"/>
                      <w:lang w:val="en-US" w:eastAsia="zh-CN"/>
                    </w:rPr>
                    <w:t>抽泥浆</w:t>
                  </w:r>
                </w:p>
              </w:tc>
              <w:tc>
                <w:tcPr>
                  <w:tcW w:w="1059" w:type="pct"/>
                  <w:noWrap w:val="0"/>
                  <w:vAlign w:val="center"/>
                </w:tcPr>
                <w:p w14:paraId="63E45317">
                  <w:pPr>
                    <w:keepNext w:val="0"/>
                    <w:keepLines w:val="0"/>
                    <w:suppressLineNumbers w:val="0"/>
                    <w:spacing w:before="0" w:beforeAutospacing="0" w:after="0" w:afterAutospacing="0"/>
                    <w:ind w:left="0" w:right="0"/>
                    <w:jc w:val="center"/>
                    <w:rPr>
                      <w:rFonts w:hint="eastAsia" w:cs="Times New Roman"/>
                      <w:szCs w:val="21"/>
                      <w:lang w:val="en-US" w:eastAsia="zh-CN"/>
                    </w:rPr>
                  </w:pPr>
                  <w:r>
                    <w:rPr>
                      <w:rFonts w:hint="eastAsia" w:cs="Times New Roman"/>
                      <w:szCs w:val="21"/>
                      <w:lang w:val="en-US" w:eastAsia="zh-CN"/>
                    </w:rPr>
                    <w:t>利旧</w:t>
                  </w:r>
                </w:p>
              </w:tc>
            </w:tr>
          </w:tbl>
          <w:p w14:paraId="64F372E8">
            <w:pPr>
              <w:pStyle w:val="72"/>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ind w:left="0" w:right="0" w:firstLine="482" w:firstLineChars="200"/>
              <w:textAlignment w:val="auto"/>
              <w:rPr>
                <w:rFonts w:hint="eastAsia" w:ascii="Times New Roman" w:hAnsi="Times New Roman" w:eastAsia="宋体" w:cs="Times New Roman"/>
                <w:b/>
                <w:bCs/>
                <w:color w:val="auto"/>
              </w:rPr>
            </w:pPr>
            <w:r>
              <w:rPr>
                <w:rFonts w:hint="eastAsia" w:ascii="Times New Roman" w:hAnsi="Times New Roman" w:eastAsia="宋体" w:cs="Times New Roman"/>
                <w:b/>
                <w:bCs/>
                <w:color w:val="auto"/>
              </w:rPr>
              <w:t>本项目所用设备均不属于《产业结构调整指导目录（20</w:t>
            </w:r>
            <w:r>
              <w:rPr>
                <w:rFonts w:hint="eastAsia" w:ascii="Times New Roman" w:hAnsi="Times New Roman" w:eastAsia="宋体" w:cs="Times New Roman"/>
                <w:b/>
                <w:bCs/>
                <w:color w:val="auto"/>
                <w:lang w:val="en-US" w:eastAsia="zh-CN"/>
              </w:rPr>
              <w:t>24</w:t>
            </w:r>
            <w:r>
              <w:rPr>
                <w:rFonts w:hint="eastAsia" w:ascii="Times New Roman" w:hAnsi="Times New Roman" w:eastAsia="宋体" w:cs="Times New Roman"/>
                <w:b/>
                <w:bCs/>
                <w:color w:val="auto"/>
              </w:rPr>
              <w:t>年本）》中淘汰类、限制类设备。</w:t>
            </w:r>
          </w:p>
          <w:p w14:paraId="1812D080">
            <w:pPr>
              <w:pStyle w:val="72"/>
              <w:keepNext w:val="0"/>
              <w:keepLines w:val="0"/>
              <w:suppressLineNumbers w:val="0"/>
              <w:spacing w:before="0" w:beforeAutospacing="0" w:after="0" w:afterAutospacing="0"/>
              <w:ind w:left="0" w:right="0" w:firstLine="0"/>
              <w:rPr>
                <w:rFonts w:hint="eastAsia" w:ascii="Times New Roman" w:hAnsi="Times New Roman" w:eastAsia="宋体" w:cs="Times New Roman"/>
                <w:b/>
                <w:bCs/>
                <w:color w:val="auto"/>
              </w:rPr>
            </w:pPr>
            <w:r>
              <w:rPr>
                <w:rFonts w:hint="eastAsia" w:ascii="Times New Roman" w:hAnsi="Times New Roman" w:eastAsia="宋体" w:cs="Times New Roman"/>
                <w:b/>
                <w:bCs/>
                <w:color w:val="auto"/>
                <w:lang w:val="en-US" w:eastAsia="zh-CN"/>
              </w:rPr>
              <w:t>4</w:t>
            </w:r>
            <w:r>
              <w:rPr>
                <w:rFonts w:hint="eastAsia" w:ascii="Times New Roman" w:hAnsi="Times New Roman" w:eastAsia="宋体" w:cs="Times New Roman"/>
                <w:b/>
                <w:bCs/>
                <w:color w:val="auto"/>
              </w:rPr>
              <w:t>、主要原辅材料消耗及能耗</w:t>
            </w:r>
          </w:p>
          <w:p w14:paraId="28EBF180">
            <w:pPr>
              <w:keepNext w:val="0"/>
              <w:keepLines w:val="0"/>
              <w:suppressLineNumbers w:val="0"/>
              <w:tabs>
                <w:tab w:val="left" w:pos="0"/>
              </w:tabs>
              <w:spacing w:before="0" w:beforeAutospacing="0" w:after="0" w:afterAutospacing="0" w:line="360" w:lineRule="auto"/>
              <w:ind w:left="0" w:right="0"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rPr>
              <w:t>主要原辅材料及能源消耗详见下表：</w:t>
            </w:r>
          </w:p>
          <w:p w14:paraId="7CDF2ED5">
            <w:pPr>
              <w:keepNext w:val="0"/>
              <w:keepLines w:val="0"/>
              <w:suppressLineNumbers w:val="0"/>
              <w:tabs>
                <w:tab w:val="left" w:pos="0"/>
              </w:tabs>
              <w:spacing w:before="0" w:beforeAutospacing="0" w:after="0" w:afterAutospacing="0" w:line="240" w:lineRule="auto"/>
              <w:ind w:left="0" w:right="0"/>
              <w:jc w:val="center"/>
              <w:rPr>
                <w:rFonts w:hint="eastAsia" w:ascii="Times New Roman" w:hAnsi="Times New Roman" w:eastAsia="宋体" w:cs="Times New Roman"/>
                <w:b/>
                <w:bCs/>
                <w:szCs w:val="21"/>
              </w:rPr>
            </w:pPr>
          </w:p>
          <w:p w14:paraId="1570F48C">
            <w:pPr>
              <w:keepNext w:val="0"/>
              <w:keepLines w:val="0"/>
              <w:suppressLineNumbers w:val="0"/>
              <w:tabs>
                <w:tab w:val="left" w:pos="0"/>
              </w:tabs>
              <w:spacing w:before="0" w:beforeAutospacing="0" w:after="0" w:afterAutospacing="0" w:line="240" w:lineRule="auto"/>
              <w:ind w:left="0" w:right="0"/>
              <w:jc w:val="center"/>
              <w:rPr>
                <w:rFonts w:hint="eastAsia" w:ascii="Times New Roman" w:hAnsi="Times New Roman" w:eastAsia="宋体" w:cs="Times New Roman"/>
                <w:b/>
                <w:bCs/>
                <w:szCs w:val="21"/>
              </w:rPr>
            </w:pPr>
          </w:p>
          <w:p w14:paraId="03909E75">
            <w:pPr>
              <w:keepNext w:val="0"/>
              <w:keepLines w:val="0"/>
              <w:suppressLineNumbers w:val="0"/>
              <w:tabs>
                <w:tab w:val="left" w:pos="0"/>
              </w:tabs>
              <w:spacing w:before="0" w:beforeAutospacing="0" w:after="0" w:afterAutospacing="0" w:line="240" w:lineRule="auto"/>
              <w:ind w:left="0" w:right="0"/>
              <w:jc w:val="center"/>
              <w:rPr>
                <w:rFonts w:hint="eastAsia" w:ascii="Times New Roman" w:hAnsi="Times New Roman" w:eastAsia="宋体" w:cs="Times New Roman"/>
                <w:b/>
                <w:bCs/>
                <w:szCs w:val="21"/>
              </w:rPr>
            </w:pPr>
          </w:p>
          <w:p w14:paraId="763AE894">
            <w:pPr>
              <w:keepNext w:val="0"/>
              <w:keepLines w:val="0"/>
              <w:suppressLineNumbers w:val="0"/>
              <w:tabs>
                <w:tab w:val="left" w:pos="0"/>
              </w:tabs>
              <w:spacing w:before="0" w:beforeAutospacing="0" w:after="0" w:afterAutospacing="0" w:line="240" w:lineRule="auto"/>
              <w:ind w:left="0" w:right="0"/>
              <w:jc w:val="center"/>
              <w:rPr>
                <w:rFonts w:hint="eastAsia" w:ascii="Times New Roman" w:hAnsi="Times New Roman" w:eastAsia="宋体" w:cs="Times New Roman"/>
                <w:b/>
                <w:bCs/>
                <w:szCs w:val="21"/>
              </w:rPr>
            </w:pPr>
          </w:p>
          <w:p w14:paraId="66731136">
            <w:pPr>
              <w:keepNext w:val="0"/>
              <w:keepLines w:val="0"/>
              <w:suppressLineNumbers w:val="0"/>
              <w:tabs>
                <w:tab w:val="left" w:pos="0"/>
              </w:tabs>
              <w:spacing w:before="0" w:beforeAutospacing="0" w:after="0" w:afterAutospacing="0" w:line="240" w:lineRule="auto"/>
              <w:ind w:left="0" w:right="0"/>
              <w:jc w:val="center"/>
              <w:rPr>
                <w:rFonts w:hint="eastAsia" w:ascii="Times New Roman" w:hAnsi="Times New Roman" w:eastAsia="宋体" w:cs="Times New Roman"/>
                <w:b/>
                <w:bCs/>
                <w:szCs w:val="21"/>
              </w:rPr>
            </w:pPr>
          </w:p>
          <w:p w14:paraId="40B03C68">
            <w:pPr>
              <w:keepNext w:val="0"/>
              <w:keepLines w:val="0"/>
              <w:suppressLineNumbers w:val="0"/>
              <w:tabs>
                <w:tab w:val="left" w:pos="0"/>
              </w:tabs>
              <w:spacing w:before="0" w:beforeAutospacing="0" w:after="0" w:afterAutospacing="0" w:line="240" w:lineRule="auto"/>
              <w:ind w:left="0" w:right="0"/>
              <w:jc w:val="center"/>
              <w:rPr>
                <w:rStyle w:val="31"/>
                <w:rFonts w:hint="default" w:ascii="Times New Roman" w:hAnsi="Times New Roman" w:eastAsia="宋体" w:cs="Times New Roman"/>
                <w:kern w:val="0"/>
                <w:szCs w:val="20"/>
              </w:rPr>
            </w:pPr>
            <w:r>
              <w:rPr>
                <w:rFonts w:hint="eastAsia" w:ascii="Times New Roman" w:hAnsi="Times New Roman" w:eastAsia="宋体" w:cs="Times New Roman"/>
                <w:b/>
                <w:bCs/>
                <w:szCs w:val="21"/>
              </w:rPr>
              <w:t>表2-</w:t>
            </w:r>
            <w:r>
              <w:rPr>
                <w:rFonts w:hint="eastAsia" w:ascii="Times New Roman" w:hAnsi="Times New Roman" w:eastAsia="宋体" w:cs="Times New Roman"/>
                <w:b/>
                <w:bCs/>
                <w:szCs w:val="21"/>
                <w:lang w:val="en-US" w:eastAsia="zh-CN"/>
              </w:rPr>
              <w:t>4</w:t>
            </w:r>
            <w:r>
              <w:rPr>
                <w:rFonts w:hint="eastAsia" w:ascii="Times New Roman" w:hAnsi="Times New Roman" w:eastAsia="宋体" w:cs="Times New Roman"/>
                <w:b/>
                <w:bCs/>
                <w:szCs w:val="21"/>
              </w:rPr>
              <w:t xml:space="preserve"> </w:t>
            </w:r>
            <w:r>
              <w:rPr>
                <w:rFonts w:hint="eastAsia" w:ascii="Times New Roman" w:hAnsi="Times New Roman" w:eastAsia="宋体" w:cs="Times New Roman"/>
                <w:b/>
                <w:bCs/>
                <w:szCs w:val="21"/>
                <w:lang w:val="en-US" w:eastAsia="zh-CN"/>
              </w:rPr>
              <w:t xml:space="preserve"> </w:t>
            </w:r>
            <w:r>
              <w:rPr>
                <w:rFonts w:hint="eastAsia" w:ascii="Times New Roman" w:hAnsi="Times New Roman" w:eastAsia="宋体" w:cs="Times New Roman"/>
                <w:b/>
                <w:bCs/>
                <w:szCs w:val="21"/>
              </w:rPr>
              <w:t>项目原辅材料及能源消耗一览表</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061"/>
              <w:gridCol w:w="740"/>
              <w:gridCol w:w="914"/>
              <w:gridCol w:w="1025"/>
              <w:gridCol w:w="1320"/>
              <w:gridCol w:w="965"/>
              <w:gridCol w:w="817"/>
              <w:gridCol w:w="641"/>
              <w:gridCol w:w="904"/>
            </w:tblGrid>
            <w:tr w14:paraId="14646B7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34" w:hRule="atLeast"/>
                <w:jc w:val="center"/>
              </w:trPr>
              <w:tc>
                <w:tcPr>
                  <w:tcW w:w="633" w:type="pct"/>
                  <w:noWrap w:val="0"/>
                  <w:vAlign w:val="center"/>
                </w:tcPr>
                <w:p w14:paraId="6F40A5B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rPr>
                  </w:pPr>
                  <w:r>
                    <w:rPr>
                      <w:rFonts w:hint="eastAsia" w:ascii="Times New Roman" w:hAnsi="Times New Roman" w:eastAsia="宋体" w:cs="Times New Roman"/>
                      <w:b/>
                      <w:bCs/>
                      <w:color w:val="auto"/>
                    </w:rPr>
                    <w:t>类别</w:t>
                  </w:r>
                </w:p>
              </w:tc>
              <w:tc>
                <w:tcPr>
                  <w:tcW w:w="441" w:type="pct"/>
                  <w:noWrap w:val="0"/>
                  <w:vAlign w:val="center"/>
                </w:tcPr>
                <w:p w14:paraId="50A5F7D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rPr>
                  </w:pPr>
                  <w:r>
                    <w:rPr>
                      <w:rFonts w:hint="eastAsia" w:ascii="Times New Roman" w:hAnsi="Times New Roman" w:eastAsia="宋体" w:cs="Times New Roman"/>
                      <w:b/>
                      <w:bCs/>
                      <w:color w:val="auto"/>
                    </w:rPr>
                    <w:t>名称</w:t>
                  </w:r>
                </w:p>
              </w:tc>
              <w:tc>
                <w:tcPr>
                  <w:tcW w:w="545" w:type="pct"/>
                  <w:noWrap w:val="0"/>
                  <w:vAlign w:val="center"/>
                </w:tcPr>
                <w:p w14:paraId="452215F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rPr>
                  </w:pPr>
                  <w:r>
                    <w:rPr>
                      <w:rFonts w:hint="eastAsia" w:ascii="Times New Roman" w:hAnsi="Times New Roman" w:eastAsia="宋体" w:cs="Times New Roman"/>
                      <w:b/>
                      <w:bCs/>
                      <w:color w:val="auto"/>
                    </w:rPr>
                    <w:t>规格/主要成分</w:t>
                  </w:r>
                </w:p>
              </w:tc>
              <w:tc>
                <w:tcPr>
                  <w:tcW w:w="611" w:type="pct"/>
                  <w:noWrap w:val="0"/>
                  <w:vAlign w:val="center"/>
                </w:tcPr>
                <w:p w14:paraId="3A7CFDB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rPr>
                  </w:pPr>
                  <w:r>
                    <w:rPr>
                      <w:rFonts w:hint="eastAsia" w:ascii="Times New Roman" w:hAnsi="Times New Roman" w:eastAsia="宋体" w:cs="Times New Roman"/>
                      <w:b/>
                      <w:bCs/>
                      <w:color w:val="auto"/>
                    </w:rPr>
                    <w:t>年用量</w:t>
                  </w:r>
                </w:p>
              </w:tc>
              <w:tc>
                <w:tcPr>
                  <w:tcW w:w="787" w:type="pct"/>
                  <w:noWrap w:val="0"/>
                  <w:vAlign w:val="center"/>
                </w:tcPr>
                <w:p w14:paraId="7ADFC6B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rPr>
                  </w:pPr>
                  <w:r>
                    <w:rPr>
                      <w:rFonts w:hint="eastAsia" w:ascii="Times New Roman" w:hAnsi="Times New Roman" w:eastAsia="宋体" w:cs="Times New Roman"/>
                      <w:b/>
                      <w:bCs/>
                      <w:color w:val="auto"/>
                    </w:rPr>
                    <w:t>一次最大储存量</w:t>
                  </w:r>
                </w:p>
              </w:tc>
              <w:tc>
                <w:tcPr>
                  <w:tcW w:w="575" w:type="pct"/>
                  <w:tcBorders>
                    <w:right w:val="single" w:color="auto" w:sz="4" w:space="0"/>
                  </w:tcBorders>
                  <w:noWrap w:val="0"/>
                  <w:vAlign w:val="center"/>
                </w:tcPr>
                <w:p w14:paraId="395C133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rPr>
                  </w:pPr>
                  <w:r>
                    <w:rPr>
                      <w:rFonts w:hint="eastAsia" w:ascii="Times New Roman" w:hAnsi="Times New Roman" w:eastAsia="宋体" w:cs="Times New Roman"/>
                      <w:b/>
                      <w:bCs/>
                      <w:color w:val="auto"/>
                    </w:rPr>
                    <w:t>包装方式</w:t>
                  </w:r>
                </w:p>
              </w:tc>
              <w:tc>
                <w:tcPr>
                  <w:tcW w:w="487" w:type="pct"/>
                  <w:tcBorders>
                    <w:left w:val="single" w:color="auto" w:sz="4" w:space="0"/>
                  </w:tcBorders>
                  <w:noWrap w:val="0"/>
                  <w:vAlign w:val="center"/>
                </w:tcPr>
                <w:p w14:paraId="5FA011D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rPr>
                  </w:pPr>
                  <w:r>
                    <w:rPr>
                      <w:rFonts w:hint="default" w:ascii="Times New Roman" w:hAnsi="Times New Roman" w:eastAsia="宋体" w:cs="Times New Roman"/>
                      <w:b/>
                      <w:color w:val="auto"/>
                      <w:kern w:val="0"/>
                      <w:szCs w:val="21"/>
                      <w:lang w:bidi="ar"/>
                    </w:rPr>
                    <w:t>储存位置</w:t>
                  </w:r>
                </w:p>
              </w:tc>
              <w:tc>
                <w:tcPr>
                  <w:tcW w:w="382" w:type="pct"/>
                  <w:tcBorders>
                    <w:left w:val="single" w:color="auto" w:sz="4" w:space="0"/>
                  </w:tcBorders>
                  <w:noWrap w:val="0"/>
                  <w:vAlign w:val="center"/>
                </w:tcPr>
                <w:p w14:paraId="021549C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rPr>
                  </w:pPr>
                  <w:r>
                    <w:rPr>
                      <w:rFonts w:hint="eastAsia" w:ascii="Times New Roman" w:hAnsi="Times New Roman" w:eastAsia="宋体" w:cs="Times New Roman"/>
                      <w:b/>
                      <w:bCs/>
                      <w:color w:val="auto"/>
                    </w:rPr>
                    <w:t>来源</w:t>
                  </w:r>
                </w:p>
              </w:tc>
              <w:tc>
                <w:tcPr>
                  <w:tcW w:w="536" w:type="pct"/>
                  <w:tcBorders>
                    <w:left w:val="single" w:color="auto" w:sz="4" w:space="0"/>
                  </w:tcBorders>
                  <w:noWrap w:val="0"/>
                  <w:vAlign w:val="center"/>
                </w:tcPr>
                <w:p w14:paraId="47EC4AD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rPr>
                  </w:pPr>
                  <w:r>
                    <w:rPr>
                      <w:rFonts w:hint="eastAsia" w:ascii="Times New Roman" w:hAnsi="Times New Roman" w:eastAsia="宋体" w:cs="Times New Roman"/>
                      <w:b/>
                      <w:bCs/>
                      <w:color w:val="auto"/>
                    </w:rPr>
                    <w:t>备注</w:t>
                  </w:r>
                </w:p>
              </w:tc>
            </w:tr>
            <w:tr w14:paraId="4D0D8DB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41" w:hRule="atLeast"/>
                <w:jc w:val="center"/>
              </w:trPr>
              <w:tc>
                <w:tcPr>
                  <w:tcW w:w="633" w:type="pct"/>
                  <w:vMerge w:val="restart"/>
                  <w:noWrap w:val="0"/>
                  <w:vAlign w:val="center"/>
                </w:tcPr>
                <w:p w14:paraId="7CA790A4">
                  <w:pPr>
                    <w:keepNext w:val="0"/>
                    <w:keepLines w:val="0"/>
                    <w:suppressLineNumbers w:val="0"/>
                    <w:adjustRightInd w:val="0"/>
                    <w:snapToGrid w:val="0"/>
                    <w:spacing w:before="0" w:beforeAutospacing="0" w:after="0" w:afterAutospacing="0"/>
                    <w:ind w:left="0" w:right="0"/>
                    <w:jc w:val="both"/>
                    <w:rPr>
                      <w:rFonts w:hint="default" w:ascii="Times New Roman" w:hAnsi="Times New Roman" w:eastAsia="宋体" w:cs="宋体"/>
                      <w:color w:val="auto"/>
                      <w:szCs w:val="21"/>
                      <w:lang w:val="en-US" w:eastAsia="zh-CN"/>
                    </w:rPr>
                  </w:pPr>
                  <w:r>
                    <w:rPr>
                      <w:rFonts w:hint="eastAsia" w:ascii="Times New Roman" w:hAnsi="Times New Roman" w:eastAsia="宋体" w:cs="宋体"/>
                      <w:color w:val="auto"/>
                      <w:szCs w:val="21"/>
                    </w:rPr>
                    <w:t>原料</w:t>
                  </w:r>
                </w:p>
              </w:tc>
              <w:tc>
                <w:tcPr>
                  <w:tcW w:w="441" w:type="pct"/>
                  <w:noWrap w:val="0"/>
                  <w:vAlign w:val="center"/>
                </w:tcPr>
                <w:p w14:paraId="4D68398F">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color w:val="auto"/>
                      <w:szCs w:val="21"/>
                      <w:lang w:val="en-US" w:eastAsia="zh-CN"/>
                    </w:rPr>
                  </w:pPr>
                  <w:r>
                    <w:rPr>
                      <w:rFonts w:hint="eastAsia" w:cs="宋体"/>
                      <w:color w:val="auto"/>
                      <w:szCs w:val="21"/>
                      <w:lang w:val="en-US" w:eastAsia="zh-CN"/>
                    </w:rPr>
                    <w:t>鹅卵石</w:t>
                  </w:r>
                </w:p>
              </w:tc>
              <w:tc>
                <w:tcPr>
                  <w:tcW w:w="545" w:type="pct"/>
                  <w:noWrap w:val="0"/>
                  <w:vAlign w:val="center"/>
                </w:tcPr>
                <w:p w14:paraId="5486AAD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color w:val="auto"/>
                      <w:szCs w:val="21"/>
                    </w:rPr>
                  </w:pPr>
                  <w:r>
                    <w:rPr>
                      <w:rFonts w:hint="eastAsia" w:ascii="Times New Roman" w:hAnsi="Times New Roman" w:eastAsia="宋体" w:cs="宋体"/>
                      <w:color w:val="auto"/>
                      <w:szCs w:val="21"/>
                    </w:rPr>
                    <w:t>/</w:t>
                  </w:r>
                </w:p>
              </w:tc>
              <w:tc>
                <w:tcPr>
                  <w:tcW w:w="1025" w:type="dxa"/>
                  <w:noWrap w:val="0"/>
                  <w:vAlign w:val="center"/>
                </w:tcPr>
                <w:p w14:paraId="24B78A8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宋体"/>
                      <w:color w:val="auto"/>
                      <w:szCs w:val="21"/>
                    </w:rPr>
                  </w:pPr>
                  <w:r>
                    <w:rPr>
                      <w:rFonts w:hint="eastAsia" w:cs="宋体"/>
                      <w:color w:val="auto"/>
                      <w:spacing w:val="-4"/>
                      <w:szCs w:val="21"/>
                      <w:lang w:val="en-US" w:eastAsia="zh-CN"/>
                    </w:rPr>
                    <w:t>18425</w:t>
                  </w:r>
                  <w:r>
                    <w:rPr>
                      <w:rFonts w:hint="eastAsia" w:ascii="Times New Roman" w:hAnsi="Times New Roman" w:eastAsia="宋体" w:cs="宋体"/>
                      <w:color w:val="auto"/>
                      <w:spacing w:val="-4"/>
                      <w:szCs w:val="21"/>
                    </w:rPr>
                    <w:t>t</w:t>
                  </w:r>
                </w:p>
              </w:tc>
              <w:tc>
                <w:tcPr>
                  <w:tcW w:w="1320" w:type="dxa"/>
                  <w:noWrap w:val="0"/>
                  <w:vAlign w:val="center"/>
                </w:tcPr>
                <w:p w14:paraId="518A0F5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宋体"/>
                      <w:color w:val="auto"/>
                      <w:szCs w:val="21"/>
                    </w:rPr>
                  </w:pPr>
                  <w:r>
                    <w:rPr>
                      <w:rFonts w:hint="eastAsia" w:cs="宋体"/>
                      <w:color w:val="auto"/>
                      <w:spacing w:val="-6"/>
                      <w:szCs w:val="21"/>
                      <w:lang w:val="en-US" w:eastAsia="zh-CN"/>
                    </w:rPr>
                    <w:t>100</w:t>
                  </w:r>
                  <w:r>
                    <w:rPr>
                      <w:rFonts w:hint="eastAsia" w:ascii="Times New Roman" w:hAnsi="Times New Roman" w:eastAsia="宋体" w:cs="宋体"/>
                      <w:color w:val="auto"/>
                      <w:spacing w:val="-6"/>
                      <w:szCs w:val="21"/>
                    </w:rPr>
                    <w:t>0t</w:t>
                  </w:r>
                </w:p>
              </w:tc>
              <w:tc>
                <w:tcPr>
                  <w:tcW w:w="575" w:type="pct"/>
                  <w:tcBorders>
                    <w:right w:val="single" w:color="auto" w:sz="4" w:space="0"/>
                  </w:tcBorders>
                  <w:noWrap w:val="0"/>
                  <w:vAlign w:val="center"/>
                </w:tcPr>
                <w:p w14:paraId="7034EA7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color w:val="auto"/>
                      <w:szCs w:val="21"/>
                    </w:rPr>
                  </w:pPr>
                  <w:r>
                    <w:rPr>
                      <w:rFonts w:hint="eastAsia" w:ascii="Times New Roman" w:hAnsi="Times New Roman" w:eastAsia="宋体" w:cs="宋体"/>
                      <w:color w:val="auto"/>
                      <w:szCs w:val="21"/>
                    </w:rPr>
                    <w:t>/</w:t>
                  </w:r>
                </w:p>
              </w:tc>
              <w:tc>
                <w:tcPr>
                  <w:tcW w:w="487" w:type="pct"/>
                  <w:tcBorders>
                    <w:left w:val="single" w:color="auto" w:sz="4" w:space="0"/>
                  </w:tcBorders>
                  <w:noWrap w:val="0"/>
                  <w:vAlign w:val="center"/>
                </w:tcPr>
                <w:p w14:paraId="7679ECC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color w:val="auto"/>
                      <w:szCs w:val="21"/>
                    </w:rPr>
                  </w:pPr>
                  <w:r>
                    <w:rPr>
                      <w:rFonts w:hint="eastAsia" w:ascii="Times New Roman" w:hAnsi="Times New Roman" w:eastAsia="宋体" w:cs="宋体"/>
                      <w:color w:val="auto"/>
                      <w:szCs w:val="21"/>
                    </w:rPr>
                    <w:t>原料堆放区</w:t>
                  </w:r>
                </w:p>
              </w:tc>
              <w:tc>
                <w:tcPr>
                  <w:tcW w:w="382" w:type="pct"/>
                  <w:tcBorders>
                    <w:left w:val="single" w:color="auto" w:sz="4" w:space="0"/>
                  </w:tcBorders>
                  <w:noWrap w:val="0"/>
                  <w:vAlign w:val="center"/>
                </w:tcPr>
                <w:p w14:paraId="19FAADC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color w:val="auto"/>
                      <w:szCs w:val="21"/>
                    </w:rPr>
                  </w:pPr>
                  <w:r>
                    <w:rPr>
                      <w:rFonts w:hint="eastAsia" w:ascii="Times New Roman" w:hAnsi="Times New Roman" w:eastAsia="宋体" w:cs="宋体"/>
                      <w:color w:val="auto"/>
                      <w:szCs w:val="21"/>
                    </w:rPr>
                    <w:t>外购</w:t>
                  </w:r>
                </w:p>
              </w:tc>
              <w:tc>
                <w:tcPr>
                  <w:tcW w:w="536" w:type="pct"/>
                  <w:tcBorders>
                    <w:left w:val="single" w:color="auto" w:sz="4" w:space="0"/>
                  </w:tcBorders>
                  <w:noWrap w:val="0"/>
                  <w:vAlign w:val="center"/>
                </w:tcPr>
                <w:p w14:paraId="3D6AA2E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color w:val="auto"/>
                      <w:szCs w:val="21"/>
                    </w:rPr>
                  </w:pPr>
                  <w:r>
                    <w:rPr>
                      <w:rFonts w:hint="eastAsia" w:ascii="Times New Roman" w:hAnsi="Times New Roman" w:eastAsia="宋体" w:cs="宋体"/>
                      <w:color w:val="auto"/>
                      <w:szCs w:val="21"/>
                    </w:rPr>
                    <w:t>/</w:t>
                  </w:r>
                </w:p>
              </w:tc>
            </w:tr>
            <w:tr w14:paraId="10E1B79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4" w:hRule="atLeast"/>
                <w:jc w:val="center"/>
              </w:trPr>
              <w:tc>
                <w:tcPr>
                  <w:tcW w:w="633" w:type="pct"/>
                  <w:vMerge w:val="continue"/>
                  <w:noWrap w:val="0"/>
                  <w:vAlign w:val="center"/>
                </w:tcPr>
                <w:p w14:paraId="05CD02C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color w:val="auto"/>
                      <w:szCs w:val="21"/>
                    </w:rPr>
                  </w:pPr>
                </w:p>
              </w:tc>
              <w:tc>
                <w:tcPr>
                  <w:tcW w:w="441" w:type="pct"/>
                  <w:noWrap w:val="0"/>
                  <w:vAlign w:val="center"/>
                </w:tcPr>
                <w:p w14:paraId="1BEA3C7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color w:val="auto"/>
                      <w:spacing w:val="-2"/>
                      <w:szCs w:val="21"/>
                      <w:lang w:val="en-US" w:eastAsia="zh-CN"/>
                    </w:rPr>
                  </w:pPr>
                  <w:r>
                    <w:rPr>
                      <w:rFonts w:hint="eastAsia" w:cs="宋体"/>
                      <w:color w:val="auto"/>
                      <w:spacing w:val="-2"/>
                      <w:szCs w:val="21"/>
                      <w:lang w:val="en-US" w:eastAsia="zh-CN"/>
                    </w:rPr>
                    <w:t>建筑废料</w:t>
                  </w:r>
                </w:p>
              </w:tc>
              <w:tc>
                <w:tcPr>
                  <w:tcW w:w="545" w:type="pct"/>
                  <w:noWrap w:val="0"/>
                  <w:vAlign w:val="center"/>
                </w:tcPr>
                <w:p w14:paraId="00FB8A2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color w:val="auto"/>
                      <w:szCs w:val="21"/>
                    </w:rPr>
                  </w:pPr>
                  <w:r>
                    <w:rPr>
                      <w:rFonts w:hint="eastAsia" w:ascii="Times New Roman" w:hAnsi="Times New Roman" w:eastAsia="宋体" w:cs="宋体"/>
                      <w:color w:val="auto"/>
                      <w:szCs w:val="21"/>
                    </w:rPr>
                    <w:t>/</w:t>
                  </w:r>
                </w:p>
              </w:tc>
              <w:tc>
                <w:tcPr>
                  <w:tcW w:w="1025" w:type="dxa"/>
                  <w:noWrap w:val="0"/>
                  <w:vAlign w:val="center"/>
                </w:tcPr>
                <w:p w14:paraId="0D4A343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宋体"/>
                      <w:color w:val="auto"/>
                      <w:spacing w:val="-4"/>
                      <w:szCs w:val="21"/>
                    </w:rPr>
                  </w:pPr>
                  <w:r>
                    <w:rPr>
                      <w:rFonts w:hint="eastAsia" w:cs="宋体"/>
                      <w:color w:val="auto"/>
                      <w:spacing w:val="-4"/>
                      <w:szCs w:val="21"/>
                      <w:lang w:val="en-US" w:eastAsia="zh-CN"/>
                    </w:rPr>
                    <w:t>10000</w:t>
                  </w:r>
                  <w:r>
                    <w:rPr>
                      <w:rFonts w:hint="eastAsia" w:ascii="Times New Roman" w:hAnsi="Times New Roman" w:eastAsia="宋体" w:cs="宋体"/>
                      <w:color w:val="auto"/>
                      <w:spacing w:val="-4"/>
                      <w:szCs w:val="21"/>
                    </w:rPr>
                    <w:t>t</w:t>
                  </w:r>
                </w:p>
              </w:tc>
              <w:tc>
                <w:tcPr>
                  <w:tcW w:w="1320" w:type="dxa"/>
                  <w:noWrap w:val="0"/>
                  <w:vAlign w:val="center"/>
                </w:tcPr>
                <w:p w14:paraId="6CBD87F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宋体"/>
                      <w:color w:val="auto"/>
                      <w:spacing w:val="-6"/>
                      <w:szCs w:val="21"/>
                    </w:rPr>
                  </w:pPr>
                  <w:r>
                    <w:rPr>
                      <w:rFonts w:hint="eastAsia" w:cs="宋体"/>
                      <w:color w:val="auto"/>
                      <w:spacing w:val="-6"/>
                      <w:szCs w:val="21"/>
                      <w:lang w:val="en-US" w:eastAsia="zh-CN"/>
                    </w:rPr>
                    <w:t>500</w:t>
                  </w:r>
                  <w:r>
                    <w:rPr>
                      <w:rFonts w:hint="eastAsia" w:ascii="Times New Roman" w:hAnsi="Times New Roman" w:eastAsia="宋体" w:cs="宋体"/>
                      <w:color w:val="auto"/>
                      <w:spacing w:val="-6"/>
                      <w:szCs w:val="21"/>
                    </w:rPr>
                    <w:t>t</w:t>
                  </w:r>
                </w:p>
              </w:tc>
              <w:tc>
                <w:tcPr>
                  <w:tcW w:w="575" w:type="pct"/>
                  <w:tcBorders>
                    <w:right w:val="single" w:color="auto" w:sz="4" w:space="0"/>
                  </w:tcBorders>
                  <w:noWrap w:val="0"/>
                  <w:vAlign w:val="center"/>
                </w:tcPr>
                <w:p w14:paraId="120F125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color w:val="auto"/>
                      <w:szCs w:val="21"/>
                    </w:rPr>
                  </w:pPr>
                  <w:r>
                    <w:rPr>
                      <w:rFonts w:hint="eastAsia" w:ascii="Times New Roman" w:hAnsi="Times New Roman" w:eastAsia="宋体" w:cs="宋体"/>
                      <w:color w:val="auto"/>
                      <w:szCs w:val="21"/>
                    </w:rPr>
                    <w:t>/</w:t>
                  </w:r>
                </w:p>
              </w:tc>
              <w:tc>
                <w:tcPr>
                  <w:tcW w:w="487" w:type="pct"/>
                  <w:tcBorders>
                    <w:left w:val="single" w:color="auto" w:sz="4" w:space="0"/>
                  </w:tcBorders>
                  <w:noWrap w:val="0"/>
                  <w:vAlign w:val="center"/>
                </w:tcPr>
                <w:p w14:paraId="53641A1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color w:val="auto"/>
                      <w:szCs w:val="21"/>
                    </w:rPr>
                  </w:pPr>
                  <w:r>
                    <w:rPr>
                      <w:rFonts w:hint="eastAsia" w:ascii="Times New Roman" w:hAnsi="Times New Roman" w:eastAsia="宋体" w:cs="宋体"/>
                      <w:color w:val="auto"/>
                      <w:szCs w:val="21"/>
                    </w:rPr>
                    <w:t>原料堆放区</w:t>
                  </w:r>
                </w:p>
              </w:tc>
              <w:tc>
                <w:tcPr>
                  <w:tcW w:w="382" w:type="pct"/>
                  <w:tcBorders>
                    <w:left w:val="single" w:color="auto" w:sz="4" w:space="0"/>
                  </w:tcBorders>
                  <w:noWrap w:val="0"/>
                  <w:vAlign w:val="center"/>
                </w:tcPr>
                <w:p w14:paraId="06CD3FA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color w:val="auto"/>
                      <w:szCs w:val="21"/>
                    </w:rPr>
                  </w:pPr>
                  <w:r>
                    <w:rPr>
                      <w:rFonts w:hint="eastAsia" w:ascii="Times New Roman" w:hAnsi="Times New Roman" w:eastAsia="宋体" w:cs="宋体"/>
                      <w:color w:val="auto"/>
                      <w:szCs w:val="21"/>
                    </w:rPr>
                    <w:t>外购</w:t>
                  </w:r>
                </w:p>
              </w:tc>
              <w:tc>
                <w:tcPr>
                  <w:tcW w:w="536" w:type="pct"/>
                  <w:tcBorders>
                    <w:left w:val="single" w:color="auto" w:sz="4" w:space="0"/>
                  </w:tcBorders>
                  <w:noWrap w:val="0"/>
                  <w:vAlign w:val="center"/>
                </w:tcPr>
                <w:p w14:paraId="2301C8C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color w:val="auto"/>
                      <w:szCs w:val="21"/>
                    </w:rPr>
                  </w:pPr>
                  <w:r>
                    <w:rPr>
                      <w:rFonts w:hint="eastAsia" w:ascii="Times New Roman" w:hAnsi="Times New Roman" w:eastAsia="宋体" w:cs="宋体"/>
                      <w:color w:val="auto"/>
                      <w:szCs w:val="21"/>
                    </w:rPr>
                    <w:t>/</w:t>
                  </w:r>
                </w:p>
              </w:tc>
            </w:tr>
            <w:tr w14:paraId="1590A1A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90" w:hRule="atLeast"/>
                <w:jc w:val="center"/>
              </w:trPr>
              <w:tc>
                <w:tcPr>
                  <w:tcW w:w="633" w:type="pct"/>
                  <w:vMerge w:val="restart"/>
                  <w:noWrap w:val="0"/>
                  <w:vAlign w:val="center"/>
                </w:tcPr>
                <w:p w14:paraId="0E77D65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color w:val="auto"/>
                      <w:szCs w:val="21"/>
                    </w:rPr>
                  </w:pPr>
                  <w:r>
                    <w:rPr>
                      <w:rFonts w:hint="eastAsia" w:ascii="Times New Roman" w:hAnsi="Times New Roman" w:eastAsia="宋体" w:cs="宋体"/>
                      <w:color w:val="auto"/>
                      <w:szCs w:val="21"/>
                    </w:rPr>
                    <w:t>辅料</w:t>
                  </w:r>
                </w:p>
              </w:tc>
              <w:tc>
                <w:tcPr>
                  <w:tcW w:w="441" w:type="pct"/>
                  <w:noWrap w:val="0"/>
                  <w:vAlign w:val="center"/>
                </w:tcPr>
                <w:p w14:paraId="3887F482">
                  <w:pPr>
                    <w:keepNext w:val="0"/>
                    <w:keepLines w:val="0"/>
                    <w:suppressLineNumbers w:val="0"/>
                    <w:spacing w:before="0" w:beforeAutospacing="0" w:after="0" w:afterAutospacing="0"/>
                    <w:ind w:left="0" w:right="0"/>
                    <w:jc w:val="center"/>
                    <w:rPr>
                      <w:rFonts w:hint="default" w:ascii="Times New Roman" w:hAnsi="Times New Roman" w:eastAsia="宋体" w:cs="宋体"/>
                      <w:color w:val="auto"/>
                      <w:szCs w:val="21"/>
                    </w:rPr>
                  </w:pPr>
                  <w:r>
                    <w:rPr>
                      <w:rFonts w:hint="eastAsia" w:ascii="Times New Roman" w:hAnsi="Times New Roman" w:eastAsia="宋体" w:cs="宋体"/>
                      <w:color w:val="auto"/>
                      <w:szCs w:val="21"/>
                    </w:rPr>
                    <w:t>PAM絮凝剂</w:t>
                  </w:r>
                </w:p>
              </w:tc>
              <w:tc>
                <w:tcPr>
                  <w:tcW w:w="545" w:type="pct"/>
                  <w:noWrap w:val="0"/>
                  <w:vAlign w:val="center"/>
                </w:tcPr>
                <w:p w14:paraId="06B0CBCF">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color w:val="auto"/>
                      <w:kern w:val="0"/>
                      <w:szCs w:val="21"/>
                      <w:lang w:eastAsia="zh-CN" w:bidi="ar"/>
                    </w:rPr>
                  </w:pPr>
                  <w:r>
                    <w:rPr>
                      <w:rFonts w:hint="eastAsia" w:cs="宋体"/>
                      <w:color w:val="auto"/>
                      <w:szCs w:val="21"/>
                      <w:lang w:val="en-US" w:eastAsia="zh-CN"/>
                    </w:rPr>
                    <w:t>聚丙烯酰胺</w:t>
                  </w:r>
                </w:p>
              </w:tc>
              <w:tc>
                <w:tcPr>
                  <w:tcW w:w="611" w:type="pct"/>
                  <w:noWrap w:val="0"/>
                  <w:vAlign w:val="center"/>
                </w:tcPr>
                <w:p w14:paraId="2A5B24AB">
                  <w:pPr>
                    <w:keepNext w:val="0"/>
                    <w:keepLines w:val="0"/>
                    <w:suppressLineNumbers w:val="0"/>
                    <w:spacing w:before="0" w:beforeAutospacing="0" w:after="0" w:afterAutospacing="0"/>
                    <w:ind w:left="0" w:right="0"/>
                    <w:jc w:val="center"/>
                    <w:rPr>
                      <w:rFonts w:hint="default" w:ascii="Times New Roman" w:hAnsi="Times New Roman" w:eastAsia="宋体" w:cs="宋体"/>
                      <w:color w:val="auto"/>
                      <w:szCs w:val="21"/>
                      <w:lang w:val="en-US" w:eastAsia="zh-CN"/>
                    </w:rPr>
                  </w:pPr>
                  <w:r>
                    <w:rPr>
                      <w:rFonts w:hint="eastAsia" w:cs="宋体"/>
                      <w:color w:val="auto"/>
                      <w:spacing w:val="-2"/>
                      <w:szCs w:val="21"/>
                      <w:lang w:val="en-US" w:eastAsia="zh-CN"/>
                    </w:rPr>
                    <w:t>2</w:t>
                  </w:r>
                  <w:r>
                    <w:rPr>
                      <w:rFonts w:hint="eastAsia" w:ascii="Times New Roman" w:hAnsi="Times New Roman" w:eastAsia="宋体" w:cs="宋体"/>
                      <w:color w:val="auto"/>
                      <w:spacing w:val="-2"/>
                      <w:szCs w:val="21"/>
                      <w:lang w:val="en-US" w:eastAsia="zh-CN"/>
                    </w:rPr>
                    <w:t>t</w:t>
                  </w:r>
                </w:p>
              </w:tc>
              <w:tc>
                <w:tcPr>
                  <w:tcW w:w="787" w:type="pct"/>
                  <w:noWrap w:val="0"/>
                  <w:vAlign w:val="center"/>
                </w:tcPr>
                <w:p w14:paraId="6498CD01">
                  <w:pPr>
                    <w:keepNext w:val="0"/>
                    <w:keepLines w:val="0"/>
                    <w:suppressLineNumbers w:val="0"/>
                    <w:spacing w:before="0" w:beforeAutospacing="0" w:after="0" w:afterAutospacing="0"/>
                    <w:ind w:left="0" w:right="0"/>
                    <w:jc w:val="center"/>
                    <w:rPr>
                      <w:rFonts w:hint="default" w:ascii="Times New Roman" w:hAnsi="Times New Roman" w:eastAsia="宋体" w:cs="宋体"/>
                      <w:color w:val="auto"/>
                      <w:szCs w:val="21"/>
                      <w:lang w:val="en-US" w:eastAsia="zh-CN"/>
                    </w:rPr>
                  </w:pPr>
                  <w:r>
                    <w:rPr>
                      <w:rFonts w:hint="eastAsia" w:cs="宋体"/>
                      <w:color w:val="auto"/>
                      <w:szCs w:val="21"/>
                      <w:lang w:val="en-US" w:eastAsia="zh-CN"/>
                    </w:rPr>
                    <w:t>0.5</w:t>
                  </w:r>
                  <w:r>
                    <w:rPr>
                      <w:rFonts w:hint="eastAsia" w:ascii="Times New Roman" w:hAnsi="Times New Roman" w:eastAsia="宋体" w:cs="宋体"/>
                      <w:color w:val="auto"/>
                      <w:szCs w:val="21"/>
                      <w:lang w:val="en-US" w:eastAsia="zh-CN"/>
                    </w:rPr>
                    <w:t>t</w:t>
                  </w:r>
                </w:p>
              </w:tc>
              <w:tc>
                <w:tcPr>
                  <w:tcW w:w="575" w:type="pct"/>
                  <w:tcBorders>
                    <w:right w:val="single" w:color="auto" w:sz="4" w:space="0"/>
                  </w:tcBorders>
                  <w:noWrap w:val="0"/>
                  <w:vAlign w:val="center"/>
                </w:tcPr>
                <w:p w14:paraId="4E2391B6">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color w:val="auto"/>
                      <w:szCs w:val="21"/>
                      <w:lang w:eastAsia="zh-CN"/>
                    </w:rPr>
                  </w:pPr>
                  <w:r>
                    <w:rPr>
                      <w:rFonts w:hint="eastAsia" w:cs="宋体"/>
                      <w:color w:val="auto"/>
                      <w:szCs w:val="21"/>
                      <w:lang w:val="en-US" w:eastAsia="zh-CN"/>
                    </w:rPr>
                    <w:t>桶装</w:t>
                  </w:r>
                </w:p>
              </w:tc>
              <w:tc>
                <w:tcPr>
                  <w:tcW w:w="487" w:type="pct"/>
                  <w:tcBorders>
                    <w:left w:val="single" w:color="auto" w:sz="4" w:space="0"/>
                  </w:tcBorders>
                  <w:noWrap w:val="0"/>
                  <w:vAlign w:val="center"/>
                </w:tcPr>
                <w:p w14:paraId="7EC3543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color w:val="auto"/>
                      <w:szCs w:val="21"/>
                      <w:lang w:val="en-US" w:eastAsia="zh-CN"/>
                    </w:rPr>
                  </w:pPr>
                  <w:r>
                    <w:rPr>
                      <w:rFonts w:hint="eastAsia" w:cs="宋体"/>
                      <w:color w:val="auto"/>
                      <w:szCs w:val="21"/>
                      <w:lang w:val="en-US" w:eastAsia="zh-CN"/>
                    </w:rPr>
                    <w:t>辅料间</w:t>
                  </w:r>
                </w:p>
              </w:tc>
              <w:tc>
                <w:tcPr>
                  <w:tcW w:w="382" w:type="pct"/>
                  <w:tcBorders>
                    <w:left w:val="single" w:color="auto" w:sz="4" w:space="0"/>
                  </w:tcBorders>
                  <w:noWrap w:val="0"/>
                  <w:vAlign w:val="center"/>
                </w:tcPr>
                <w:p w14:paraId="490DEAF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color w:val="auto"/>
                      <w:szCs w:val="21"/>
                    </w:rPr>
                  </w:pPr>
                  <w:r>
                    <w:rPr>
                      <w:rFonts w:hint="eastAsia" w:ascii="Times New Roman" w:hAnsi="Times New Roman" w:eastAsia="宋体" w:cs="宋体"/>
                      <w:color w:val="auto"/>
                      <w:szCs w:val="21"/>
                    </w:rPr>
                    <w:t>外购</w:t>
                  </w:r>
                </w:p>
              </w:tc>
              <w:tc>
                <w:tcPr>
                  <w:tcW w:w="536" w:type="pct"/>
                  <w:tcBorders>
                    <w:left w:val="single" w:color="auto" w:sz="4" w:space="0"/>
                  </w:tcBorders>
                  <w:noWrap w:val="0"/>
                  <w:vAlign w:val="center"/>
                </w:tcPr>
                <w:p w14:paraId="0D69FBD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color w:val="auto"/>
                      <w:szCs w:val="21"/>
                    </w:rPr>
                  </w:pPr>
                  <w:r>
                    <w:rPr>
                      <w:rFonts w:hint="eastAsia" w:ascii="Times New Roman" w:hAnsi="Times New Roman" w:eastAsia="宋体" w:cs="宋体"/>
                      <w:color w:val="auto"/>
                      <w:szCs w:val="21"/>
                    </w:rPr>
                    <w:t>/</w:t>
                  </w:r>
                </w:p>
              </w:tc>
            </w:tr>
            <w:tr w14:paraId="4BB31B7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633" w:type="pct"/>
                  <w:vMerge w:val="continue"/>
                  <w:noWrap w:val="0"/>
                  <w:vAlign w:val="center"/>
                </w:tcPr>
                <w:p w14:paraId="61F8117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color w:val="auto"/>
                      <w:szCs w:val="21"/>
                    </w:rPr>
                  </w:pPr>
                </w:p>
              </w:tc>
              <w:tc>
                <w:tcPr>
                  <w:tcW w:w="441" w:type="pct"/>
                  <w:noWrap w:val="0"/>
                  <w:vAlign w:val="center"/>
                </w:tcPr>
                <w:p w14:paraId="2C7A0C86">
                  <w:pPr>
                    <w:keepNext w:val="0"/>
                    <w:keepLines w:val="0"/>
                    <w:suppressLineNumbers w:val="0"/>
                    <w:spacing w:before="0" w:beforeAutospacing="0" w:after="0" w:afterAutospacing="0"/>
                    <w:ind w:left="0" w:right="0"/>
                    <w:jc w:val="center"/>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spacing w:val="-2"/>
                      <w:szCs w:val="21"/>
                    </w:rPr>
                    <w:t>机油</w:t>
                  </w:r>
                </w:p>
              </w:tc>
              <w:tc>
                <w:tcPr>
                  <w:tcW w:w="545" w:type="pct"/>
                  <w:noWrap w:val="0"/>
                  <w:vAlign w:val="center"/>
                </w:tcPr>
                <w:p w14:paraId="0D30224E">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color w:val="auto"/>
                      <w:kern w:val="2"/>
                      <w:sz w:val="21"/>
                      <w:szCs w:val="21"/>
                      <w:lang w:val="en-US" w:eastAsia="zh-CN" w:bidi="ar-SA"/>
                    </w:rPr>
                  </w:pPr>
                  <w:r>
                    <w:rPr>
                      <w:rFonts w:hint="eastAsia" w:cs="宋体"/>
                      <w:color w:val="auto"/>
                      <w:szCs w:val="21"/>
                      <w:lang w:val="en-US" w:eastAsia="zh-CN"/>
                    </w:rPr>
                    <w:t>矿物油</w:t>
                  </w:r>
                </w:p>
              </w:tc>
              <w:tc>
                <w:tcPr>
                  <w:tcW w:w="611" w:type="pct"/>
                  <w:noWrap w:val="0"/>
                  <w:vAlign w:val="center"/>
                </w:tcPr>
                <w:p w14:paraId="0FA0D78F">
                  <w:pPr>
                    <w:keepNext w:val="0"/>
                    <w:keepLines w:val="0"/>
                    <w:suppressLineNumbers w:val="0"/>
                    <w:spacing w:before="0" w:beforeAutospacing="0" w:after="0" w:afterAutospacing="0"/>
                    <w:ind w:left="0" w:right="0"/>
                    <w:jc w:val="center"/>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spacing w:val="-1"/>
                      <w:szCs w:val="21"/>
                    </w:rPr>
                    <w:t>0.05t</w:t>
                  </w:r>
                </w:p>
              </w:tc>
              <w:tc>
                <w:tcPr>
                  <w:tcW w:w="787" w:type="pct"/>
                  <w:noWrap w:val="0"/>
                  <w:vAlign w:val="center"/>
                </w:tcPr>
                <w:p w14:paraId="6E447080">
                  <w:pPr>
                    <w:keepNext w:val="0"/>
                    <w:keepLines w:val="0"/>
                    <w:suppressLineNumbers w:val="0"/>
                    <w:spacing w:before="0" w:beforeAutospacing="0" w:after="0" w:afterAutospacing="0"/>
                    <w:ind w:left="0" w:right="0"/>
                    <w:jc w:val="center"/>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spacing w:val="-1"/>
                      <w:szCs w:val="21"/>
                    </w:rPr>
                    <w:t>0.05t</w:t>
                  </w:r>
                </w:p>
              </w:tc>
              <w:tc>
                <w:tcPr>
                  <w:tcW w:w="575" w:type="pct"/>
                  <w:tcBorders>
                    <w:right w:val="single" w:color="auto" w:sz="4" w:space="0"/>
                  </w:tcBorders>
                  <w:noWrap w:val="0"/>
                  <w:vAlign w:val="center"/>
                </w:tcPr>
                <w:p w14:paraId="2ECCD416">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szCs w:val="21"/>
                    </w:rPr>
                    <w:t>桶装</w:t>
                  </w:r>
                </w:p>
              </w:tc>
              <w:tc>
                <w:tcPr>
                  <w:tcW w:w="487" w:type="pct"/>
                  <w:tcBorders>
                    <w:left w:val="single" w:color="auto" w:sz="4" w:space="0"/>
                  </w:tcBorders>
                  <w:noWrap w:val="0"/>
                  <w:vAlign w:val="center"/>
                </w:tcPr>
                <w:p w14:paraId="2198C2A2">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color w:val="auto"/>
                      <w:kern w:val="2"/>
                      <w:sz w:val="21"/>
                      <w:szCs w:val="21"/>
                      <w:lang w:val="en-US" w:eastAsia="zh-CN" w:bidi="ar-SA"/>
                    </w:rPr>
                  </w:pPr>
                  <w:r>
                    <w:rPr>
                      <w:rFonts w:hint="eastAsia" w:cs="宋体"/>
                      <w:color w:val="auto"/>
                      <w:szCs w:val="21"/>
                      <w:lang w:val="en-US" w:eastAsia="zh-CN"/>
                    </w:rPr>
                    <w:t>/</w:t>
                  </w:r>
                </w:p>
              </w:tc>
              <w:tc>
                <w:tcPr>
                  <w:tcW w:w="382" w:type="pct"/>
                  <w:tcBorders>
                    <w:left w:val="single" w:color="auto" w:sz="4" w:space="0"/>
                  </w:tcBorders>
                  <w:noWrap w:val="0"/>
                  <w:vAlign w:val="center"/>
                </w:tcPr>
                <w:p w14:paraId="3A207843">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szCs w:val="21"/>
                    </w:rPr>
                    <w:t>外购</w:t>
                  </w:r>
                </w:p>
              </w:tc>
              <w:tc>
                <w:tcPr>
                  <w:tcW w:w="536" w:type="pct"/>
                  <w:tcBorders>
                    <w:left w:val="single" w:color="auto" w:sz="4" w:space="0"/>
                  </w:tcBorders>
                  <w:noWrap w:val="0"/>
                  <w:vAlign w:val="center"/>
                </w:tcPr>
                <w:p w14:paraId="1AB6A06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color w:val="auto"/>
                      <w:kern w:val="2"/>
                      <w:sz w:val="21"/>
                      <w:szCs w:val="21"/>
                      <w:lang w:val="en-US" w:eastAsia="zh-CN" w:bidi="ar-SA"/>
                    </w:rPr>
                  </w:pPr>
                  <w:r>
                    <w:rPr>
                      <w:rFonts w:hint="eastAsia" w:cs="宋体"/>
                      <w:color w:val="auto"/>
                      <w:kern w:val="2"/>
                      <w:sz w:val="21"/>
                      <w:szCs w:val="21"/>
                      <w:lang w:val="en-US" w:eastAsia="zh-CN" w:bidi="ar-SA"/>
                    </w:rPr>
                    <w:t>按需购买，不在厂区存储</w:t>
                  </w:r>
                </w:p>
              </w:tc>
            </w:tr>
            <w:tr w14:paraId="68509DD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29" w:hRule="atLeast"/>
                <w:jc w:val="center"/>
              </w:trPr>
              <w:tc>
                <w:tcPr>
                  <w:tcW w:w="633" w:type="pct"/>
                  <w:vMerge w:val="restart"/>
                  <w:noWrap w:val="0"/>
                  <w:vAlign w:val="center"/>
                </w:tcPr>
                <w:p w14:paraId="0E85295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color w:val="auto"/>
                      <w:szCs w:val="21"/>
                    </w:rPr>
                  </w:pPr>
                  <w:r>
                    <w:rPr>
                      <w:rFonts w:hint="eastAsia" w:ascii="Times New Roman" w:hAnsi="Times New Roman" w:eastAsia="宋体" w:cs="宋体"/>
                      <w:color w:val="auto"/>
                      <w:szCs w:val="21"/>
                    </w:rPr>
                    <w:t>能耗</w:t>
                  </w:r>
                </w:p>
              </w:tc>
              <w:tc>
                <w:tcPr>
                  <w:tcW w:w="441" w:type="pct"/>
                  <w:noWrap w:val="0"/>
                  <w:vAlign w:val="center"/>
                </w:tcPr>
                <w:p w14:paraId="05EBB90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color w:val="auto"/>
                      <w:szCs w:val="21"/>
                    </w:rPr>
                  </w:pPr>
                  <w:r>
                    <w:rPr>
                      <w:rFonts w:hint="eastAsia" w:ascii="Times New Roman" w:hAnsi="Times New Roman" w:eastAsia="宋体" w:cs="宋体"/>
                      <w:color w:val="auto"/>
                      <w:szCs w:val="21"/>
                    </w:rPr>
                    <w:t>电</w:t>
                  </w:r>
                </w:p>
              </w:tc>
              <w:tc>
                <w:tcPr>
                  <w:tcW w:w="545" w:type="pct"/>
                  <w:noWrap w:val="0"/>
                  <w:vAlign w:val="center"/>
                </w:tcPr>
                <w:p w14:paraId="5B15DA6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color w:val="auto"/>
                      <w:szCs w:val="21"/>
                    </w:rPr>
                  </w:pPr>
                  <w:r>
                    <w:rPr>
                      <w:rFonts w:hint="eastAsia" w:ascii="Times New Roman" w:hAnsi="Times New Roman" w:eastAsia="宋体" w:cs="宋体"/>
                      <w:color w:val="auto"/>
                      <w:szCs w:val="21"/>
                    </w:rPr>
                    <w:t>/</w:t>
                  </w:r>
                </w:p>
              </w:tc>
              <w:tc>
                <w:tcPr>
                  <w:tcW w:w="611" w:type="pct"/>
                  <w:noWrap w:val="0"/>
                  <w:vAlign w:val="center"/>
                </w:tcPr>
                <w:p w14:paraId="028BE58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color w:val="auto"/>
                      <w:szCs w:val="21"/>
                    </w:rPr>
                  </w:pPr>
                  <w:r>
                    <w:rPr>
                      <w:rFonts w:hint="eastAsia" w:cs="宋体"/>
                      <w:color w:val="auto"/>
                      <w:szCs w:val="21"/>
                      <w:lang w:val="en-US" w:eastAsia="zh-CN"/>
                    </w:rPr>
                    <w:t>3</w:t>
                  </w:r>
                  <w:r>
                    <w:rPr>
                      <w:rFonts w:hint="eastAsia" w:ascii="Times New Roman" w:hAnsi="Times New Roman" w:eastAsia="宋体" w:cs="宋体"/>
                      <w:color w:val="auto"/>
                      <w:szCs w:val="21"/>
                      <w:lang w:val="en-US" w:eastAsia="zh-CN"/>
                    </w:rPr>
                    <w:t>0</w:t>
                  </w:r>
                  <w:r>
                    <w:rPr>
                      <w:rFonts w:hint="eastAsia" w:ascii="Times New Roman" w:hAnsi="Times New Roman" w:eastAsia="宋体" w:cs="宋体"/>
                      <w:color w:val="auto"/>
                      <w:szCs w:val="21"/>
                    </w:rPr>
                    <w:t>万kW·h</w:t>
                  </w:r>
                </w:p>
              </w:tc>
              <w:tc>
                <w:tcPr>
                  <w:tcW w:w="787" w:type="pct"/>
                  <w:noWrap w:val="0"/>
                  <w:vAlign w:val="center"/>
                </w:tcPr>
                <w:p w14:paraId="3A5F921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color w:val="auto"/>
                      <w:szCs w:val="21"/>
                    </w:rPr>
                  </w:pPr>
                  <w:r>
                    <w:rPr>
                      <w:rFonts w:hint="eastAsia" w:ascii="Times New Roman" w:hAnsi="Times New Roman" w:eastAsia="宋体" w:cs="宋体"/>
                      <w:color w:val="auto"/>
                      <w:szCs w:val="21"/>
                    </w:rPr>
                    <w:t>/</w:t>
                  </w:r>
                </w:p>
              </w:tc>
              <w:tc>
                <w:tcPr>
                  <w:tcW w:w="575" w:type="pct"/>
                  <w:tcBorders>
                    <w:right w:val="single" w:color="auto" w:sz="4" w:space="0"/>
                  </w:tcBorders>
                  <w:noWrap w:val="0"/>
                  <w:vAlign w:val="center"/>
                </w:tcPr>
                <w:p w14:paraId="5214A9D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color w:val="auto"/>
                      <w:szCs w:val="21"/>
                    </w:rPr>
                  </w:pPr>
                  <w:r>
                    <w:rPr>
                      <w:rFonts w:hint="eastAsia" w:ascii="Times New Roman" w:hAnsi="Times New Roman" w:eastAsia="宋体" w:cs="宋体"/>
                      <w:color w:val="auto"/>
                      <w:szCs w:val="21"/>
                    </w:rPr>
                    <w:t>/</w:t>
                  </w:r>
                </w:p>
              </w:tc>
              <w:tc>
                <w:tcPr>
                  <w:tcW w:w="487" w:type="pct"/>
                  <w:tcBorders>
                    <w:left w:val="single" w:color="auto" w:sz="4" w:space="0"/>
                  </w:tcBorders>
                  <w:noWrap w:val="0"/>
                  <w:vAlign w:val="center"/>
                </w:tcPr>
                <w:p w14:paraId="5248293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color w:val="auto"/>
                      <w:szCs w:val="21"/>
                    </w:rPr>
                  </w:pPr>
                  <w:r>
                    <w:rPr>
                      <w:rFonts w:hint="eastAsia" w:ascii="Times New Roman" w:hAnsi="Times New Roman" w:eastAsia="宋体" w:cs="宋体"/>
                      <w:color w:val="auto"/>
                      <w:szCs w:val="21"/>
                    </w:rPr>
                    <w:t>/</w:t>
                  </w:r>
                </w:p>
              </w:tc>
              <w:tc>
                <w:tcPr>
                  <w:tcW w:w="382" w:type="pct"/>
                  <w:tcBorders>
                    <w:left w:val="single" w:color="auto" w:sz="4" w:space="0"/>
                  </w:tcBorders>
                  <w:noWrap w:val="0"/>
                  <w:vAlign w:val="center"/>
                </w:tcPr>
                <w:p w14:paraId="4B29614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color w:val="auto"/>
                      <w:szCs w:val="21"/>
                    </w:rPr>
                  </w:pPr>
                  <w:r>
                    <w:rPr>
                      <w:rFonts w:hint="eastAsia" w:ascii="Times New Roman" w:hAnsi="Times New Roman" w:eastAsia="宋体" w:cs="宋体"/>
                      <w:color w:val="auto"/>
                      <w:szCs w:val="21"/>
                      <w:lang w:val="en-US" w:eastAsia="zh-CN"/>
                    </w:rPr>
                    <w:t>市政</w:t>
                  </w:r>
                  <w:r>
                    <w:rPr>
                      <w:rFonts w:hint="eastAsia" w:ascii="Times New Roman" w:hAnsi="Times New Roman" w:eastAsia="宋体" w:cs="宋体"/>
                      <w:color w:val="auto"/>
                      <w:szCs w:val="21"/>
                    </w:rPr>
                    <w:t>电网</w:t>
                  </w:r>
                </w:p>
              </w:tc>
              <w:tc>
                <w:tcPr>
                  <w:tcW w:w="536" w:type="pct"/>
                  <w:tcBorders>
                    <w:left w:val="single" w:color="auto" w:sz="4" w:space="0"/>
                  </w:tcBorders>
                  <w:noWrap w:val="0"/>
                  <w:vAlign w:val="center"/>
                </w:tcPr>
                <w:p w14:paraId="56641E4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color w:val="auto"/>
                      <w:szCs w:val="21"/>
                    </w:rPr>
                  </w:pPr>
                  <w:r>
                    <w:rPr>
                      <w:rFonts w:hint="eastAsia" w:ascii="Times New Roman" w:hAnsi="Times New Roman" w:eastAsia="宋体" w:cs="宋体"/>
                      <w:color w:val="auto"/>
                      <w:szCs w:val="21"/>
                    </w:rPr>
                    <w:t>/</w:t>
                  </w:r>
                </w:p>
              </w:tc>
            </w:tr>
            <w:tr w14:paraId="0AE0BE5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18" w:hRule="atLeast"/>
                <w:jc w:val="center"/>
              </w:trPr>
              <w:tc>
                <w:tcPr>
                  <w:tcW w:w="633" w:type="pct"/>
                  <w:vMerge w:val="continue"/>
                  <w:noWrap w:val="0"/>
                  <w:vAlign w:val="center"/>
                </w:tcPr>
                <w:p w14:paraId="65D7B08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color w:val="auto"/>
                      <w:szCs w:val="21"/>
                    </w:rPr>
                  </w:pPr>
                </w:p>
              </w:tc>
              <w:tc>
                <w:tcPr>
                  <w:tcW w:w="441" w:type="pct"/>
                  <w:noWrap w:val="0"/>
                  <w:vAlign w:val="center"/>
                </w:tcPr>
                <w:p w14:paraId="1B7A32E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color w:val="auto"/>
                      <w:szCs w:val="21"/>
                    </w:rPr>
                  </w:pPr>
                  <w:r>
                    <w:rPr>
                      <w:rFonts w:hint="eastAsia" w:ascii="Times New Roman" w:hAnsi="Times New Roman" w:eastAsia="宋体" w:cs="宋体"/>
                      <w:color w:val="auto"/>
                      <w:szCs w:val="21"/>
                    </w:rPr>
                    <w:t>水</w:t>
                  </w:r>
                </w:p>
              </w:tc>
              <w:tc>
                <w:tcPr>
                  <w:tcW w:w="545" w:type="pct"/>
                  <w:noWrap w:val="0"/>
                  <w:vAlign w:val="center"/>
                </w:tcPr>
                <w:p w14:paraId="0707F19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color w:val="auto"/>
                      <w:szCs w:val="21"/>
                    </w:rPr>
                  </w:pPr>
                  <w:r>
                    <w:rPr>
                      <w:rFonts w:hint="eastAsia" w:ascii="Times New Roman" w:hAnsi="Times New Roman" w:eastAsia="宋体" w:cs="宋体"/>
                      <w:color w:val="auto"/>
                      <w:szCs w:val="21"/>
                    </w:rPr>
                    <w:t>/</w:t>
                  </w:r>
                </w:p>
              </w:tc>
              <w:tc>
                <w:tcPr>
                  <w:tcW w:w="611" w:type="pct"/>
                  <w:noWrap w:val="0"/>
                  <w:vAlign w:val="center"/>
                </w:tcPr>
                <w:p w14:paraId="7930722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color w:val="auto"/>
                      <w:szCs w:val="21"/>
                    </w:rPr>
                  </w:pPr>
                  <w:r>
                    <w:rPr>
                      <w:rFonts w:hint="eastAsia" w:cs="宋体"/>
                      <w:color w:val="auto"/>
                      <w:szCs w:val="21"/>
                      <w:highlight w:val="none"/>
                      <w:lang w:val="en-US" w:eastAsia="zh-CN"/>
                    </w:rPr>
                    <w:t>8429.2</w:t>
                  </w:r>
                  <w:r>
                    <w:rPr>
                      <w:rFonts w:hint="eastAsia" w:ascii="Times New Roman" w:hAnsi="Times New Roman" w:eastAsia="宋体" w:cs="宋体"/>
                      <w:color w:val="auto"/>
                      <w:szCs w:val="21"/>
                      <w:highlight w:val="none"/>
                    </w:rPr>
                    <w:t>m</w:t>
                  </w:r>
                  <w:r>
                    <w:rPr>
                      <w:rFonts w:hint="eastAsia" w:ascii="Times New Roman" w:hAnsi="Times New Roman" w:eastAsia="宋体" w:cs="宋体"/>
                      <w:color w:val="auto"/>
                      <w:szCs w:val="21"/>
                      <w:highlight w:val="none"/>
                      <w:vertAlign w:val="superscript"/>
                    </w:rPr>
                    <w:t>3</w:t>
                  </w:r>
                </w:p>
              </w:tc>
              <w:tc>
                <w:tcPr>
                  <w:tcW w:w="787" w:type="pct"/>
                  <w:noWrap w:val="0"/>
                  <w:vAlign w:val="center"/>
                </w:tcPr>
                <w:p w14:paraId="53B8B24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color w:val="auto"/>
                      <w:szCs w:val="21"/>
                    </w:rPr>
                  </w:pPr>
                  <w:r>
                    <w:rPr>
                      <w:rFonts w:hint="eastAsia" w:ascii="Times New Roman" w:hAnsi="Times New Roman" w:eastAsia="宋体" w:cs="宋体"/>
                      <w:color w:val="auto"/>
                      <w:szCs w:val="21"/>
                    </w:rPr>
                    <w:t>/</w:t>
                  </w:r>
                </w:p>
              </w:tc>
              <w:tc>
                <w:tcPr>
                  <w:tcW w:w="575" w:type="pct"/>
                  <w:tcBorders>
                    <w:right w:val="single" w:color="auto" w:sz="4" w:space="0"/>
                  </w:tcBorders>
                  <w:noWrap w:val="0"/>
                  <w:vAlign w:val="center"/>
                </w:tcPr>
                <w:p w14:paraId="4A78558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color w:val="auto"/>
                      <w:szCs w:val="21"/>
                    </w:rPr>
                  </w:pPr>
                  <w:r>
                    <w:rPr>
                      <w:rFonts w:hint="eastAsia" w:ascii="Times New Roman" w:hAnsi="Times New Roman" w:eastAsia="宋体" w:cs="宋体"/>
                      <w:color w:val="auto"/>
                      <w:szCs w:val="21"/>
                    </w:rPr>
                    <w:t>/</w:t>
                  </w:r>
                </w:p>
              </w:tc>
              <w:tc>
                <w:tcPr>
                  <w:tcW w:w="487" w:type="pct"/>
                  <w:tcBorders>
                    <w:left w:val="single" w:color="auto" w:sz="4" w:space="0"/>
                  </w:tcBorders>
                  <w:noWrap w:val="0"/>
                  <w:vAlign w:val="center"/>
                </w:tcPr>
                <w:p w14:paraId="7638857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color w:val="auto"/>
                      <w:szCs w:val="21"/>
                    </w:rPr>
                  </w:pPr>
                  <w:r>
                    <w:rPr>
                      <w:rFonts w:hint="eastAsia" w:ascii="Times New Roman" w:hAnsi="Times New Roman" w:eastAsia="宋体" w:cs="宋体"/>
                      <w:color w:val="auto"/>
                      <w:szCs w:val="21"/>
                    </w:rPr>
                    <w:t>/</w:t>
                  </w:r>
                </w:p>
              </w:tc>
              <w:tc>
                <w:tcPr>
                  <w:tcW w:w="382" w:type="pct"/>
                  <w:tcBorders>
                    <w:left w:val="single" w:color="auto" w:sz="4" w:space="0"/>
                  </w:tcBorders>
                  <w:noWrap w:val="0"/>
                  <w:vAlign w:val="center"/>
                </w:tcPr>
                <w:p w14:paraId="79365B9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color w:val="auto"/>
                      <w:szCs w:val="21"/>
                      <w:lang w:val="en-US" w:eastAsia="zh-CN"/>
                    </w:rPr>
                  </w:pPr>
                  <w:r>
                    <w:rPr>
                      <w:rFonts w:hint="eastAsia" w:ascii="Times New Roman" w:hAnsi="Times New Roman" w:eastAsia="宋体" w:cs="宋体"/>
                      <w:color w:val="auto"/>
                      <w:szCs w:val="21"/>
                      <w:lang w:val="en-US" w:eastAsia="zh-CN"/>
                    </w:rPr>
                    <w:t>市政</w:t>
                  </w:r>
                  <w:r>
                    <w:rPr>
                      <w:rFonts w:hint="eastAsia" w:ascii="Times New Roman" w:hAnsi="Times New Roman" w:eastAsia="宋体" w:cs="宋体"/>
                      <w:color w:val="auto"/>
                      <w:szCs w:val="21"/>
                    </w:rPr>
                    <w:t>管网</w:t>
                  </w:r>
                  <w:r>
                    <w:rPr>
                      <w:rFonts w:hint="eastAsia" w:cs="宋体"/>
                      <w:color w:val="auto"/>
                      <w:szCs w:val="21"/>
                      <w:lang w:val="en-US" w:eastAsia="zh-CN"/>
                    </w:rPr>
                    <w:t>/地下水</w:t>
                  </w:r>
                </w:p>
              </w:tc>
              <w:tc>
                <w:tcPr>
                  <w:tcW w:w="536" w:type="pct"/>
                  <w:tcBorders>
                    <w:left w:val="single" w:color="auto" w:sz="4" w:space="0"/>
                  </w:tcBorders>
                  <w:noWrap w:val="0"/>
                  <w:vAlign w:val="center"/>
                </w:tcPr>
                <w:p w14:paraId="03507B9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color w:val="auto"/>
                      <w:szCs w:val="21"/>
                    </w:rPr>
                  </w:pPr>
                  <w:r>
                    <w:rPr>
                      <w:rFonts w:hint="eastAsia" w:ascii="Times New Roman" w:hAnsi="Times New Roman" w:eastAsia="宋体" w:cs="宋体"/>
                      <w:color w:val="auto"/>
                      <w:szCs w:val="21"/>
                    </w:rPr>
                    <w:t>/</w:t>
                  </w:r>
                </w:p>
              </w:tc>
            </w:tr>
            <w:tr w14:paraId="667BBC7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6" w:hRule="atLeast"/>
                <w:jc w:val="center"/>
              </w:trPr>
              <w:tc>
                <w:tcPr>
                  <w:tcW w:w="5000" w:type="pct"/>
                  <w:gridSpan w:val="9"/>
                  <w:noWrap w:val="0"/>
                  <w:vAlign w:val="center"/>
                </w:tcPr>
                <w:p w14:paraId="4C8B06B8">
                  <w:pPr>
                    <w:keepNext w:val="0"/>
                    <w:keepLines w:val="0"/>
                    <w:suppressLineNumbers w:val="0"/>
                    <w:adjustRightInd w:val="0"/>
                    <w:snapToGrid w:val="0"/>
                    <w:spacing w:before="0" w:beforeAutospacing="0" w:after="0" w:afterAutospacing="0"/>
                    <w:ind w:left="0" w:right="0"/>
                    <w:jc w:val="both"/>
                    <w:rPr>
                      <w:rFonts w:hint="default" w:ascii="Times New Roman" w:hAnsi="Times New Roman" w:eastAsia="宋体" w:cs="宋体"/>
                      <w:color w:val="auto"/>
                      <w:szCs w:val="21"/>
                      <w:lang w:val="en-US" w:eastAsia="zh-CN"/>
                    </w:rPr>
                  </w:pPr>
                  <w:r>
                    <w:rPr>
                      <w:rFonts w:hint="eastAsia" w:cs="宋体"/>
                      <w:color w:val="auto"/>
                      <w:szCs w:val="21"/>
                      <w:lang w:val="en-US" w:eastAsia="zh-CN"/>
                    </w:rPr>
                    <w:t>注：项目采取湿料加工工艺，原料平均含水率约2%，产品含水率≥10%，本项目以10%计</w:t>
                  </w:r>
                </w:p>
              </w:tc>
            </w:tr>
          </w:tbl>
          <w:p w14:paraId="2604958D">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80" w:firstLineChars="200"/>
              <w:textAlignment w:val="auto"/>
              <w:rPr>
                <w:rFonts w:hint="default" w:cs="宋体"/>
                <w:b w:val="0"/>
                <w:bCs/>
                <w:color w:val="auto"/>
                <w:sz w:val="24"/>
                <w:lang w:val="en-US" w:eastAsia="zh-CN"/>
              </w:rPr>
            </w:pPr>
            <w:r>
              <w:rPr>
                <w:rFonts w:hint="eastAsia" w:cs="宋体"/>
                <w:b w:val="0"/>
                <w:bCs/>
                <w:color w:val="auto"/>
                <w:sz w:val="24"/>
                <w:lang w:val="en-US" w:eastAsia="zh-CN"/>
              </w:rPr>
              <w:t>本项目邻近S304省道，项目原料及成品运输均依托S304省道进行。项目原料主要来源于邻水县城区、梁板镇、袁市镇、丰禾镇、石滓镇、兴仁镇等S304省道沿途的城镇，项目成品主要供应邻水县城区建设使用。</w:t>
            </w:r>
          </w:p>
          <w:p w14:paraId="32275364">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82" w:firstLineChars="200"/>
              <w:textAlignment w:val="auto"/>
              <w:rPr>
                <w:rFonts w:hint="eastAsia" w:ascii="Times New Roman" w:hAnsi="Times New Roman" w:eastAsia="宋体" w:cs="宋体"/>
                <w:b/>
                <w:bCs w:val="0"/>
                <w:color w:val="auto"/>
                <w:sz w:val="24"/>
              </w:rPr>
            </w:pPr>
            <w:r>
              <w:rPr>
                <w:rFonts w:hint="eastAsia" w:cs="宋体"/>
                <w:b/>
                <w:bCs w:val="0"/>
                <w:color w:val="auto"/>
                <w:sz w:val="24"/>
                <w:lang w:eastAsia="zh-CN"/>
              </w:rPr>
              <w:t>（</w:t>
            </w:r>
            <w:r>
              <w:rPr>
                <w:rFonts w:hint="eastAsia" w:cs="宋体"/>
                <w:b/>
                <w:bCs w:val="0"/>
                <w:color w:val="auto"/>
                <w:sz w:val="24"/>
                <w:lang w:val="en-US" w:eastAsia="zh-CN"/>
              </w:rPr>
              <w:t>1</w:t>
            </w:r>
            <w:r>
              <w:rPr>
                <w:rFonts w:hint="eastAsia" w:cs="宋体"/>
                <w:b/>
                <w:bCs w:val="0"/>
                <w:color w:val="auto"/>
                <w:sz w:val="24"/>
                <w:lang w:eastAsia="zh-CN"/>
              </w:rPr>
              <w:t>）</w:t>
            </w:r>
            <w:r>
              <w:rPr>
                <w:rFonts w:hint="eastAsia" w:ascii="Times New Roman" w:hAnsi="Times New Roman" w:eastAsia="宋体" w:cs="宋体"/>
                <w:b/>
                <w:bCs w:val="0"/>
                <w:color w:val="auto"/>
                <w:sz w:val="24"/>
              </w:rPr>
              <w:t>原料性质:</w:t>
            </w:r>
          </w:p>
          <w:p w14:paraId="574DC057">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82" w:firstLineChars="200"/>
              <w:textAlignment w:val="auto"/>
              <w:rPr>
                <w:rFonts w:hint="default" w:ascii="Times New Roman" w:hAnsi="Times New Roman" w:eastAsia="宋体" w:cs="宋体"/>
                <w:b w:val="0"/>
                <w:bCs/>
                <w:color w:val="auto"/>
                <w:sz w:val="24"/>
                <w:lang w:val="en-US" w:eastAsia="zh-CN"/>
              </w:rPr>
            </w:pPr>
            <w:r>
              <w:rPr>
                <w:rFonts w:hint="eastAsia" w:cs="宋体"/>
                <w:b/>
                <w:bCs w:val="0"/>
                <w:color w:val="auto"/>
                <w:sz w:val="24"/>
                <w:lang w:val="en-US" w:eastAsia="zh-CN"/>
              </w:rPr>
              <w:t>鹅卵石：</w:t>
            </w:r>
            <w:r>
              <w:rPr>
                <w:rFonts w:hint="eastAsia" w:cs="宋体"/>
                <w:b w:val="0"/>
                <w:bCs/>
                <w:color w:val="auto"/>
                <w:sz w:val="24"/>
                <w:lang w:val="en-US" w:eastAsia="zh-CN"/>
              </w:rPr>
              <w:t>本项目生产使用的鹅卵石来源于已获采砂权的河道开采的砂石、已获批的河道整治工程产生的河道砂石等，评价要求建设单位必须采购有合法手续的鹅卵石原料，购买原料前需查验出售方合法资质材料并签订购买合同。</w:t>
            </w:r>
          </w:p>
          <w:p w14:paraId="1997DF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lang w:val="en-US" w:eastAsia="zh-CN"/>
              </w:rPr>
            </w:pPr>
            <w:r>
              <w:rPr>
                <w:rFonts w:hint="eastAsia" w:cs="宋体"/>
                <w:b/>
                <w:bCs w:val="0"/>
                <w:color w:val="auto"/>
                <w:sz w:val="24"/>
                <w:lang w:val="en-US" w:eastAsia="zh-CN"/>
              </w:rPr>
              <w:t>建筑废料</w:t>
            </w:r>
            <w:r>
              <w:rPr>
                <w:rFonts w:hint="eastAsia" w:cs="宋体"/>
                <w:b/>
                <w:bCs w:val="0"/>
                <w:color w:val="auto"/>
                <w:sz w:val="24"/>
                <w:lang w:eastAsia="zh-CN"/>
              </w:rPr>
              <w:t>：</w:t>
            </w:r>
            <w:r>
              <w:rPr>
                <w:rFonts w:hint="eastAsia" w:ascii="Times New Roman" w:hAnsi="Times New Roman" w:eastAsia="宋体" w:cs="宋体"/>
                <w:b w:val="0"/>
                <w:bCs/>
                <w:color w:val="auto"/>
                <w:sz w:val="24"/>
              </w:rPr>
              <w:t>本项目回收加工利用</w:t>
            </w:r>
            <w:r>
              <w:rPr>
                <w:rFonts w:hint="eastAsia" w:cs="宋体"/>
                <w:b w:val="0"/>
                <w:bCs/>
                <w:color w:val="auto"/>
                <w:sz w:val="24"/>
                <w:lang w:val="en-US" w:eastAsia="zh-CN"/>
              </w:rPr>
              <w:t>的建筑废料</w:t>
            </w:r>
            <w:r>
              <w:rPr>
                <w:rFonts w:hint="eastAsia" w:ascii="Times New Roman" w:hAnsi="Times New Roman" w:eastAsia="宋体" w:cs="宋体"/>
                <w:b w:val="0"/>
                <w:bCs/>
                <w:color w:val="auto"/>
                <w:sz w:val="24"/>
              </w:rPr>
              <w:t>主要来源于</w:t>
            </w:r>
            <w:r>
              <w:rPr>
                <w:rFonts w:hint="eastAsia" w:cs="宋体"/>
                <w:b w:val="0"/>
                <w:bCs/>
                <w:color w:val="auto"/>
                <w:sz w:val="24"/>
                <w:lang w:val="en-US" w:eastAsia="zh-CN"/>
              </w:rPr>
              <w:t>广安市</w:t>
            </w:r>
            <w:r>
              <w:rPr>
                <w:rFonts w:hint="eastAsia" w:ascii="Times New Roman" w:hAnsi="Times New Roman" w:eastAsia="宋体" w:cs="宋体"/>
                <w:b w:val="0"/>
                <w:bCs/>
                <w:color w:val="auto"/>
                <w:sz w:val="24"/>
              </w:rPr>
              <w:t>城镇化建设</w:t>
            </w:r>
            <w:r>
              <w:rPr>
                <w:rFonts w:hint="eastAsia" w:cs="宋体"/>
                <w:b w:val="0"/>
                <w:bCs/>
                <w:color w:val="auto"/>
                <w:sz w:val="24"/>
                <w:lang w:eastAsia="zh-CN"/>
              </w:rPr>
              <w:t>、</w:t>
            </w:r>
            <w:r>
              <w:rPr>
                <w:rFonts w:hint="eastAsia" w:ascii="Times New Roman" w:hAnsi="Times New Roman" w:eastAsia="宋体" w:cs="宋体"/>
                <w:b w:val="0"/>
                <w:bCs/>
                <w:color w:val="auto"/>
                <w:sz w:val="24"/>
              </w:rPr>
              <w:t>拆迁改造及农村住房改造过程中产生的建筑</w:t>
            </w:r>
            <w:r>
              <w:rPr>
                <w:rFonts w:hint="eastAsia" w:cs="宋体"/>
                <w:b w:val="0"/>
                <w:bCs/>
                <w:color w:val="auto"/>
                <w:sz w:val="24"/>
                <w:lang w:val="en-US" w:eastAsia="zh-CN"/>
              </w:rPr>
              <w:t>废料</w:t>
            </w:r>
            <w:r>
              <w:rPr>
                <w:rFonts w:hint="eastAsia" w:cs="宋体"/>
                <w:b w:val="0"/>
                <w:bCs/>
                <w:color w:val="auto"/>
                <w:sz w:val="24"/>
                <w:lang w:eastAsia="zh-CN"/>
              </w:rPr>
              <w:t>。</w:t>
            </w:r>
            <w:r>
              <w:rPr>
                <w:rFonts w:hint="eastAsia" w:cs="宋体"/>
                <w:b w:val="0"/>
                <w:bCs/>
                <w:color w:val="auto"/>
                <w:sz w:val="24"/>
                <w:lang w:val="en-US" w:eastAsia="zh-CN"/>
              </w:rPr>
              <w:t>评价要求建设单位用于生产的建筑废料均为经筛选后的</w:t>
            </w:r>
            <w:r>
              <w:rPr>
                <w:rFonts w:hint="eastAsia" w:ascii="Times New Roman" w:hAnsi="Times New Roman" w:eastAsia="宋体" w:cs="宋体"/>
                <w:b w:val="0"/>
                <w:bCs/>
                <w:color w:val="auto"/>
                <w:sz w:val="24"/>
              </w:rPr>
              <w:t>废旧混凝土</w:t>
            </w:r>
            <w:r>
              <w:rPr>
                <w:rFonts w:hint="eastAsia" w:cs="宋体"/>
                <w:b w:val="0"/>
                <w:bCs/>
                <w:color w:val="auto"/>
                <w:sz w:val="24"/>
                <w:lang w:val="en-US" w:eastAsia="zh-CN"/>
              </w:rPr>
              <w:t>块</w:t>
            </w:r>
            <w:r>
              <w:rPr>
                <w:rFonts w:hint="eastAsia" w:ascii="Times New Roman" w:hAnsi="Times New Roman" w:eastAsia="宋体" w:cs="宋体"/>
                <w:b w:val="0"/>
                <w:bCs/>
                <w:color w:val="auto"/>
                <w:sz w:val="24"/>
              </w:rPr>
              <w:t>、碎砖瓦为主。</w:t>
            </w:r>
            <w:r>
              <w:rPr>
                <w:rFonts w:hint="eastAsia" w:cs="宋体"/>
                <w:b w:val="0"/>
                <w:bCs/>
                <w:color w:val="auto"/>
                <w:sz w:val="24"/>
                <w:lang w:val="en-US" w:eastAsia="zh-CN"/>
              </w:rPr>
              <w:t>建筑废料中不得有</w:t>
            </w:r>
            <w:r>
              <w:rPr>
                <w:rFonts w:hint="eastAsia" w:ascii="Times New Roman" w:hAnsi="Times New Roman" w:eastAsia="宋体" w:cs="宋体"/>
                <w:b w:val="0"/>
                <w:bCs/>
                <w:color w:val="auto"/>
                <w:sz w:val="24"/>
              </w:rPr>
              <w:t>废沥青、废金属及含有毒有害组分的危险废物，</w:t>
            </w:r>
            <w:r>
              <w:rPr>
                <w:rFonts w:hint="eastAsia" w:cs="宋体"/>
                <w:b w:val="0"/>
                <w:bCs/>
                <w:color w:val="auto"/>
                <w:sz w:val="24"/>
                <w:lang w:val="en-US" w:eastAsia="zh-CN"/>
              </w:rPr>
              <w:t>所有进入厂区的建筑废料可直接用于生产，厂区不涉及原料筛选工序</w:t>
            </w:r>
            <w:r>
              <w:rPr>
                <w:rFonts w:hint="eastAsia" w:ascii="Times New Roman" w:hAnsi="Times New Roman" w:eastAsia="宋体" w:cs="宋体"/>
                <w:b w:val="0"/>
                <w:bCs/>
                <w:color w:val="auto"/>
                <w:sz w:val="24"/>
              </w:rPr>
              <w:t>。</w:t>
            </w:r>
            <w:r>
              <w:rPr>
                <w:rFonts w:hint="eastAsia" w:cs="Times New Roman"/>
                <w:kern w:val="0"/>
                <w:sz w:val="24"/>
                <w:vertAlign w:val="baseline"/>
                <w:lang w:val="en-US" w:eastAsia="zh-CN"/>
              </w:rPr>
              <w:t>根据广安市固体废物污染环境防治信息发布内容，广安市建筑垃圾产生量约230万t/a。《关于进一步加强城市建筑垃圾治理的意见》提出到2027年全国地级及以上城市建筑垃圾平均资源化利用率需达到50%以上，广安市作为重点治理区域，未来将加强设施规划与跨区域协作，推动建筑垃圾变废为宝。本项目年处理建筑废料1万吨，区域城市建设产生的建筑废料能满足本项目生产需求。</w:t>
            </w:r>
          </w:p>
          <w:p w14:paraId="3ECBDD61">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82" w:firstLineChars="200"/>
              <w:textAlignment w:val="auto"/>
              <w:rPr>
                <w:rFonts w:hint="eastAsia" w:ascii="Times New Roman" w:hAnsi="Times New Roman" w:eastAsia="宋体" w:cs="宋体"/>
                <w:b/>
                <w:color w:val="auto"/>
                <w:sz w:val="24"/>
              </w:rPr>
            </w:pPr>
            <w:r>
              <w:rPr>
                <w:rFonts w:hint="eastAsia" w:ascii="Times New Roman" w:hAnsi="Times New Roman" w:eastAsia="宋体" w:cs="宋体"/>
                <w:b/>
                <w:color w:val="auto"/>
                <w:sz w:val="24"/>
              </w:rPr>
              <w:t>（</w:t>
            </w:r>
            <w:r>
              <w:rPr>
                <w:rFonts w:hint="eastAsia" w:cs="宋体"/>
                <w:b/>
                <w:color w:val="auto"/>
                <w:sz w:val="24"/>
                <w:lang w:val="en-US" w:eastAsia="zh-CN"/>
              </w:rPr>
              <w:t>2</w:t>
            </w:r>
            <w:r>
              <w:rPr>
                <w:rFonts w:hint="eastAsia" w:ascii="Times New Roman" w:hAnsi="Times New Roman" w:eastAsia="宋体" w:cs="宋体"/>
                <w:b/>
                <w:color w:val="auto"/>
                <w:sz w:val="24"/>
              </w:rPr>
              <w:t>）主要原辅材料理化性质</w:t>
            </w:r>
          </w:p>
          <w:p w14:paraId="2DED166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eastAsia" w:ascii="Times New Roman" w:hAnsi="Times New Roman" w:eastAsia="宋体" w:cs="宋体"/>
                <w:b/>
                <w:bCs/>
                <w:color w:val="auto"/>
                <w:sz w:val="24"/>
                <w:lang w:val="en-US" w:eastAsia="zh-CN"/>
              </w:rPr>
            </w:pPr>
            <w:r>
              <w:rPr>
                <w:rFonts w:hint="eastAsia" w:ascii="Times New Roman" w:hAnsi="Times New Roman" w:eastAsia="宋体" w:cs="宋体"/>
                <w:b/>
                <w:bCs/>
                <w:color w:val="auto"/>
                <w:sz w:val="24"/>
              </w:rPr>
              <w:t>PAM絮凝剂</w:t>
            </w:r>
            <w:r>
              <w:rPr>
                <w:rFonts w:hint="eastAsia" w:cs="宋体"/>
                <w:b/>
                <w:bCs/>
                <w:color w:val="auto"/>
                <w:sz w:val="24"/>
                <w:lang w:val="en-US" w:eastAsia="zh-CN"/>
              </w:rPr>
              <w:t>:</w:t>
            </w:r>
            <w:r>
              <w:rPr>
                <w:rFonts w:hint="eastAsia" w:ascii="Times New Roman" w:hAnsi="Times New Roman" w:eastAsia="宋体" w:cs="宋体"/>
                <w:color w:val="auto"/>
                <w:sz w:val="24"/>
                <w:shd w:val="clear" w:color="auto" w:fill="FFFFFF"/>
                <w:lang w:val="en-US" w:eastAsia="zh-CN"/>
              </w:rPr>
              <w:t>聚丙烯酰胺(PAM)絮凝剂是一种</w:t>
            </w:r>
            <w:r>
              <w:rPr>
                <w:rFonts w:hint="eastAsia" w:cs="宋体"/>
                <w:color w:val="auto"/>
                <w:sz w:val="24"/>
                <w:shd w:val="clear" w:color="auto" w:fill="FFFFFF"/>
                <w:lang w:val="en-US" w:eastAsia="zh-CN"/>
              </w:rPr>
              <w:t>线性</w:t>
            </w:r>
            <w:r>
              <w:rPr>
                <w:rFonts w:hint="eastAsia" w:ascii="Times New Roman" w:hAnsi="Times New Roman" w:eastAsia="宋体" w:cs="宋体"/>
                <w:color w:val="auto"/>
                <w:sz w:val="24"/>
                <w:shd w:val="clear" w:color="auto" w:fill="FFFFFF"/>
                <w:lang w:val="en-US" w:eastAsia="zh-CN"/>
              </w:rPr>
              <w:t>高分子聚合物</w:t>
            </w:r>
            <w:r>
              <w:rPr>
                <w:rFonts w:hint="eastAsia" w:cs="宋体"/>
                <w:color w:val="auto"/>
                <w:sz w:val="24"/>
                <w:shd w:val="clear" w:color="auto" w:fill="FFFFFF"/>
                <w:lang w:val="en-US" w:eastAsia="zh-CN"/>
              </w:rPr>
              <w:t>，为白色或微黄色粉末/颗粒，易溶于水(水溶液呈透明黏稠状)，几乎不溶于苯、酯类等有机溶剂，吸湿性随离子度增加而增强，热稳定性较好(100℃以下稳定，150℃以上易分解)。</w:t>
            </w:r>
            <w:r>
              <w:rPr>
                <w:rFonts w:hint="eastAsia" w:cs="宋体"/>
                <w:b w:val="0"/>
                <w:bCs w:val="0"/>
                <w:color w:val="auto"/>
                <w:sz w:val="24"/>
                <w:shd w:val="clear" w:color="auto" w:fill="FFFFFF"/>
                <w:lang w:val="en-US" w:eastAsia="zh-CN"/>
              </w:rPr>
              <w:t>分子链含酰胺基，可通过电中和、吸附架桥作用降低颗粒动电位，促进絮凝，同时也可通过长链吸附油滴，形成絮体，在石油类污染处理和油田作业中也具有显著效果。</w:t>
            </w:r>
          </w:p>
          <w:p w14:paraId="62CB001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eastAsia" w:ascii="Times New Roman" w:hAnsi="Times New Roman" w:eastAsia="宋体" w:cs="宋体"/>
                <w:color w:val="auto"/>
                <w:sz w:val="24"/>
                <w:shd w:val="clear" w:color="auto" w:fill="FFFFFF"/>
              </w:rPr>
            </w:pPr>
            <w:r>
              <w:rPr>
                <w:rFonts w:hint="eastAsia" w:ascii="Times New Roman" w:hAnsi="Times New Roman" w:eastAsia="宋体" w:cs="宋体"/>
                <w:b/>
                <w:bCs/>
                <w:color w:val="auto"/>
                <w:sz w:val="24"/>
              </w:rPr>
              <w:t>机油：</w:t>
            </w:r>
            <w:r>
              <w:rPr>
                <w:rFonts w:hint="eastAsia" w:ascii="Times New Roman" w:hAnsi="Times New Roman" w:eastAsia="宋体" w:cs="宋体"/>
                <w:color w:val="auto"/>
                <w:sz w:val="24"/>
                <w:shd w:val="clear" w:color="auto" w:fill="FFFFFF"/>
              </w:rPr>
              <w:t>淡黄色黏稠液体，溶于苯、乙醇、乙醚、氯仿、丙酮等多数有机溶剂。可燃液体，火灾危险性为丙B类；遇明火、高热可燃，燃烧后产生CO、CO</w:t>
            </w:r>
            <w:r>
              <w:rPr>
                <w:rFonts w:hint="eastAsia" w:ascii="Times New Roman" w:hAnsi="Times New Roman" w:eastAsia="宋体" w:cs="宋体"/>
                <w:color w:val="auto"/>
                <w:sz w:val="24"/>
                <w:shd w:val="clear" w:color="auto" w:fill="FFFFFF"/>
                <w:vertAlign w:val="subscript"/>
              </w:rPr>
              <w:t>2</w:t>
            </w:r>
            <w:r>
              <w:rPr>
                <w:rFonts w:hint="eastAsia" w:ascii="Times New Roman" w:hAnsi="Times New Roman" w:eastAsia="宋体" w:cs="宋体"/>
                <w:color w:val="auto"/>
                <w:sz w:val="24"/>
                <w:shd w:val="clear" w:color="auto" w:fill="FFFFFF"/>
              </w:rPr>
              <w:t>等有毒有害气体。机油主要对发动机起到润滑、清洁、冷却、密封、减磨等作用。</w:t>
            </w:r>
          </w:p>
          <w:p w14:paraId="5D930937">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color w:val="auto"/>
                <w:sz w:val="24"/>
              </w:rPr>
            </w:pPr>
            <w:r>
              <w:rPr>
                <w:rFonts w:hint="eastAsia" w:ascii="Times New Roman" w:hAnsi="Times New Roman" w:eastAsia="宋体" w:cs="Times New Roman"/>
                <w:b/>
                <w:color w:val="auto"/>
                <w:sz w:val="24"/>
                <w:lang w:val="en-US" w:eastAsia="zh-CN"/>
              </w:rPr>
              <w:t>三</w:t>
            </w:r>
            <w:r>
              <w:rPr>
                <w:rFonts w:hint="default" w:ascii="Times New Roman" w:hAnsi="Times New Roman" w:eastAsia="宋体" w:cs="Times New Roman"/>
                <w:b/>
                <w:color w:val="auto"/>
                <w:sz w:val="24"/>
              </w:rPr>
              <w:t>、公用工程及辅助工程</w:t>
            </w:r>
          </w:p>
          <w:p w14:paraId="39D116A0">
            <w:pPr>
              <w:keepNext w:val="0"/>
              <w:keepLines w:val="0"/>
              <w:suppressLineNumbers w:val="0"/>
              <w:snapToGrid w:val="0"/>
              <w:spacing w:before="0" w:beforeAutospacing="0" w:after="0" w:afterAutospacing="0" w:line="360" w:lineRule="auto"/>
              <w:ind w:left="0" w:right="0" w:firstLine="482" w:firstLineChars="200"/>
              <w:rPr>
                <w:rFonts w:hint="default" w:ascii="Times New Roman" w:hAnsi="Times New Roman" w:eastAsia="宋体" w:cs="Times New Roman"/>
                <w:color w:val="auto"/>
                <w:sz w:val="24"/>
              </w:rPr>
            </w:pPr>
            <w:r>
              <w:rPr>
                <w:rFonts w:hint="default" w:ascii="Times New Roman" w:hAnsi="Times New Roman" w:eastAsia="宋体" w:cs="Times New Roman"/>
                <w:b/>
                <w:bCs/>
                <w:color w:val="auto"/>
                <w:sz w:val="24"/>
              </w:rPr>
              <w:t>1、供电</w:t>
            </w:r>
          </w:p>
          <w:p w14:paraId="1E519F6B">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由市政供电网络供给。</w:t>
            </w:r>
          </w:p>
          <w:p w14:paraId="5B7CAC11">
            <w:pPr>
              <w:keepNext w:val="0"/>
              <w:keepLines w:val="0"/>
              <w:suppressLineNumbers w:val="0"/>
              <w:snapToGrid w:val="0"/>
              <w:spacing w:before="0" w:beforeAutospacing="0" w:after="0" w:afterAutospacing="0" w:line="360" w:lineRule="auto"/>
              <w:ind w:left="0" w:right="0" w:firstLine="482" w:firstLineChars="200"/>
              <w:rPr>
                <w:rFonts w:hint="default" w:ascii="Times New Roman" w:hAnsi="Times New Roman" w:eastAsia="宋体" w:cs="Times New Roman"/>
                <w:color w:val="auto"/>
                <w:sz w:val="24"/>
              </w:rPr>
            </w:pPr>
            <w:r>
              <w:rPr>
                <w:rFonts w:hint="eastAsia" w:cs="Times New Roman"/>
                <w:b/>
                <w:bCs/>
                <w:color w:val="auto"/>
                <w:sz w:val="24"/>
                <w:lang w:val="en-US" w:eastAsia="zh-CN"/>
              </w:rPr>
              <w:t>2</w:t>
            </w:r>
            <w:r>
              <w:rPr>
                <w:rFonts w:hint="default" w:ascii="Times New Roman" w:hAnsi="Times New Roman" w:eastAsia="宋体" w:cs="Times New Roman"/>
                <w:b/>
                <w:bCs/>
                <w:color w:val="auto"/>
                <w:sz w:val="24"/>
              </w:rPr>
              <w:t>、</w:t>
            </w:r>
            <w:r>
              <w:rPr>
                <w:rFonts w:hint="eastAsia" w:ascii="Times New Roman" w:hAnsi="Times New Roman" w:eastAsia="宋体" w:cs="Times New Roman"/>
                <w:b/>
                <w:bCs/>
                <w:color w:val="auto"/>
                <w:sz w:val="24"/>
              </w:rPr>
              <w:t>给排水</w:t>
            </w:r>
          </w:p>
          <w:p w14:paraId="15A7791F">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2" w:firstLineChars="200"/>
              <w:textAlignment w:val="auto"/>
              <w:rPr>
                <w:rFonts w:hint="default" w:ascii="Times New Roman" w:hAnsi="Times New Roman" w:eastAsia="宋体" w:cs="Times New Roman"/>
                <w:b/>
                <w:color w:val="auto"/>
                <w:sz w:val="24"/>
              </w:rPr>
            </w:pPr>
            <w:r>
              <w:rPr>
                <w:rFonts w:hint="eastAsia" w:ascii="Times New Roman" w:hAnsi="Times New Roman" w:eastAsia="宋体" w:cs="Times New Roman"/>
                <w:b/>
                <w:color w:val="auto"/>
                <w:sz w:val="24"/>
              </w:rPr>
              <w:t>给水：</w:t>
            </w:r>
            <w:r>
              <w:rPr>
                <w:rFonts w:hint="default" w:ascii="Times New Roman" w:hAnsi="Times New Roman" w:eastAsia="宋体" w:cs="Times New Roman"/>
                <w:color w:val="auto"/>
                <w:kern w:val="0"/>
                <w:sz w:val="24"/>
              </w:rPr>
              <w:t>项目</w:t>
            </w:r>
            <w:r>
              <w:rPr>
                <w:rFonts w:hint="eastAsia" w:cs="Times New Roman"/>
                <w:color w:val="auto"/>
                <w:kern w:val="0"/>
                <w:sz w:val="24"/>
                <w:lang w:val="en-US" w:eastAsia="zh-CN"/>
              </w:rPr>
              <w:t>厂区生活用水依托市政自来水管网供水，生产用水采用地下水</w:t>
            </w:r>
            <w:r>
              <w:rPr>
                <w:rFonts w:hint="default" w:ascii="Times New Roman" w:hAnsi="Times New Roman" w:eastAsia="宋体" w:cs="Times New Roman"/>
                <w:color w:val="auto"/>
                <w:kern w:val="0"/>
                <w:sz w:val="24"/>
              </w:rPr>
              <w:t>。评价要求</w:t>
            </w:r>
            <w:r>
              <w:rPr>
                <w:rFonts w:hint="eastAsia" w:cs="Times New Roman"/>
                <w:color w:val="auto"/>
                <w:kern w:val="0"/>
                <w:sz w:val="24"/>
                <w:lang w:val="en-US" w:eastAsia="zh-CN"/>
              </w:rPr>
              <w:t>在本项目建设投产前，</w:t>
            </w:r>
            <w:r>
              <w:rPr>
                <w:rFonts w:hint="default" w:ascii="Times New Roman" w:hAnsi="Times New Roman" w:eastAsia="宋体" w:cs="Times New Roman"/>
                <w:color w:val="auto"/>
                <w:kern w:val="0"/>
                <w:sz w:val="24"/>
              </w:rPr>
              <w:t>建设单位</w:t>
            </w:r>
            <w:r>
              <w:rPr>
                <w:rFonts w:hint="eastAsia" w:cs="Times New Roman"/>
                <w:color w:val="auto"/>
                <w:kern w:val="0"/>
                <w:sz w:val="24"/>
                <w:lang w:val="en-US" w:eastAsia="zh-CN"/>
              </w:rPr>
              <w:t>应</w:t>
            </w:r>
            <w:r>
              <w:rPr>
                <w:rFonts w:hint="default" w:ascii="Times New Roman" w:hAnsi="Times New Roman" w:eastAsia="宋体" w:cs="Times New Roman"/>
                <w:color w:val="auto"/>
                <w:kern w:val="0"/>
                <w:sz w:val="24"/>
              </w:rPr>
              <w:t>根据</w:t>
            </w:r>
            <w:r>
              <w:rPr>
                <w:rFonts w:hint="eastAsia" w:cs="Times New Roman"/>
                <w:color w:val="auto"/>
                <w:kern w:val="0"/>
                <w:sz w:val="24"/>
                <w:lang w:eastAsia="zh-CN"/>
              </w:rPr>
              <w:t>“</w:t>
            </w:r>
            <w:r>
              <w:rPr>
                <w:rFonts w:hint="default" w:ascii="Times New Roman" w:hAnsi="Times New Roman" w:eastAsia="宋体" w:cs="Times New Roman"/>
                <w:color w:val="auto"/>
                <w:kern w:val="0"/>
                <w:sz w:val="24"/>
              </w:rPr>
              <w:t>取水许可管理办法</w:t>
            </w:r>
            <w:r>
              <w:rPr>
                <w:rFonts w:hint="eastAsia" w:cs="Times New Roman"/>
                <w:color w:val="auto"/>
                <w:kern w:val="0"/>
                <w:sz w:val="24"/>
                <w:lang w:eastAsia="zh-CN"/>
              </w:rPr>
              <w:t>”</w:t>
            </w:r>
            <w:r>
              <w:rPr>
                <w:rFonts w:hint="default" w:ascii="Times New Roman" w:hAnsi="Times New Roman" w:eastAsia="宋体" w:cs="Times New Roman"/>
                <w:color w:val="auto"/>
                <w:kern w:val="0"/>
                <w:sz w:val="24"/>
              </w:rPr>
              <w:t>等相关要求开展水资源论证和申领取水许可证。</w:t>
            </w:r>
          </w:p>
          <w:p w14:paraId="7BEA7884">
            <w:pPr>
              <w:pStyle w:val="7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2" w:firstLineChars="20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b/>
                <w:color w:val="auto"/>
                <w:sz w:val="24"/>
              </w:rPr>
              <w:t>排水：</w:t>
            </w:r>
            <w:r>
              <w:rPr>
                <w:rFonts w:hint="eastAsia" w:ascii="Times New Roman" w:hAnsi="Times New Roman" w:eastAsia="宋体" w:cs="Times New Roman"/>
                <w:color w:val="auto"/>
                <w:sz w:val="24"/>
              </w:rPr>
              <w:t>项目厂区实施雨污分流。</w:t>
            </w:r>
            <w:r>
              <w:rPr>
                <w:rFonts w:hint="eastAsia" w:cs="Times New Roman"/>
                <w:color w:val="auto"/>
                <w:sz w:val="24"/>
                <w:lang w:val="en-US" w:eastAsia="zh-CN"/>
              </w:rPr>
              <w:t>生活污水经预处理池处理后（10m</w:t>
            </w:r>
            <w:r>
              <w:rPr>
                <w:rFonts w:hint="eastAsia" w:cs="Times New Roman"/>
                <w:color w:val="auto"/>
                <w:sz w:val="24"/>
                <w:vertAlign w:val="superscript"/>
                <w:lang w:val="en-US" w:eastAsia="zh-CN"/>
              </w:rPr>
              <w:t>3</w:t>
            </w:r>
            <w:r>
              <w:rPr>
                <w:rFonts w:hint="eastAsia" w:cs="Times New Roman"/>
                <w:color w:val="auto"/>
                <w:sz w:val="24"/>
                <w:vertAlign w:val="baseline"/>
                <w:lang w:val="en-US" w:eastAsia="zh-CN"/>
              </w:rPr>
              <w:t>）</w:t>
            </w:r>
            <w:r>
              <w:rPr>
                <w:rFonts w:hint="eastAsia" w:cs="Times New Roman"/>
                <w:color w:val="auto"/>
                <w:szCs w:val="21"/>
                <w:lang w:val="en-US" w:eastAsia="zh-CN"/>
              </w:rPr>
              <w:t>定期由槽罐车转运至邻水县大步口污水处理站进行进一步处理后排入大洪河</w:t>
            </w:r>
            <w:r>
              <w:rPr>
                <w:rFonts w:hint="eastAsia" w:ascii="Times New Roman" w:hAnsi="Times New Roman" w:eastAsia="宋体" w:cs="Times New Roman"/>
                <w:color w:val="auto"/>
                <w:sz w:val="24"/>
                <w:lang w:val="en-US" w:eastAsia="zh-CN"/>
              </w:rPr>
              <w:t>；洗砂废水</w:t>
            </w:r>
            <w:r>
              <w:rPr>
                <w:rFonts w:hint="eastAsia" w:cs="Times New Roman"/>
                <w:color w:val="auto"/>
                <w:sz w:val="24"/>
                <w:lang w:val="en-US" w:eastAsia="zh-CN"/>
              </w:rPr>
              <w:t>、</w:t>
            </w:r>
            <w:r>
              <w:rPr>
                <w:rFonts w:hint="eastAsia" w:ascii="Times New Roman" w:hAnsi="Times New Roman" w:eastAsia="宋体" w:cs="Times New Roman"/>
                <w:color w:val="auto"/>
                <w:sz w:val="24"/>
                <w:lang w:val="en-US" w:eastAsia="zh-CN"/>
              </w:rPr>
              <w:t>初期雨水</w:t>
            </w:r>
            <w:r>
              <w:rPr>
                <w:rFonts w:hint="eastAsia" w:cs="Times New Roman"/>
                <w:color w:val="auto"/>
                <w:sz w:val="24"/>
                <w:lang w:val="en-US" w:eastAsia="zh-CN"/>
              </w:rPr>
              <w:t>、车辆冲洗废</w:t>
            </w:r>
            <w:r>
              <w:rPr>
                <w:rFonts w:hint="eastAsia" w:ascii="Times New Roman" w:hAnsi="Times New Roman" w:eastAsia="宋体" w:cs="Times New Roman"/>
                <w:color w:val="auto"/>
                <w:sz w:val="24"/>
                <w:lang w:val="en-US" w:eastAsia="zh-CN"/>
              </w:rPr>
              <w:t>水</w:t>
            </w:r>
            <w:r>
              <w:rPr>
                <w:rFonts w:hint="eastAsia" w:cs="Times New Roman"/>
                <w:color w:val="auto"/>
                <w:sz w:val="24"/>
                <w:lang w:val="en-US" w:eastAsia="zh-CN"/>
              </w:rPr>
              <w:t>和降尘废水</w:t>
            </w:r>
            <w:r>
              <w:rPr>
                <w:rFonts w:hint="eastAsia" w:ascii="Times New Roman" w:hAnsi="Times New Roman" w:eastAsia="宋体" w:cs="Times New Roman"/>
                <w:color w:val="auto"/>
                <w:sz w:val="24"/>
                <w:lang w:val="en-US" w:eastAsia="zh-CN"/>
              </w:rPr>
              <w:t>收集后引入一套废水处理系统（处理能力</w:t>
            </w:r>
            <w:r>
              <w:rPr>
                <w:rFonts w:hint="eastAsia" w:cs="Times New Roman"/>
                <w:color w:val="auto"/>
                <w:sz w:val="24"/>
                <w:lang w:val="en-US" w:eastAsia="zh-CN"/>
              </w:rPr>
              <w:t>1</w:t>
            </w:r>
            <w:r>
              <w:rPr>
                <w:rFonts w:hint="eastAsia" w:ascii="Times New Roman" w:hAnsi="Times New Roman" w:eastAsia="宋体" w:cs="Times New Roman"/>
                <w:color w:val="auto"/>
                <w:sz w:val="24"/>
                <w:lang w:val="en-US" w:eastAsia="zh-CN"/>
              </w:rPr>
              <w:t>50m</w:t>
            </w:r>
            <w:r>
              <w:rPr>
                <w:rFonts w:hint="eastAsia" w:ascii="Times New Roman" w:hAnsi="Times New Roman" w:eastAsia="宋体" w:cs="Times New Roman"/>
                <w:color w:val="auto"/>
                <w:sz w:val="24"/>
                <w:vertAlign w:val="superscript"/>
                <w:lang w:val="en-US" w:eastAsia="zh-CN"/>
              </w:rPr>
              <w:t>3</w:t>
            </w:r>
            <w:r>
              <w:rPr>
                <w:rFonts w:hint="eastAsia" w:ascii="Times New Roman" w:hAnsi="Times New Roman" w:eastAsia="宋体" w:cs="Times New Roman"/>
                <w:color w:val="auto"/>
                <w:sz w:val="24"/>
                <w:lang w:val="en-US" w:eastAsia="zh-CN"/>
              </w:rPr>
              <w:t>/d）处理后回用于生产。</w:t>
            </w:r>
          </w:p>
          <w:p w14:paraId="5C42FAD2">
            <w:pPr>
              <w:pStyle w:val="72"/>
              <w:keepNext w:val="0"/>
              <w:keepLines w:val="0"/>
              <w:suppressLineNumbers w:val="0"/>
              <w:spacing w:before="0" w:beforeAutospacing="0" w:after="0" w:afterAutospacing="0"/>
              <w:ind w:left="0" w:right="0" w:firstLine="0"/>
              <w:rPr>
                <w:rFonts w:hint="eastAsia" w:ascii="Times New Roman" w:hAnsi="Times New Roman" w:eastAsia="宋体" w:cs="Times New Roman"/>
                <w:b/>
                <w:bCs/>
                <w:color w:val="auto"/>
              </w:rPr>
            </w:pPr>
            <w:r>
              <w:rPr>
                <w:rFonts w:hint="eastAsia" w:ascii="Times New Roman" w:hAnsi="Times New Roman" w:eastAsia="宋体" w:cs="Times New Roman"/>
                <w:b/>
                <w:bCs/>
                <w:color w:val="auto"/>
                <w:lang w:val="en-US" w:eastAsia="zh-CN"/>
              </w:rPr>
              <w:t>四</w:t>
            </w:r>
            <w:r>
              <w:rPr>
                <w:rFonts w:hint="eastAsia" w:ascii="Times New Roman" w:hAnsi="Times New Roman" w:eastAsia="宋体" w:cs="Times New Roman"/>
                <w:b/>
                <w:bCs/>
                <w:color w:val="auto"/>
              </w:rPr>
              <w:t>、</w:t>
            </w:r>
            <w:r>
              <w:rPr>
                <w:rFonts w:hint="eastAsia" w:cs="Times New Roman"/>
                <w:b/>
                <w:bCs/>
                <w:color w:val="auto"/>
                <w:lang w:val="en-US" w:eastAsia="zh-CN"/>
              </w:rPr>
              <w:t>物料平衡及</w:t>
            </w:r>
            <w:r>
              <w:rPr>
                <w:rFonts w:hint="eastAsia" w:ascii="Times New Roman" w:hAnsi="Times New Roman" w:eastAsia="宋体" w:cs="Times New Roman"/>
                <w:b/>
                <w:bCs/>
                <w:color w:val="auto"/>
              </w:rPr>
              <w:t>水平衡</w:t>
            </w:r>
          </w:p>
          <w:p w14:paraId="759BDCEB">
            <w:pPr>
              <w:pStyle w:val="7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2" w:firstLineChars="200"/>
              <w:textAlignment w:val="auto"/>
              <w:rPr>
                <w:rFonts w:hint="default" w:cs="Times New Roman"/>
                <w:b/>
                <w:bCs/>
                <w:color w:val="auto"/>
                <w:kern w:val="0"/>
                <w:sz w:val="24"/>
                <w:lang w:val="en-US" w:eastAsia="zh-CN"/>
              </w:rPr>
            </w:pPr>
            <w:r>
              <w:rPr>
                <w:rFonts w:hint="eastAsia" w:cs="Times New Roman"/>
                <w:b/>
                <w:bCs/>
                <w:color w:val="auto"/>
                <w:kern w:val="0"/>
                <w:sz w:val="24"/>
                <w:lang w:val="en-US" w:eastAsia="zh-CN"/>
              </w:rPr>
              <w:t>（1）物料平衡</w:t>
            </w:r>
          </w:p>
          <w:p w14:paraId="74F3BFB0">
            <w:pPr>
              <w:pStyle w:val="7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cs="Times New Roman"/>
                <w:b w:val="0"/>
                <w:bCs w:val="0"/>
                <w:color w:val="auto"/>
                <w:kern w:val="0"/>
                <w:sz w:val="24"/>
                <w:lang w:val="en-US" w:eastAsia="zh-CN"/>
              </w:rPr>
            </w:pPr>
            <w:r>
              <w:rPr>
                <w:rFonts w:hint="eastAsia" w:cs="Times New Roman"/>
                <w:b w:val="0"/>
                <w:bCs w:val="0"/>
                <w:color w:val="auto"/>
                <w:kern w:val="0"/>
                <w:sz w:val="24"/>
                <w:lang w:val="en-US" w:eastAsia="zh-CN"/>
              </w:rPr>
              <w:t>本项目生产过程物料平衡情况见下表。</w:t>
            </w:r>
          </w:p>
          <w:p w14:paraId="45027338">
            <w:pPr>
              <w:pStyle w:val="7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cs="Times New Roman"/>
                <w:b/>
                <w:bCs/>
                <w:color w:val="auto"/>
                <w:kern w:val="0"/>
                <w:sz w:val="24"/>
                <w:lang w:val="en-US" w:eastAsia="zh-CN"/>
              </w:rPr>
            </w:pPr>
            <w:r>
              <w:rPr>
                <w:rFonts w:hint="eastAsia" w:cs="Times New Roman"/>
                <w:b/>
                <w:bCs/>
                <w:color w:val="auto"/>
                <w:kern w:val="0"/>
                <w:sz w:val="24"/>
                <w:lang w:val="en-US" w:eastAsia="zh-CN"/>
              </w:rPr>
              <w:t>表2-5  项目物料平衡表</w:t>
            </w:r>
          </w:p>
          <w:tbl>
            <w:tblPr>
              <w:tblStyle w:val="26"/>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91"/>
              <w:gridCol w:w="2097"/>
              <w:gridCol w:w="2097"/>
              <w:gridCol w:w="2102"/>
            </w:tblGrid>
            <w:tr w14:paraId="5192B0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97" w:type="pct"/>
                  <w:gridSpan w:val="2"/>
                  <w:tcBorders>
                    <w:tl2br w:val="nil"/>
                    <w:tr2bl w:val="nil"/>
                  </w:tcBorders>
                </w:tcPr>
                <w:p w14:paraId="63440115">
                  <w:pPr>
                    <w:pStyle w:val="7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Times New Roman"/>
                      <w:b/>
                      <w:bCs/>
                      <w:color w:val="auto"/>
                      <w:kern w:val="0"/>
                      <w:sz w:val="24"/>
                      <w:vertAlign w:val="baseline"/>
                      <w:lang w:val="en-US" w:eastAsia="zh-CN"/>
                    </w:rPr>
                  </w:pPr>
                  <w:r>
                    <w:rPr>
                      <w:rFonts w:hint="eastAsia" w:cs="Times New Roman"/>
                      <w:b/>
                      <w:bCs/>
                      <w:color w:val="auto"/>
                      <w:kern w:val="0"/>
                      <w:sz w:val="24"/>
                      <w:vertAlign w:val="baseline"/>
                      <w:lang w:val="en-US" w:eastAsia="zh-CN"/>
                    </w:rPr>
                    <w:t>原料（t）</w:t>
                  </w:r>
                </w:p>
              </w:tc>
              <w:tc>
                <w:tcPr>
                  <w:tcW w:w="2502" w:type="pct"/>
                  <w:gridSpan w:val="2"/>
                  <w:tcBorders>
                    <w:tl2br w:val="nil"/>
                    <w:tr2bl w:val="nil"/>
                  </w:tcBorders>
                </w:tcPr>
                <w:p w14:paraId="22E8B87F">
                  <w:pPr>
                    <w:pStyle w:val="7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
                      <w:bCs/>
                      <w:color w:val="auto"/>
                      <w:kern w:val="0"/>
                      <w:sz w:val="24"/>
                      <w:vertAlign w:val="baseline"/>
                      <w:lang w:val="en-US" w:eastAsia="zh-CN"/>
                    </w:rPr>
                  </w:pPr>
                  <w:r>
                    <w:rPr>
                      <w:rFonts w:hint="eastAsia" w:cs="Times New Roman"/>
                      <w:b/>
                      <w:bCs/>
                      <w:color w:val="auto"/>
                      <w:kern w:val="0"/>
                      <w:sz w:val="24"/>
                      <w:vertAlign w:val="baseline"/>
                      <w:lang w:val="en-US" w:eastAsia="zh-CN"/>
                    </w:rPr>
                    <w:t>产出（t）</w:t>
                  </w:r>
                </w:p>
              </w:tc>
            </w:tr>
            <w:tr w14:paraId="3ADD92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7" w:type="pct"/>
                  <w:tcBorders>
                    <w:tl2br w:val="nil"/>
                    <w:tr2bl w:val="nil"/>
                  </w:tcBorders>
                  <w:vAlign w:val="center"/>
                </w:tcPr>
                <w:p w14:paraId="6944FDF1">
                  <w:pPr>
                    <w:pStyle w:val="7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 w:val="0"/>
                      <w:bCs w:val="0"/>
                      <w:color w:val="auto"/>
                      <w:kern w:val="0"/>
                      <w:sz w:val="21"/>
                      <w:szCs w:val="21"/>
                      <w:vertAlign w:val="baseline"/>
                      <w:lang w:val="en-US" w:eastAsia="zh-CN"/>
                    </w:rPr>
                  </w:pPr>
                  <w:r>
                    <w:rPr>
                      <w:rFonts w:hint="eastAsia" w:cs="Times New Roman"/>
                      <w:b w:val="0"/>
                      <w:bCs w:val="0"/>
                      <w:color w:val="auto"/>
                      <w:kern w:val="0"/>
                      <w:sz w:val="21"/>
                      <w:szCs w:val="21"/>
                      <w:vertAlign w:val="baseline"/>
                      <w:lang w:val="en-US" w:eastAsia="zh-CN"/>
                    </w:rPr>
                    <w:t>鹅卵石</w:t>
                  </w:r>
                </w:p>
              </w:tc>
              <w:tc>
                <w:tcPr>
                  <w:tcW w:w="1250" w:type="pct"/>
                  <w:tcBorders>
                    <w:tl2br w:val="nil"/>
                    <w:tr2bl w:val="nil"/>
                  </w:tcBorders>
                  <w:vAlign w:val="center"/>
                </w:tcPr>
                <w:p w14:paraId="53E02A68">
                  <w:pPr>
                    <w:pStyle w:val="7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 w:val="0"/>
                      <w:bCs w:val="0"/>
                      <w:color w:val="auto"/>
                      <w:kern w:val="0"/>
                      <w:sz w:val="21"/>
                      <w:szCs w:val="21"/>
                      <w:vertAlign w:val="baseline"/>
                      <w:lang w:val="en-US" w:eastAsia="zh-CN"/>
                    </w:rPr>
                  </w:pPr>
                  <w:r>
                    <w:rPr>
                      <w:rFonts w:hint="eastAsia" w:cs="Times New Roman"/>
                      <w:b w:val="0"/>
                      <w:bCs w:val="0"/>
                      <w:color w:val="auto"/>
                      <w:kern w:val="0"/>
                      <w:sz w:val="21"/>
                      <w:szCs w:val="21"/>
                      <w:vertAlign w:val="baseline"/>
                      <w:lang w:val="en-US" w:eastAsia="zh-CN"/>
                    </w:rPr>
                    <w:t>18425</w:t>
                  </w:r>
                </w:p>
              </w:tc>
              <w:tc>
                <w:tcPr>
                  <w:tcW w:w="1250" w:type="pct"/>
                  <w:tcBorders>
                    <w:tl2br w:val="nil"/>
                    <w:tr2bl w:val="nil"/>
                  </w:tcBorders>
                  <w:vAlign w:val="center"/>
                </w:tcPr>
                <w:p w14:paraId="2547C951">
                  <w:pPr>
                    <w:pStyle w:val="7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 w:val="0"/>
                      <w:bCs w:val="0"/>
                      <w:color w:val="auto"/>
                      <w:kern w:val="0"/>
                      <w:sz w:val="21"/>
                      <w:szCs w:val="21"/>
                      <w:vertAlign w:val="baseline"/>
                      <w:lang w:val="en-US" w:eastAsia="zh-CN"/>
                    </w:rPr>
                  </w:pPr>
                  <w:r>
                    <w:rPr>
                      <w:rFonts w:hint="eastAsia" w:cs="Times New Roman"/>
                      <w:b w:val="0"/>
                      <w:bCs w:val="0"/>
                      <w:color w:val="auto"/>
                      <w:kern w:val="0"/>
                      <w:sz w:val="21"/>
                      <w:szCs w:val="21"/>
                      <w:vertAlign w:val="baseline"/>
                      <w:lang w:val="en-US" w:eastAsia="zh-CN"/>
                    </w:rPr>
                    <w:t>产品（中砂）</w:t>
                  </w:r>
                </w:p>
              </w:tc>
              <w:tc>
                <w:tcPr>
                  <w:tcW w:w="1251" w:type="pct"/>
                  <w:tcBorders>
                    <w:tl2br w:val="nil"/>
                    <w:tr2bl w:val="nil"/>
                  </w:tcBorders>
                  <w:vAlign w:val="center"/>
                </w:tcPr>
                <w:p w14:paraId="13D831C1">
                  <w:pPr>
                    <w:pStyle w:val="7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 w:val="0"/>
                      <w:bCs w:val="0"/>
                      <w:color w:val="auto"/>
                      <w:kern w:val="0"/>
                      <w:sz w:val="21"/>
                      <w:szCs w:val="21"/>
                      <w:vertAlign w:val="baseline"/>
                      <w:lang w:val="en-US" w:eastAsia="zh-CN"/>
                    </w:rPr>
                  </w:pPr>
                  <w:r>
                    <w:rPr>
                      <w:rFonts w:hint="eastAsia" w:cs="Times New Roman"/>
                      <w:b w:val="0"/>
                      <w:bCs w:val="0"/>
                      <w:color w:val="auto"/>
                      <w:kern w:val="0"/>
                      <w:sz w:val="21"/>
                      <w:szCs w:val="21"/>
                      <w:vertAlign w:val="baseline"/>
                      <w:lang w:val="en-US" w:eastAsia="zh-CN"/>
                    </w:rPr>
                    <w:t>30000</w:t>
                  </w:r>
                </w:p>
              </w:tc>
            </w:tr>
            <w:tr w14:paraId="323010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7" w:type="pct"/>
                  <w:tcBorders>
                    <w:tl2br w:val="nil"/>
                    <w:tr2bl w:val="nil"/>
                  </w:tcBorders>
                  <w:vAlign w:val="center"/>
                </w:tcPr>
                <w:p w14:paraId="06CC7A62">
                  <w:pPr>
                    <w:pStyle w:val="7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 w:val="0"/>
                      <w:bCs w:val="0"/>
                      <w:color w:val="auto"/>
                      <w:kern w:val="0"/>
                      <w:sz w:val="21"/>
                      <w:szCs w:val="21"/>
                      <w:vertAlign w:val="baseline"/>
                      <w:lang w:val="en-US" w:eastAsia="zh-CN"/>
                    </w:rPr>
                  </w:pPr>
                  <w:r>
                    <w:rPr>
                      <w:rFonts w:hint="eastAsia" w:cs="Times New Roman"/>
                      <w:b w:val="0"/>
                      <w:bCs w:val="0"/>
                      <w:color w:val="auto"/>
                      <w:kern w:val="0"/>
                      <w:sz w:val="21"/>
                      <w:szCs w:val="21"/>
                      <w:vertAlign w:val="baseline"/>
                      <w:lang w:val="en-US" w:eastAsia="zh-CN"/>
                    </w:rPr>
                    <w:t>建筑废渣</w:t>
                  </w:r>
                </w:p>
              </w:tc>
              <w:tc>
                <w:tcPr>
                  <w:tcW w:w="1250" w:type="pct"/>
                  <w:tcBorders>
                    <w:tl2br w:val="nil"/>
                    <w:tr2bl w:val="nil"/>
                  </w:tcBorders>
                  <w:vAlign w:val="center"/>
                </w:tcPr>
                <w:p w14:paraId="6F081B1D">
                  <w:pPr>
                    <w:pStyle w:val="7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 w:val="0"/>
                      <w:bCs w:val="0"/>
                      <w:color w:val="auto"/>
                      <w:kern w:val="0"/>
                      <w:sz w:val="21"/>
                      <w:szCs w:val="21"/>
                      <w:vertAlign w:val="baseline"/>
                      <w:lang w:val="en-US" w:eastAsia="zh-CN"/>
                    </w:rPr>
                  </w:pPr>
                  <w:r>
                    <w:rPr>
                      <w:rFonts w:hint="eastAsia" w:cs="Times New Roman"/>
                      <w:b w:val="0"/>
                      <w:bCs w:val="0"/>
                      <w:color w:val="auto"/>
                      <w:kern w:val="0"/>
                      <w:sz w:val="21"/>
                      <w:szCs w:val="21"/>
                      <w:vertAlign w:val="baseline"/>
                      <w:lang w:val="en-US" w:eastAsia="zh-CN"/>
                    </w:rPr>
                    <w:t>10000</w:t>
                  </w:r>
                </w:p>
              </w:tc>
              <w:tc>
                <w:tcPr>
                  <w:tcW w:w="1250" w:type="pct"/>
                  <w:tcBorders>
                    <w:tl2br w:val="nil"/>
                    <w:tr2bl w:val="nil"/>
                  </w:tcBorders>
                  <w:vAlign w:val="center"/>
                </w:tcPr>
                <w:p w14:paraId="3122BA0E">
                  <w:pPr>
                    <w:pStyle w:val="7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 w:val="0"/>
                      <w:bCs w:val="0"/>
                      <w:color w:val="auto"/>
                      <w:kern w:val="0"/>
                      <w:sz w:val="21"/>
                      <w:szCs w:val="21"/>
                      <w:vertAlign w:val="baseline"/>
                      <w:lang w:val="en-US" w:eastAsia="zh-CN"/>
                    </w:rPr>
                  </w:pPr>
                  <w:r>
                    <w:rPr>
                      <w:rFonts w:hint="eastAsia" w:cs="Times New Roman"/>
                      <w:b w:val="0"/>
                      <w:bCs w:val="0"/>
                      <w:color w:val="auto"/>
                      <w:kern w:val="0"/>
                      <w:sz w:val="21"/>
                      <w:szCs w:val="21"/>
                      <w:vertAlign w:val="baseline"/>
                      <w:lang w:val="en-US" w:eastAsia="zh-CN"/>
                    </w:rPr>
                    <w:t>泥饼</w:t>
                  </w:r>
                </w:p>
              </w:tc>
              <w:tc>
                <w:tcPr>
                  <w:tcW w:w="1251" w:type="pct"/>
                  <w:tcBorders>
                    <w:tl2br w:val="nil"/>
                    <w:tr2bl w:val="nil"/>
                  </w:tcBorders>
                  <w:vAlign w:val="center"/>
                </w:tcPr>
                <w:p w14:paraId="3DD1B43F">
                  <w:pPr>
                    <w:pStyle w:val="7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 w:val="0"/>
                      <w:bCs w:val="0"/>
                      <w:color w:val="auto"/>
                      <w:kern w:val="0"/>
                      <w:sz w:val="21"/>
                      <w:szCs w:val="21"/>
                      <w:vertAlign w:val="baseline"/>
                      <w:lang w:val="en-US" w:eastAsia="zh-CN"/>
                    </w:rPr>
                  </w:pPr>
                  <w:r>
                    <w:rPr>
                      <w:rFonts w:hint="eastAsia" w:cs="Times New Roman"/>
                      <w:b w:val="0"/>
                      <w:bCs w:val="0"/>
                      <w:color w:val="auto"/>
                      <w:kern w:val="0"/>
                      <w:sz w:val="21"/>
                      <w:szCs w:val="21"/>
                      <w:vertAlign w:val="baseline"/>
                      <w:lang w:val="en-US" w:eastAsia="zh-CN"/>
                    </w:rPr>
                    <w:t>4247.3312</w:t>
                  </w:r>
                </w:p>
              </w:tc>
            </w:tr>
            <w:tr w14:paraId="07F6DD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7" w:type="pct"/>
                  <w:tcBorders>
                    <w:tl2br w:val="nil"/>
                    <w:tr2bl w:val="nil"/>
                  </w:tcBorders>
                  <w:vAlign w:val="center"/>
                </w:tcPr>
                <w:p w14:paraId="0D3C44C8">
                  <w:pPr>
                    <w:pStyle w:val="7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cs="Times New Roman"/>
                      <w:b w:val="0"/>
                      <w:bCs w:val="0"/>
                      <w:color w:val="auto"/>
                      <w:kern w:val="0"/>
                      <w:sz w:val="21"/>
                      <w:szCs w:val="21"/>
                      <w:vertAlign w:val="baseline"/>
                      <w:lang w:val="en-US" w:eastAsia="zh-CN"/>
                    </w:rPr>
                  </w:pPr>
                  <w:r>
                    <w:rPr>
                      <w:rFonts w:hint="eastAsia" w:cs="Times New Roman"/>
                      <w:b w:val="0"/>
                      <w:bCs w:val="0"/>
                      <w:color w:val="auto"/>
                      <w:kern w:val="0"/>
                      <w:sz w:val="21"/>
                      <w:szCs w:val="21"/>
                      <w:vertAlign w:val="baseline"/>
                      <w:lang w:val="en-US" w:eastAsia="zh-CN"/>
                    </w:rPr>
                    <w:t>新鲜水</w:t>
                  </w:r>
                </w:p>
              </w:tc>
              <w:tc>
                <w:tcPr>
                  <w:tcW w:w="1250" w:type="pct"/>
                  <w:tcBorders>
                    <w:tl2br w:val="nil"/>
                    <w:tr2bl w:val="nil"/>
                  </w:tcBorders>
                  <w:vAlign w:val="center"/>
                </w:tcPr>
                <w:p w14:paraId="3D0A0861">
                  <w:pPr>
                    <w:pStyle w:val="7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cs="Times New Roman"/>
                      <w:b w:val="0"/>
                      <w:bCs w:val="0"/>
                      <w:color w:val="auto"/>
                      <w:kern w:val="0"/>
                      <w:sz w:val="21"/>
                      <w:szCs w:val="21"/>
                      <w:vertAlign w:val="baseline"/>
                      <w:lang w:val="en-US" w:eastAsia="zh-CN"/>
                    </w:rPr>
                  </w:pPr>
                  <w:r>
                    <w:rPr>
                      <w:rFonts w:hint="eastAsia" w:cs="Times New Roman"/>
                      <w:b w:val="0"/>
                      <w:bCs w:val="0"/>
                      <w:color w:val="auto"/>
                      <w:kern w:val="0"/>
                      <w:sz w:val="21"/>
                      <w:szCs w:val="21"/>
                      <w:vertAlign w:val="baseline"/>
                      <w:lang w:val="en-US" w:eastAsia="zh-CN"/>
                    </w:rPr>
                    <w:t>8369.2</w:t>
                  </w:r>
                </w:p>
              </w:tc>
              <w:tc>
                <w:tcPr>
                  <w:tcW w:w="1250" w:type="pct"/>
                  <w:tcBorders>
                    <w:tl2br w:val="nil"/>
                    <w:tr2bl w:val="nil"/>
                  </w:tcBorders>
                  <w:vAlign w:val="center"/>
                </w:tcPr>
                <w:p w14:paraId="702F9874">
                  <w:pPr>
                    <w:pStyle w:val="7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 w:val="0"/>
                      <w:bCs w:val="0"/>
                      <w:color w:val="auto"/>
                      <w:kern w:val="0"/>
                      <w:sz w:val="21"/>
                      <w:szCs w:val="21"/>
                      <w:vertAlign w:val="baseline"/>
                      <w:lang w:val="en-US" w:eastAsia="zh-CN"/>
                    </w:rPr>
                  </w:pPr>
                  <w:r>
                    <w:rPr>
                      <w:rFonts w:hint="eastAsia" w:cs="Times New Roman"/>
                      <w:b w:val="0"/>
                      <w:bCs w:val="0"/>
                      <w:color w:val="auto"/>
                      <w:kern w:val="0"/>
                      <w:sz w:val="21"/>
                      <w:szCs w:val="21"/>
                      <w:vertAlign w:val="baseline"/>
                      <w:lang w:val="en-US" w:eastAsia="zh-CN"/>
                    </w:rPr>
                    <w:t>粉尘废气（颗粒物）</w:t>
                  </w:r>
                </w:p>
              </w:tc>
              <w:tc>
                <w:tcPr>
                  <w:tcW w:w="1251" w:type="pct"/>
                  <w:tcBorders>
                    <w:tl2br w:val="nil"/>
                    <w:tr2bl w:val="nil"/>
                  </w:tcBorders>
                  <w:vAlign w:val="center"/>
                </w:tcPr>
                <w:p w14:paraId="324D5B03">
                  <w:pPr>
                    <w:pStyle w:val="7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 w:val="0"/>
                      <w:bCs w:val="0"/>
                      <w:color w:val="auto"/>
                      <w:kern w:val="0"/>
                      <w:sz w:val="21"/>
                      <w:szCs w:val="21"/>
                      <w:vertAlign w:val="baseline"/>
                      <w:lang w:val="en-US" w:eastAsia="zh-CN"/>
                    </w:rPr>
                  </w:pPr>
                  <w:r>
                    <w:rPr>
                      <w:rFonts w:hint="eastAsia" w:cs="Times New Roman"/>
                      <w:b w:val="0"/>
                      <w:bCs w:val="0"/>
                      <w:color w:val="auto"/>
                      <w:kern w:val="0"/>
                      <w:sz w:val="21"/>
                      <w:szCs w:val="21"/>
                      <w:vertAlign w:val="baseline"/>
                      <w:lang w:val="en-US" w:eastAsia="zh-CN"/>
                    </w:rPr>
                    <w:t>0.6688</w:t>
                  </w:r>
                </w:p>
              </w:tc>
            </w:tr>
            <w:tr w14:paraId="4BA50D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7" w:type="pct"/>
                  <w:tcBorders>
                    <w:tl2br w:val="nil"/>
                    <w:tr2bl w:val="nil"/>
                  </w:tcBorders>
                  <w:vAlign w:val="center"/>
                </w:tcPr>
                <w:p w14:paraId="1BB1F047">
                  <w:pPr>
                    <w:pStyle w:val="7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 w:val="0"/>
                      <w:bCs w:val="0"/>
                      <w:color w:val="auto"/>
                      <w:kern w:val="0"/>
                      <w:sz w:val="21"/>
                      <w:szCs w:val="21"/>
                      <w:vertAlign w:val="baseline"/>
                      <w:lang w:val="en-US" w:eastAsia="zh-CN"/>
                    </w:rPr>
                  </w:pPr>
                  <w:r>
                    <w:rPr>
                      <w:rFonts w:hint="eastAsia" w:cs="Times New Roman"/>
                      <w:b w:val="0"/>
                      <w:bCs w:val="0"/>
                      <w:color w:val="auto"/>
                      <w:kern w:val="0"/>
                      <w:sz w:val="21"/>
                      <w:szCs w:val="21"/>
                      <w:vertAlign w:val="baseline"/>
                      <w:lang w:val="en-US" w:eastAsia="zh-CN"/>
                    </w:rPr>
                    <w:t>/</w:t>
                  </w:r>
                </w:p>
              </w:tc>
              <w:tc>
                <w:tcPr>
                  <w:tcW w:w="1250" w:type="pct"/>
                  <w:tcBorders>
                    <w:tl2br w:val="nil"/>
                    <w:tr2bl w:val="nil"/>
                  </w:tcBorders>
                  <w:vAlign w:val="center"/>
                </w:tcPr>
                <w:p w14:paraId="127A41C8">
                  <w:pPr>
                    <w:pStyle w:val="7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 w:val="0"/>
                      <w:bCs w:val="0"/>
                      <w:color w:val="auto"/>
                      <w:kern w:val="0"/>
                      <w:sz w:val="21"/>
                      <w:szCs w:val="21"/>
                      <w:vertAlign w:val="baseline"/>
                      <w:lang w:val="en-US" w:eastAsia="zh-CN"/>
                    </w:rPr>
                  </w:pPr>
                  <w:r>
                    <w:rPr>
                      <w:rFonts w:hint="eastAsia" w:cs="Times New Roman"/>
                      <w:b w:val="0"/>
                      <w:bCs w:val="0"/>
                      <w:color w:val="auto"/>
                      <w:kern w:val="0"/>
                      <w:sz w:val="21"/>
                      <w:szCs w:val="21"/>
                      <w:vertAlign w:val="baseline"/>
                      <w:lang w:val="en-US" w:eastAsia="zh-CN"/>
                    </w:rPr>
                    <w:t>/</w:t>
                  </w:r>
                </w:p>
              </w:tc>
              <w:tc>
                <w:tcPr>
                  <w:tcW w:w="1250" w:type="pct"/>
                  <w:tcBorders>
                    <w:tl2br w:val="nil"/>
                    <w:tr2bl w:val="nil"/>
                  </w:tcBorders>
                  <w:vAlign w:val="center"/>
                </w:tcPr>
                <w:p w14:paraId="5C38737D">
                  <w:pPr>
                    <w:pStyle w:val="7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 w:val="0"/>
                      <w:bCs w:val="0"/>
                      <w:color w:val="auto"/>
                      <w:kern w:val="0"/>
                      <w:sz w:val="21"/>
                      <w:szCs w:val="21"/>
                      <w:vertAlign w:val="baseline"/>
                      <w:lang w:val="en-US" w:eastAsia="zh-CN"/>
                    </w:rPr>
                  </w:pPr>
                  <w:r>
                    <w:rPr>
                      <w:rFonts w:hint="eastAsia" w:cs="Times New Roman"/>
                      <w:b w:val="0"/>
                      <w:bCs w:val="0"/>
                      <w:color w:val="auto"/>
                      <w:kern w:val="0"/>
                      <w:sz w:val="21"/>
                      <w:szCs w:val="21"/>
                      <w:vertAlign w:val="baseline"/>
                      <w:lang w:val="en-US" w:eastAsia="zh-CN"/>
                    </w:rPr>
                    <w:t>蒸发损耗水</w:t>
                  </w:r>
                </w:p>
              </w:tc>
              <w:tc>
                <w:tcPr>
                  <w:tcW w:w="1251" w:type="pct"/>
                  <w:tcBorders>
                    <w:tl2br w:val="nil"/>
                    <w:tr2bl w:val="nil"/>
                  </w:tcBorders>
                  <w:vAlign w:val="center"/>
                </w:tcPr>
                <w:p w14:paraId="7E41CA96">
                  <w:pPr>
                    <w:pStyle w:val="7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 w:val="0"/>
                      <w:bCs w:val="0"/>
                      <w:color w:val="auto"/>
                      <w:kern w:val="0"/>
                      <w:sz w:val="21"/>
                      <w:szCs w:val="21"/>
                      <w:vertAlign w:val="baseline"/>
                      <w:lang w:val="en-US" w:eastAsia="zh-CN"/>
                    </w:rPr>
                  </w:pPr>
                  <w:r>
                    <w:rPr>
                      <w:rFonts w:hint="eastAsia" w:cs="Times New Roman"/>
                      <w:b w:val="0"/>
                      <w:bCs w:val="0"/>
                      <w:color w:val="auto"/>
                      <w:kern w:val="0"/>
                      <w:sz w:val="21"/>
                      <w:szCs w:val="21"/>
                      <w:vertAlign w:val="baseline"/>
                      <w:lang w:val="en-US" w:eastAsia="zh-CN"/>
                    </w:rPr>
                    <w:t>2546.2</w:t>
                  </w:r>
                </w:p>
              </w:tc>
            </w:tr>
            <w:tr w14:paraId="352C3D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7" w:type="pct"/>
                  <w:tcBorders>
                    <w:tl2br w:val="nil"/>
                    <w:tr2bl w:val="nil"/>
                  </w:tcBorders>
                  <w:vAlign w:val="center"/>
                </w:tcPr>
                <w:p w14:paraId="41E58494">
                  <w:pPr>
                    <w:pStyle w:val="7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 w:val="0"/>
                      <w:bCs w:val="0"/>
                      <w:color w:val="auto"/>
                      <w:kern w:val="0"/>
                      <w:sz w:val="21"/>
                      <w:szCs w:val="21"/>
                      <w:vertAlign w:val="baseline"/>
                      <w:lang w:val="en-US" w:eastAsia="zh-CN"/>
                    </w:rPr>
                  </w:pPr>
                  <w:r>
                    <w:rPr>
                      <w:rFonts w:hint="eastAsia" w:cs="Times New Roman"/>
                      <w:b w:val="0"/>
                      <w:bCs w:val="0"/>
                      <w:color w:val="auto"/>
                      <w:kern w:val="0"/>
                      <w:sz w:val="21"/>
                      <w:szCs w:val="21"/>
                      <w:vertAlign w:val="baseline"/>
                      <w:lang w:val="en-US" w:eastAsia="zh-CN"/>
                    </w:rPr>
                    <w:t>合计</w:t>
                  </w:r>
                </w:p>
              </w:tc>
              <w:tc>
                <w:tcPr>
                  <w:tcW w:w="1250" w:type="pct"/>
                  <w:tcBorders>
                    <w:tl2br w:val="nil"/>
                    <w:tr2bl w:val="nil"/>
                  </w:tcBorders>
                  <w:shd w:val="clear" w:color="auto" w:fill="auto"/>
                  <w:vAlign w:val="center"/>
                </w:tcPr>
                <w:p w14:paraId="34E824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36794.2</w:t>
                  </w:r>
                </w:p>
              </w:tc>
              <w:tc>
                <w:tcPr>
                  <w:tcW w:w="1250" w:type="pct"/>
                  <w:tcBorders>
                    <w:tl2br w:val="nil"/>
                    <w:tr2bl w:val="nil"/>
                  </w:tcBorders>
                  <w:vAlign w:val="center"/>
                </w:tcPr>
                <w:p w14:paraId="60348280">
                  <w:pPr>
                    <w:pStyle w:val="7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cs="Times New Roman"/>
                      <w:b w:val="0"/>
                      <w:bCs w:val="0"/>
                      <w:color w:val="auto"/>
                      <w:kern w:val="0"/>
                      <w:sz w:val="21"/>
                      <w:szCs w:val="21"/>
                      <w:vertAlign w:val="baseline"/>
                      <w:lang w:val="en-US" w:eastAsia="zh-CN"/>
                    </w:rPr>
                  </w:pPr>
                  <w:r>
                    <w:rPr>
                      <w:rFonts w:hint="eastAsia" w:cs="Times New Roman"/>
                      <w:b w:val="0"/>
                      <w:bCs w:val="0"/>
                      <w:color w:val="auto"/>
                      <w:kern w:val="0"/>
                      <w:sz w:val="21"/>
                      <w:szCs w:val="21"/>
                      <w:vertAlign w:val="baseline"/>
                      <w:lang w:val="en-US" w:eastAsia="zh-CN"/>
                    </w:rPr>
                    <w:t>/</w:t>
                  </w:r>
                </w:p>
              </w:tc>
              <w:tc>
                <w:tcPr>
                  <w:tcW w:w="1251" w:type="pct"/>
                  <w:tcBorders>
                    <w:tl2br w:val="nil"/>
                    <w:tr2bl w:val="nil"/>
                  </w:tcBorders>
                  <w:shd w:val="clear" w:color="auto" w:fill="auto"/>
                  <w:vAlign w:val="center"/>
                </w:tcPr>
                <w:p w14:paraId="2C070A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36794.2</w:t>
                  </w:r>
                </w:p>
              </w:tc>
            </w:tr>
            <w:tr w14:paraId="3A3B2C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4"/>
                  <w:tcBorders>
                    <w:tl2br w:val="nil"/>
                    <w:tr2bl w:val="nil"/>
                  </w:tcBorders>
                  <w:vAlign w:val="center"/>
                </w:tcPr>
                <w:p w14:paraId="44FA47C8">
                  <w:pPr>
                    <w:pStyle w:val="7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cs="Times New Roman"/>
                      <w:b w:val="0"/>
                      <w:bCs w:val="0"/>
                      <w:color w:val="auto"/>
                      <w:kern w:val="0"/>
                      <w:sz w:val="24"/>
                      <w:vertAlign w:val="baseline"/>
                      <w:lang w:val="en-US" w:eastAsia="zh-CN"/>
                    </w:rPr>
                  </w:pPr>
                  <w:r>
                    <w:rPr>
                      <w:rFonts w:hint="default" w:cs="Times New Roman"/>
                      <w:b w:val="0"/>
                      <w:bCs w:val="0"/>
                      <w:color w:val="auto"/>
                      <w:kern w:val="0"/>
                      <w:sz w:val="21"/>
                      <w:szCs w:val="21"/>
                      <w:vertAlign w:val="baseline"/>
                      <w:lang w:val="en-US" w:eastAsia="zh-CN"/>
                    </w:rPr>
                    <w:t>注：原料平均含水率约2%，产品含水率以10%计</w:t>
                  </w:r>
                </w:p>
              </w:tc>
            </w:tr>
          </w:tbl>
          <w:p w14:paraId="4C2F4EE4">
            <w:pPr>
              <w:pStyle w:val="7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2" w:firstLineChars="200"/>
              <w:textAlignment w:val="auto"/>
              <w:rPr>
                <w:rFonts w:hint="default" w:ascii="Times New Roman" w:hAnsi="Times New Roman" w:eastAsia="宋体" w:cs="Times New Roman"/>
                <w:b/>
                <w:bCs/>
                <w:color w:val="auto"/>
                <w:kern w:val="0"/>
                <w:sz w:val="24"/>
                <w:lang w:val="en-US" w:eastAsia="zh-CN"/>
              </w:rPr>
            </w:pPr>
            <w:r>
              <w:rPr>
                <w:rFonts w:hint="eastAsia" w:cs="Times New Roman"/>
                <w:b/>
                <w:bCs/>
                <w:color w:val="auto"/>
                <w:kern w:val="0"/>
                <w:sz w:val="24"/>
                <w:lang w:val="en-US" w:eastAsia="zh-CN"/>
              </w:rPr>
              <w:t>(2)水平衡</w:t>
            </w:r>
          </w:p>
          <w:p w14:paraId="67ED550B">
            <w:pPr>
              <w:pStyle w:val="7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ascii="Times New Roman" w:hAnsi="Times New Roman" w:eastAsia="宋体" w:cs="Times New Roman"/>
                <w:b/>
                <w:bCs/>
                <w:color w:val="auto"/>
              </w:rPr>
            </w:pPr>
            <w:r>
              <w:rPr>
                <w:rFonts w:hint="default" w:ascii="Times New Roman" w:hAnsi="Times New Roman" w:eastAsia="宋体" w:cs="Times New Roman"/>
                <w:color w:val="auto"/>
                <w:kern w:val="0"/>
                <w:sz w:val="24"/>
              </w:rPr>
              <w:t>本项目用水包括办公生活用水</w:t>
            </w:r>
            <w:r>
              <w:rPr>
                <w:rFonts w:hint="eastAsia" w:ascii="Times New Roman" w:hAnsi="Times New Roman" w:eastAsia="宋体" w:cs="Times New Roman"/>
                <w:color w:val="auto"/>
                <w:kern w:val="0"/>
                <w:sz w:val="24"/>
              </w:rPr>
              <w:t>、</w:t>
            </w:r>
            <w:r>
              <w:rPr>
                <w:rFonts w:hint="eastAsia" w:cs="Times New Roman"/>
                <w:color w:val="auto"/>
                <w:kern w:val="0"/>
                <w:sz w:val="24"/>
                <w:lang w:val="en-US" w:eastAsia="zh-CN"/>
              </w:rPr>
              <w:t>洗砂用水、降尘喷淋用水</w:t>
            </w:r>
            <w:r>
              <w:rPr>
                <w:rFonts w:hint="eastAsia" w:ascii="Times New Roman" w:hAnsi="Times New Roman" w:eastAsia="宋体" w:cs="Times New Roman"/>
                <w:color w:val="auto"/>
                <w:kern w:val="0"/>
                <w:sz w:val="24"/>
              </w:rPr>
              <w:t>、</w:t>
            </w:r>
            <w:r>
              <w:rPr>
                <w:rFonts w:hint="eastAsia" w:cs="Times New Roman"/>
                <w:color w:val="auto"/>
                <w:kern w:val="0"/>
                <w:sz w:val="24"/>
                <w:lang w:val="en-US" w:eastAsia="zh-CN"/>
              </w:rPr>
              <w:t>车辆冲洗用水、厂区道路抑尘用水</w:t>
            </w:r>
            <w:r>
              <w:rPr>
                <w:rFonts w:hint="default" w:ascii="Times New Roman" w:hAnsi="Times New Roman" w:eastAsia="宋体" w:cs="Times New Roman"/>
                <w:color w:val="auto"/>
                <w:kern w:val="0"/>
                <w:sz w:val="24"/>
              </w:rPr>
              <w:t>。</w:t>
            </w:r>
            <w:r>
              <w:rPr>
                <w:rFonts w:hint="eastAsia" w:ascii="Times New Roman" w:hAnsi="Times New Roman" w:eastAsia="宋体" w:cs="Times New Roman"/>
                <w:color w:val="auto"/>
                <w:kern w:val="0"/>
                <w:sz w:val="24"/>
              </w:rPr>
              <w:t>本次评价</w:t>
            </w:r>
            <w:r>
              <w:rPr>
                <w:rFonts w:hint="eastAsia" w:ascii="Times New Roman" w:hAnsi="Times New Roman" w:eastAsia="宋体" w:cs="Times New Roman"/>
                <w:bCs/>
                <w:color w:val="auto"/>
                <w:sz w:val="24"/>
              </w:rPr>
              <w:t>参考《建筑给水设计规范》（GB50015-2019）和</w:t>
            </w:r>
            <w:r>
              <w:rPr>
                <w:rFonts w:hint="default" w:ascii="Times New Roman" w:hAnsi="Times New Roman" w:eastAsia="宋体" w:cs="Times New Roman"/>
                <w:bCs/>
                <w:color w:val="auto"/>
                <w:sz w:val="24"/>
              </w:rPr>
              <w:t>《四川省用水定额》中所制定的各项用水定额</w:t>
            </w:r>
            <w:r>
              <w:rPr>
                <w:rFonts w:hint="eastAsia" w:ascii="Times New Roman" w:hAnsi="Times New Roman" w:eastAsia="宋体" w:cs="Times New Roman"/>
                <w:bCs/>
                <w:color w:val="auto"/>
                <w:sz w:val="24"/>
              </w:rPr>
              <w:t>同时结合</w:t>
            </w:r>
            <w:r>
              <w:rPr>
                <w:rFonts w:hint="eastAsia" w:cs="Times New Roman"/>
                <w:bCs/>
                <w:color w:val="auto"/>
                <w:sz w:val="24"/>
                <w:lang w:val="en-US" w:eastAsia="zh-CN"/>
              </w:rPr>
              <w:t>原有</w:t>
            </w:r>
            <w:r>
              <w:rPr>
                <w:rFonts w:hint="eastAsia" w:ascii="Times New Roman" w:hAnsi="Times New Roman" w:eastAsia="宋体" w:cs="Times New Roman"/>
                <w:bCs/>
                <w:color w:val="auto"/>
                <w:sz w:val="24"/>
              </w:rPr>
              <w:t>项目实际</w:t>
            </w:r>
            <w:r>
              <w:rPr>
                <w:rFonts w:hint="eastAsia" w:cs="Times New Roman"/>
                <w:bCs/>
                <w:color w:val="auto"/>
                <w:sz w:val="24"/>
                <w:lang w:val="en-US" w:eastAsia="zh-CN"/>
              </w:rPr>
              <w:t>运行</w:t>
            </w:r>
            <w:r>
              <w:rPr>
                <w:rFonts w:hint="eastAsia" w:ascii="Times New Roman" w:hAnsi="Times New Roman" w:eastAsia="宋体" w:cs="Times New Roman"/>
                <w:bCs/>
                <w:color w:val="auto"/>
                <w:sz w:val="24"/>
              </w:rPr>
              <w:t>情况进行分析</w:t>
            </w:r>
            <w:r>
              <w:rPr>
                <w:rFonts w:hint="default" w:ascii="Times New Roman" w:hAnsi="Times New Roman" w:eastAsia="宋体" w:cs="Times New Roman"/>
                <w:bCs/>
                <w:color w:val="auto"/>
                <w:sz w:val="24"/>
              </w:rPr>
              <w:t>，</w:t>
            </w:r>
            <w:r>
              <w:rPr>
                <w:rFonts w:hint="eastAsia" w:ascii="Times New Roman" w:hAnsi="Times New Roman" w:eastAsia="宋体" w:cs="Times New Roman"/>
                <w:bCs/>
                <w:color w:val="auto"/>
                <w:sz w:val="24"/>
              </w:rPr>
              <w:t>本项目建成后</w:t>
            </w:r>
            <w:r>
              <w:rPr>
                <w:rFonts w:hint="eastAsia" w:ascii="Times New Roman" w:hAnsi="Times New Roman" w:eastAsia="宋体" w:cs="Times New Roman"/>
                <w:color w:val="auto"/>
                <w:kern w:val="0"/>
                <w:sz w:val="24"/>
              </w:rPr>
              <w:t>用排水情况估算见下表。</w:t>
            </w:r>
          </w:p>
          <w:p w14:paraId="082FCD57">
            <w:pPr>
              <w:keepNext w:val="0"/>
              <w:keepLines w:val="0"/>
              <w:suppressLineNumbers w:val="0"/>
              <w:tabs>
                <w:tab w:val="left" w:pos="0"/>
              </w:tabs>
              <w:spacing w:before="0" w:beforeAutospacing="0" w:after="0" w:afterAutospacing="0"/>
              <w:ind w:left="420" w:right="0"/>
              <w:jc w:val="center"/>
              <w:rPr>
                <w:rFonts w:hint="eastAsia" w:ascii="Times New Roman" w:hAnsi="Times New Roman" w:eastAsia="宋体" w:cs="Times New Roman"/>
                <w:b/>
                <w:bCs/>
                <w:szCs w:val="21"/>
              </w:rPr>
            </w:pPr>
            <w:r>
              <w:rPr>
                <w:rFonts w:hint="eastAsia" w:ascii="Times New Roman" w:hAnsi="Times New Roman" w:eastAsia="宋体" w:cs="Times New Roman"/>
                <w:b/>
                <w:bCs/>
                <w:szCs w:val="21"/>
              </w:rPr>
              <w:t>表2-</w:t>
            </w:r>
            <w:r>
              <w:rPr>
                <w:rFonts w:hint="eastAsia" w:cs="Times New Roman"/>
                <w:b/>
                <w:bCs/>
                <w:szCs w:val="21"/>
                <w:lang w:val="en-US" w:eastAsia="zh-CN"/>
              </w:rPr>
              <w:t>6</w:t>
            </w:r>
            <w:r>
              <w:rPr>
                <w:rFonts w:hint="eastAsia" w:ascii="Times New Roman" w:hAnsi="Times New Roman" w:eastAsia="宋体" w:cs="Times New Roman"/>
                <w:b/>
                <w:bCs/>
                <w:szCs w:val="21"/>
              </w:rPr>
              <w:t xml:space="preserve">  运营期用水情况一览表</w:t>
            </w:r>
          </w:p>
          <w:tbl>
            <w:tblPr>
              <w:tblStyle w:val="25"/>
              <w:tblW w:w="8463" w:type="dxa"/>
              <w:jc w:val="center"/>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639"/>
              <w:gridCol w:w="915"/>
              <w:gridCol w:w="1103"/>
              <w:gridCol w:w="1142"/>
              <w:gridCol w:w="845"/>
              <w:gridCol w:w="882"/>
              <w:gridCol w:w="784"/>
              <w:gridCol w:w="650"/>
              <w:gridCol w:w="652"/>
              <w:gridCol w:w="851"/>
            </w:tblGrid>
            <w:tr w14:paraId="4C2C4BD7">
              <w:tblPrEx>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13" w:hRule="atLeast"/>
                <w:jc w:val="center"/>
              </w:trPr>
              <w:tc>
                <w:tcPr>
                  <w:tcW w:w="378" w:type="pct"/>
                  <w:noWrap w:val="0"/>
                  <w:tcMar>
                    <w:top w:w="0" w:type="dxa"/>
                    <w:left w:w="0" w:type="dxa"/>
                    <w:bottom w:w="0" w:type="dxa"/>
                    <w:right w:w="0" w:type="dxa"/>
                  </w:tcMar>
                  <w:vAlign w:val="center"/>
                </w:tcPr>
                <w:p w14:paraId="4DA4FA27">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用水项目</w:t>
                  </w:r>
                </w:p>
              </w:tc>
              <w:tc>
                <w:tcPr>
                  <w:tcW w:w="540" w:type="pct"/>
                  <w:noWrap w:val="0"/>
                  <w:tcMar>
                    <w:top w:w="0" w:type="dxa"/>
                    <w:left w:w="0" w:type="dxa"/>
                    <w:bottom w:w="0" w:type="dxa"/>
                    <w:right w:w="0" w:type="dxa"/>
                  </w:tcMar>
                  <w:vAlign w:val="center"/>
                </w:tcPr>
                <w:p w14:paraId="0B04C384">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数量</w:t>
                  </w:r>
                </w:p>
              </w:tc>
              <w:tc>
                <w:tcPr>
                  <w:tcW w:w="652" w:type="pct"/>
                  <w:noWrap w:val="0"/>
                  <w:tcMar>
                    <w:top w:w="0" w:type="dxa"/>
                    <w:left w:w="0" w:type="dxa"/>
                    <w:bottom w:w="0" w:type="dxa"/>
                    <w:right w:w="0" w:type="dxa"/>
                  </w:tcMar>
                  <w:vAlign w:val="center"/>
                </w:tcPr>
                <w:p w14:paraId="74C050F9">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用水量标准</w:t>
                  </w:r>
                </w:p>
              </w:tc>
              <w:tc>
                <w:tcPr>
                  <w:tcW w:w="675" w:type="pct"/>
                  <w:noWrap w:val="0"/>
                  <w:tcMar>
                    <w:top w:w="0" w:type="dxa"/>
                    <w:left w:w="0" w:type="dxa"/>
                    <w:bottom w:w="0" w:type="dxa"/>
                    <w:right w:w="0" w:type="dxa"/>
                  </w:tcMar>
                  <w:vAlign w:val="center"/>
                </w:tcPr>
                <w:p w14:paraId="3C4A06E2">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用水天数d</w:t>
                  </w:r>
                </w:p>
              </w:tc>
              <w:tc>
                <w:tcPr>
                  <w:tcW w:w="499" w:type="pct"/>
                  <w:noWrap w:val="0"/>
                  <w:tcMar>
                    <w:top w:w="0" w:type="dxa"/>
                    <w:left w:w="0" w:type="dxa"/>
                    <w:bottom w:w="0" w:type="dxa"/>
                    <w:right w:w="0" w:type="dxa"/>
                  </w:tcMar>
                  <w:vAlign w:val="center"/>
                </w:tcPr>
                <w:p w14:paraId="19253F15">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rPr>
                  </w:pPr>
                  <w:r>
                    <w:rPr>
                      <w:rFonts w:hint="eastAsia" w:ascii="Times New Roman" w:hAnsi="Times New Roman" w:eastAsia="宋体" w:cs="Times New Roman"/>
                      <w:b/>
                      <w:color w:val="auto"/>
                    </w:rPr>
                    <w:t>日用水量</w:t>
                  </w:r>
                  <w:r>
                    <w:rPr>
                      <w:rFonts w:hint="default" w:ascii="Times New Roman" w:hAnsi="Times New Roman" w:eastAsia="宋体" w:cs="Times New Roman"/>
                      <w:b/>
                      <w:color w:val="auto"/>
                    </w:rPr>
                    <w:t>m</w:t>
                  </w:r>
                  <w:r>
                    <w:rPr>
                      <w:rFonts w:hint="default" w:ascii="Times New Roman" w:hAnsi="Times New Roman" w:eastAsia="宋体" w:cs="Times New Roman"/>
                      <w:b/>
                      <w:color w:val="auto"/>
                      <w:vertAlign w:val="superscript"/>
                    </w:rPr>
                    <w:t>3</w:t>
                  </w:r>
                  <w:r>
                    <w:rPr>
                      <w:rStyle w:val="31"/>
                      <w:rFonts w:hint="eastAsia" w:ascii="Times New Roman" w:hAnsi="Times New Roman" w:eastAsia="宋体" w:cs="Times New Roman"/>
                      <w:color w:val="auto"/>
                      <w:kern w:val="0"/>
                      <w:szCs w:val="20"/>
                    </w:rPr>
                    <w:t>/d</w:t>
                  </w:r>
                </w:p>
              </w:tc>
              <w:tc>
                <w:tcPr>
                  <w:tcW w:w="521" w:type="pct"/>
                  <w:noWrap w:val="0"/>
                  <w:tcMar>
                    <w:top w:w="0" w:type="dxa"/>
                    <w:left w:w="0" w:type="dxa"/>
                    <w:bottom w:w="0" w:type="dxa"/>
                    <w:right w:w="0" w:type="dxa"/>
                  </w:tcMar>
                  <w:vAlign w:val="center"/>
                </w:tcPr>
                <w:p w14:paraId="2FDDB24A">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年用水量</w:t>
                  </w:r>
                </w:p>
                <w:p w14:paraId="420BCF9C">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m</w:t>
                  </w:r>
                  <w:r>
                    <w:rPr>
                      <w:rFonts w:hint="default" w:ascii="Times New Roman" w:hAnsi="Times New Roman" w:eastAsia="宋体" w:cs="Times New Roman"/>
                      <w:b/>
                      <w:color w:val="auto"/>
                      <w:vertAlign w:val="superscript"/>
                    </w:rPr>
                    <w:t>3</w:t>
                  </w:r>
                  <w:r>
                    <w:rPr>
                      <w:rFonts w:hint="default" w:ascii="Times New Roman" w:hAnsi="Times New Roman" w:eastAsia="宋体" w:cs="Times New Roman"/>
                      <w:b/>
                      <w:color w:val="auto"/>
                    </w:rPr>
                    <w:t>/a</w:t>
                  </w:r>
                </w:p>
              </w:tc>
              <w:tc>
                <w:tcPr>
                  <w:tcW w:w="463" w:type="pct"/>
                  <w:noWrap w:val="0"/>
                  <w:tcMar>
                    <w:top w:w="0" w:type="dxa"/>
                    <w:left w:w="0" w:type="dxa"/>
                    <w:bottom w:w="0" w:type="dxa"/>
                    <w:right w:w="0" w:type="dxa"/>
                  </w:tcMar>
                  <w:vAlign w:val="center"/>
                </w:tcPr>
                <w:p w14:paraId="4077F810">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用水来源</w:t>
                  </w:r>
                </w:p>
              </w:tc>
              <w:tc>
                <w:tcPr>
                  <w:tcW w:w="384" w:type="pct"/>
                  <w:noWrap w:val="0"/>
                  <w:tcMar>
                    <w:top w:w="0" w:type="dxa"/>
                    <w:left w:w="0" w:type="dxa"/>
                    <w:bottom w:w="0" w:type="dxa"/>
                    <w:right w:w="0" w:type="dxa"/>
                  </w:tcMar>
                  <w:vAlign w:val="center"/>
                </w:tcPr>
                <w:p w14:paraId="2D6E7862">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lang w:val="en-US" w:eastAsia="zh-CN"/>
                    </w:rPr>
                  </w:pPr>
                  <w:r>
                    <w:rPr>
                      <w:rFonts w:hint="eastAsia" w:ascii="Times New Roman" w:hAnsi="Times New Roman" w:eastAsia="宋体" w:cs="Times New Roman"/>
                      <w:b/>
                      <w:color w:val="auto"/>
                      <w:lang w:val="en-US" w:eastAsia="zh-CN"/>
                    </w:rPr>
                    <w:t>排水系数</w:t>
                  </w:r>
                </w:p>
              </w:tc>
              <w:tc>
                <w:tcPr>
                  <w:tcW w:w="385" w:type="pct"/>
                  <w:noWrap w:val="0"/>
                  <w:tcMar>
                    <w:top w:w="0" w:type="dxa"/>
                    <w:left w:w="0" w:type="dxa"/>
                    <w:bottom w:w="0" w:type="dxa"/>
                    <w:right w:w="0" w:type="dxa"/>
                  </w:tcMar>
                  <w:vAlign w:val="center"/>
                </w:tcPr>
                <w:p w14:paraId="1AA885CD">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rPr>
                  </w:pPr>
                  <w:r>
                    <w:rPr>
                      <w:rFonts w:hint="eastAsia" w:ascii="Times New Roman" w:hAnsi="Times New Roman" w:eastAsia="宋体" w:cs="Times New Roman"/>
                      <w:b/>
                      <w:color w:val="auto"/>
                    </w:rPr>
                    <w:t>最大单日</w:t>
                  </w:r>
                  <w:r>
                    <w:rPr>
                      <w:rFonts w:hint="eastAsia" w:cs="Times New Roman"/>
                      <w:b/>
                      <w:color w:val="auto"/>
                      <w:lang w:val="en-US" w:eastAsia="zh-CN"/>
                    </w:rPr>
                    <w:t>废水量</w:t>
                  </w:r>
                  <w:r>
                    <w:rPr>
                      <w:rFonts w:hint="default" w:ascii="Times New Roman" w:hAnsi="Times New Roman" w:eastAsia="宋体" w:cs="Times New Roman"/>
                      <w:b/>
                      <w:color w:val="auto"/>
                    </w:rPr>
                    <w:t>m</w:t>
                  </w:r>
                  <w:r>
                    <w:rPr>
                      <w:rFonts w:hint="default" w:ascii="Times New Roman" w:hAnsi="Times New Roman" w:eastAsia="宋体" w:cs="Times New Roman"/>
                      <w:b/>
                      <w:color w:val="auto"/>
                      <w:vertAlign w:val="superscript"/>
                    </w:rPr>
                    <w:t>3</w:t>
                  </w:r>
                  <w:r>
                    <w:rPr>
                      <w:rStyle w:val="31"/>
                      <w:rFonts w:hint="eastAsia" w:ascii="Times New Roman" w:hAnsi="Times New Roman" w:eastAsia="宋体" w:cs="Times New Roman"/>
                      <w:color w:val="auto"/>
                      <w:kern w:val="0"/>
                      <w:szCs w:val="20"/>
                    </w:rPr>
                    <w:t>/d</w:t>
                  </w:r>
                </w:p>
              </w:tc>
              <w:tc>
                <w:tcPr>
                  <w:tcW w:w="499" w:type="pct"/>
                  <w:noWrap w:val="0"/>
                  <w:tcMar>
                    <w:top w:w="0" w:type="dxa"/>
                    <w:left w:w="0" w:type="dxa"/>
                    <w:bottom w:w="0" w:type="dxa"/>
                    <w:right w:w="0" w:type="dxa"/>
                  </w:tcMar>
                  <w:vAlign w:val="center"/>
                </w:tcPr>
                <w:p w14:paraId="59ADFB8B">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rPr>
                  </w:pPr>
                  <w:r>
                    <w:rPr>
                      <w:rFonts w:hint="eastAsia" w:ascii="Times New Roman" w:hAnsi="Times New Roman" w:eastAsia="宋体" w:cs="Times New Roman"/>
                      <w:b/>
                      <w:color w:val="auto"/>
                    </w:rPr>
                    <w:t>去向</w:t>
                  </w:r>
                </w:p>
              </w:tc>
            </w:tr>
            <w:tr w14:paraId="04B30A64">
              <w:tblPrEx>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13" w:hRule="atLeast"/>
                <w:jc w:val="center"/>
              </w:trPr>
              <w:tc>
                <w:tcPr>
                  <w:tcW w:w="378" w:type="pct"/>
                  <w:noWrap w:val="0"/>
                  <w:tcMar>
                    <w:top w:w="0" w:type="dxa"/>
                    <w:left w:w="0" w:type="dxa"/>
                    <w:bottom w:w="0" w:type="dxa"/>
                    <w:right w:w="0" w:type="dxa"/>
                  </w:tcMar>
                  <w:vAlign w:val="center"/>
                </w:tcPr>
                <w:p w14:paraId="6ABF3DA2">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rPr>
                  </w:pPr>
                  <w:r>
                    <w:rPr>
                      <w:rFonts w:hint="default" w:ascii="Times New Roman" w:hAnsi="Times New Roman" w:eastAsia="宋体" w:cs="Times New Roman"/>
                      <w:bCs/>
                      <w:color w:val="auto"/>
                    </w:rPr>
                    <w:t>办公及</w:t>
                  </w:r>
                  <w:r>
                    <w:rPr>
                      <w:rFonts w:hint="eastAsia" w:ascii="Times New Roman" w:hAnsi="Times New Roman" w:eastAsia="宋体" w:cs="Times New Roman"/>
                      <w:bCs/>
                      <w:color w:val="auto"/>
                    </w:rPr>
                    <w:t>生</w:t>
                  </w:r>
                  <w:r>
                    <w:rPr>
                      <w:rFonts w:hint="default" w:ascii="Times New Roman" w:hAnsi="Times New Roman" w:eastAsia="宋体" w:cs="Times New Roman"/>
                      <w:bCs/>
                      <w:color w:val="auto"/>
                    </w:rPr>
                    <w:t>活用水</w:t>
                  </w:r>
                </w:p>
              </w:tc>
              <w:tc>
                <w:tcPr>
                  <w:tcW w:w="540" w:type="pct"/>
                  <w:noWrap w:val="0"/>
                  <w:tcMar>
                    <w:top w:w="0" w:type="dxa"/>
                    <w:left w:w="0" w:type="dxa"/>
                    <w:bottom w:w="0" w:type="dxa"/>
                    <w:right w:w="0" w:type="dxa"/>
                  </w:tcMar>
                  <w:vAlign w:val="center"/>
                </w:tcPr>
                <w:p w14:paraId="2DD7DD62">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rPr>
                  </w:pPr>
                  <w:r>
                    <w:rPr>
                      <w:rFonts w:hint="eastAsia" w:cs="Times New Roman"/>
                      <w:bCs/>
                      <w:color w:val="auto"/>
                      <w:lang w:val="en-US" w:eastAsia="zh-CN"/>
                    </w:rPr>
                    <w:t>6</w:t>
                  </w:r>
                  <w:r>
                    <w:rPr>
                      <w:rFonts w:hint="default" w:ascii="Times New Roman" w:hAnsi="Times New Roman" w:eastAsia="宋体" w:cs="Times New Roman"/>
                      <w:bCs/>
                      <w:color w:val="auto"/>
                    </w:rPr>
                    <w:t>人</w:t>
                  </w:r>
                </w:p>
              </w:tc>
              <w:tc>
                <w:tcPr>
                  <w:tcW w:w="652" w:type="pct"/>
                  <w:noWrap w:val="0"/>
                  <w:tcMar>
                    <w:top w:w="0" w:type="dxa"/>
                    <w:left w:w="0" w:type="dxa"/>
                    <w:bottom w:w="0" w:type="dxa"/>
                    <w:right w:w="0" w:type="dxa"/>
                  </w:tcMar>
                  <w:vAlign w:val="center"/>
                </w:tcPr>
                <w:p w14:paraId="6892EF2C">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rPr>
                  </w:pPr>
                  <w:r>
                    <w:rPr>
                      <w:rFonts w:hint="eastAsia" w:ascii="Times New Roman" w:hAnsi="Times New Roman" w:eastAsia="宋体" w:cs="Times New Roman"/>
                      <w:bCs/>
                    </w:rPr>
                    <w:t>用水量</w:t>
                  </w:r>
                  <w:r>
                    <w:rPr>
                      <w:rFonts w:hint="eastAsia" w:cs="Times New Roman"/>
                      <w:bCs/>
                      <w:lang w:val="en-US" w:eastAsia="zh-CN"/>
                    </w:rPr>
                    <w:t>50</w:t>
                  </w:r>
                  <w:r>
                    <w:rPr>
                      <w:rFonts w:hint="eastAsia" w:ascii="Times New Roman" w:hAnsi="Times New Roman" w:eastAsia="宋体" w:cs="Times New Roman"/>
                      <w:bCs/>
                    </w:rPr>
                    <w:t>L/人•d</w:t>
                  </w:r>
                </w:p>
              </w:tc>
              <w:tc>
                <w:tcPr>
                  <w:tcW w:w="675" w:type="pct"/>
                  <w:noWrap w:val="0"/>
                  <w:tcMar>
                    <w:top w:w="0" w:type="dxa"/>
                    <w:left w:w="0" w:type="dxa"/>
                    <w:bottom w:w="0" w:type="dxa"/>
                    <w:right w:w="0" w:type="dxa"/>
                  </w:tcMar>
                  <w:vAlign w:val="center"/>
                </w:tcPr>
                <w:p w14:paraId="2BE07C8F">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rPr>
                  </w:pPr>
                  <w:r>
                    <w:rPr>
                      <w:rFonts w:hint="eastAsia" w:cs="Times New Roman"/>
                      <w:bCs/>
                      <w:color w:val="auto"/>
                      <w:lang w:val="en-US" w:eastAsia="zh-CN"/>
                    </w:rPr>
                    <w:t>2</w:t>
                  </w:r>
                  <w:r>
                    <w:rPr>
                      <w:rFonts w:hint="eastAsia" w:ascii="Times New Roman" w:hAnsi="Times New Roman" w:eastAsia="宋体" w:cs="Times New Roman"/>
                      <w:bCs/>
                      <w:color w:val="auto"/>
                    </w:rPr>
                    <w:t>00</w:t>
                  </w:r>
                </w:p>
              </w:tc>
              <w:tc>
                <w:tcPr>
                  <w:tcW w:w="499" w:type="pct"/>
                  <w:noWrap w:val="0"/>
                  <w:tcMar>
                    <w:top w:w="0" w:type="dxa"/>
                    <w:left w:w="0" w:type="dxa"/>
                    <w:bottom w:w="0" w:type="dxa"/>
                    <w:right w:w="0" w:type="dxa"/>
                  </w:tcMar>
                  <w:vAlign w:val="center"/>
                </w:tcPr>
                <w:p w14:paraId="3CD5C4C1">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lang w:val="en-US" w:eastAsia="zh-CN"/>
                    </w:rPr>
                  </w:pPr>
                  <w:r>
                    <w:rPr>
                      <w:rFonts w:hint="eastAsia" w:cs="Times New Roman"/>
                      <w:bCs/>
                      <w:color w:val="auto"/>
                      <w:lang w:val="en-US" w:eastAsia="zh-CN"/>
                    </w:rPr>
                    <w:t>0.3</w:t>
                  </w:r>
                </w:p>
              </w:tc>
              <w:tc>
                <w:tcPr>
                  <w:tcW w:w="521" w:type="pct"/>
                  <w:noWrap w:val="0"/>
                  <w:tcMar>
                    <w:top w:w="0" w:type="dxa"/>
                    <w:left w:w="0" w:type="dxa"/>
                    <w:bottom w:w="0" w:type="dxa"/>
                    <w:right w:w="0" w:type="dxa"/>
                  </w:tcMar>
                  <w:vAlign w:val="center"/>
                </w:tcPr>
                <w:p w14:paraId="0955985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lang w:val="en-US" w:eastAsia="zh-CN"/>
                    </w:rPr>
                  </w:pPr>
                  <w:r>
                    <w:rPr>
                      <w:rFonts w:hint="eastAsia" w:cs="Times New Roman"/>
                      <w:color w:val="auto"/>
                      <w:kern w:val="0"/>
                      <w:szCs w:val="21"/>
                      <w:lang w:val="en-US" w:eastAsia="zh-CN" w:bidi="ar"/>
                    </w:rPr>
                    <w:t>60</w:t>
                  </w:r>
                </w:p>
              </w:tc>
              <w:tc>
                <w:tcPr>
                  <w:tcW w:w="463" w:type="pct"/>
                  <w:noWrap w:val="0"/>
                  <w:tcMar>
                    <w:top w:w="0" w:type="dxa"/>
                    <w:left w:w="0" w:type="dxa"/>
                    <w:bottom w:w="0" w:type="dxa"/>
                    <w:right w:w="0" w:type="dxa"/>
                  </w:tcMar>
                  <w:vAlign w:val="center"/>
                </w:tcPr>
                <w:p w14:paraId="5ED08C07">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lang w:val="en-US" w:eastAsia="zh-CN"/>
                    </w:rPr>
                  </w:pPr>
                  <w:r>
                    <w:rPr>
                      <w:rFonts w:hint="eastAsia" w:cs="Times New Roman"/>
                      <w:bCs/>
                      <w:color w:val="auto"/>
                      <w:lang w:val="en-US" w:eastAsia="zh-CN"/>
                    </w:rPr>
                    <w:t>自来水</w:t>
                  </w:r>
                </w:p>
              </w:tc>
              <w:tc>
                <w:tcPr>
                  <w:tcW w:w="384" w:type="pct"/>
                  <w:noWrap w:val="0"/>
                  <w:tcMar>
                    <w:top w:w="0" w:type="dxa"/>
                    <w:left w:w="0" w:type="dxa"/>
                    <w:bottom w:w="0" w:type="dxa"/>
                    <w:right w:w="0" w:type="dxa"/>
                  </w:tcMar>
                  <w:vAlign w:val="center"/>
                </w:tcPr>
                <w:p w14:paraId="4A77B1C7">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0.8</w:t>
                  </w:r>
                  <w:r>
                    <w:rPr>
                      <w:rFonts w:hint="eastAsia" w:cs="Times New Roman"/>
                      <w:bCs/>
                      <w:color w:val="auto"/>
                      <w:lang w:val="en-US" w:eastAsia="zh-CN"/>
                    </w:rPr>
                    <w:t>5</w:t>
                  </w:r>
                </w:p>
              </w:tc>
              <w:tc>
                <w:tcPr>
                  <w:tcW w:w="385" w:type="pct"/>
                  <w:noWrap w:val="0"/>
                  <w:tcMar>
                    <w:top w:w="0" w:type="dxa"/>
                    <w:left w:w="0" w:type="dxa"/>
                    <w:bottom w:w="0" w:type="dxa"/>
                    <w:right w:w="0" w:type="dxa"/>
                  </w:tcMar>
                  <w:vAlign w:val="center"/>
                </w:tcPr>
                <w:p w14:paraId="4125FEBB">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lang w:val="en-US" w:eastAsia="zh-CN"/>
                    </w:rPr>
                  </w:pPr>
                  <w:r>
                    <w:rPr>
                      <w:rFonts w:hint="eastAsia" w:cs="Times New Roman"/>
                      <w:bCs/>
                      <w:color w:val="auto"/>
                      <w:lang w:val="en-US" w:eastAsia="zh-CN"/>
                    </w:rPr>
                    <w:t>0.255</w:t>
                  </w:r>
                </w:p>
              </w:tc>
              <w:tc>
                <w:tcPr>
                  <w:tcW w:w="499" w:type="pct"/>
                  <w:noWrap w:val="0"/>
                  <w:tcMar>
                    <w:top w:w="0" w:type="dxa"/>
                    <w:left w:w="0" w:type="dxa"/>
                    <w:bottom w:w="0" w:type="dxa"/>
                    <w:right w:w="0" w:type="dxa"/>
                  </w:tcMar>
                  <w:vAlign w:val="center"/>
                </w:tcPr>
                <w:p w14:paraId="48B42356">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Cs/>
                      <w:color w:val="auto"/>
                      <w:lang w:val="en-US" w:eastAsia="zh-CN"/>
                    </w:rPr>
                  </w:pPr>
                  <w:r>
                    <w:rPr>
                      <w:rFonts w:hint="eastAsia" w:cs="Times New Roman"/>
                      <w:bCs/>
                      <w:color w:val="auto"/>
                      <w:lang w:val="en-US" w:eastAsia="zh-CN"/>
                    </w:rPr>
                    <w:t>经预处理池处理后定期转运至邻水县大步口污水处理站进一步处理</w:t>
                  </w:r>
                </w:p>
              </w:tc>
            </w:tr>
            <w:tr w14:paraId="06DFD344">
              <w:tblPrEx>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13" w:hRule="atLeast"/>
                <w:jc w:val="center"/>
              </w:trPr>
              <w:tc>
                <w:tcPr>
                  <w:tcW w:w="378" w:type="pct"/>
                  <w:noWrap w:val="0"/>
                  <w:tcMar>
                    <w:top w:w="0" w:type="dxa"/>
                    <w:left w:w="0" w:type="dxa"/>
                    <w:bottom w:w="0" w:type="dxa"/>
                    <w:right w:w="0" w:type="dxa"/>
                  </w:tcMar>
                  <w:vAlign w:val="center"/>
                </w:tcPr>
                <w:p w14:paraId="761BC0BF">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lang w:val="en-US" w:eastAsia="zh-CN"/>
                    </w:rPr>
                  </w:pPr>
                  <w:r>
                    <w:rPr>
                      <w:rFonts w:hint="eastAsia" w:cs="Times New Roman"/>
                      <w:bCs/>
                      <w:color w:val="auto"/>
                      <w:lang w:val="en-US" w:eastAsia="zh-CN"/>
                    </w:rPr>
                    <w:t>洗砂用水</w:t>
                  </w:r>
                </w:p>
              </w:tc>
              <w:tc>
                <w:tcPr>
                  <w:tcW w:w="540" w:type="pct"/>
                  <w:noWrap w:val="0"/>
                  <w:tcMar>
                    <w:top w:w="0" w:type="dxa"/>
                    <w:left w:w="0" w:type="dxa"/>
                    <w:bottom w:w="0" w:type="dxa"/>
                    <w:right w:w="0" w:type="dxa"/>
                  </w:tcMar>
                  <w:vAlign w:val="center"/>
                </w:tcPr>
                <w:p w14:paraId="3957E24A">
                  <w:pPr>
                    <w:keepNext w:val="0"/>
                    <w:keepLines w:val="0"/>
                    <w:suppressLineNumbers w:val="0"/>
                    <w:spacing w:before="0" w:beforeAutospacing="0" w:after="0" w:afterAutospacing="0"/>
                    <w:ind w:left="0" w:right="0"/>
                    <w:jc w:val="center"/>
                    <w:rPr>
                      <w:rFonts w:hint="default" w:cs="Times New Roman"/>
                      <w:bCs/>
                      <w:color w:val="auto"/>
                      <w:lang w:val="en-US" w:eastAsia="zh-CN"/>
                    </w:rPr>
                  </w:pPr>
                  <w:r>
                    <w:rPr>
                      <w:rFonts w:hint="eastAsia" w:cs="Times New Roman"/>
                      <w:bCs/>
                      <w:color w:val="auto"/>
                      <w:lang w:val="en-US" w:eastAsia="zh-CN"/>
                    </w:rPr>
                    <w:t>原料使用量142.125t/d</w:t>
                  </w:r>
                </w:p>
              </w:tc>
              <w:tc>
                <w:tcPr>
                  <w:tcW w:w="652" w:type="pct"/>
                  <w:noWrap w:val="0"/>
                  <w:tcMar>
                    <w:top w:w="0" w:type="dxa"/>
                    <w:left w:w="0" w:type="dxa"/>
                    <w:bottom w:w="0" w:type="dxa"/>
                    <w:right w:w="0" w:type="dxa"/>
                  </w:tcMar>
                  <w:vAlign w:val="center"/>
                </w:tcPr>
                <w:p w14:paraId="3EE3A826">
                  <w:pPr>
                    <w:keepNext w:val="0"/>
                    <w:keepLines w:val="0"/>
                    <w:suppressLineNumbers w:val="0"/>
                    <w:spacing w:before="0" w:beforeAutospacing="0" w:after="0" w:afterAutospacing="0"/>
                    <w:ind w:left="0" w:right="0"/>
                    <w:jc w:val="center"/>
                    <w:rPr>
                      <w:rFonts w:hint="eastAsia" w:ascii="Times New Roman" w:hAnsi="Times New Roman" w:eastAsia="宋体" w:cs="Times New Roman"/>
                      <w:bCs/>
                    </w:rPr>
                  </w:pPr>
                  <w:r>
                    <w:rPr>
                      <w:rFonts w:hint="default" w:ascii="Times New Roman" w:hAnsi="Times New Roman" w:cs="Times New Roman"/>
                      <w:color w:val="auto"/>
                      <w:szCs w:val="21"/>
                    </w:rPr>
                    <w:t>0.</w:t>
                  </w:r>
                  <w:r>
                    <w:rPr>
                      <w:rFonts w:hint="eastAsia" w:ascii="Times New Roman" w:hAnsi="Times New Roman" w:cs="Times New Roman"/>
                      <w:color w:val="auto"/>
                      <w:szCs w:val="21"/>
                      <w:lang w:val="en-US" w:eastAsia="zh-CN"/>
                    </w:rPr>
                    <w:t>5</w:t>
                  </w:r>
                  <w:r>
                    <w:rPr>
                      <w:rFonts w:hint="default" w:ascii="Times New Roman" w:hAnsi="Times New Roman" w:cs="Times New Roman"/>
                      <w:color w:val="auto"/>
                      <w:szCs w:val="21"/>
                    </w:rPr>
                    <w:t>m³</w:t>
                  </w:r>
                  <w:r>
                    <w:rPr>
                      <w:rFonts w:hint="eastAsia" w:ascii="Times New Roman" w:hAnsi="Times New Roman" w:cs="Times New Roman"/>
                      <w:color w:val="auto"/>
                      <w:szCs w:val="21"/>
                      <w:lang w:val="en-US" w:eastAsia="zh-CN"/>
                    </w:rPr>
                    <w:t>/t原料</w:t>
                  </w:r>
                </w:p>
              </w:tc>
              <w:tc>
                <w:tcPr>
                  <w:tcW w:w="675" w:type="pct"/>
                  <w:noWrap w:val="0"/>
                  <w:tcMar>
                    <w:top w:w="0" w:type="dxa"/>
                    <w:left w:w="0" w:type="dxa"/>
                    <w:bottom w:w="0" w:type="dxa"/>
                    <w:right w:w="0" w:type="dxa"/>
                  </w:tcMar>
                  <w:vAlign w:val="center"/>
                </w:tcPr>
                <w:p w14:paraId="76F837E6">
                  <w:pPr>
                    <w:keepNext w:val="0"/>
                    <w:keepLines w:val="0"/>
                    <w:suppressLineNumbers w:val="0"/>
                    <w:spacing w:before="0" w:beforeAutospacing="0" w:after="0" w:afterAutospacing="0"/>
                    <w:ind w:left="0" w:right="0"/>
                    <w:jc w:val="center"/>
                    <w:rPr>
                      <w:rFonts w:hint="default" w:cs="Times New Roman"/>
                      <w:bCs/>
                      <w:color w:val="auto"/>
                      <w:lang w:val="en-US" w:eastAsia="zh-CN"/>
                    </w:rPr>
                  </w:pPr>
                  <w:r>
                    <w:rPr>
                      <w:rFonts w:hint="eastAsia" w:cs="Times New Roman"/>
                      <w:bCs/>
                      <w:color w:val="auto"/>
                      <w:lang w:val="en-US" w:eastAsia="zh-CN"/>
                    </w:rPr>
                    <w:t>200</w:t>
                  </w:r>
                </w:p>
              </w:tc>
              <w:tc>
                <w:tcPr>
                  <w:tcW w:w="499" w:type="pct"/>
                  <w:noWrap w:val="0"/>
                  <w:tcMar>
                    <w:top w:w="0" w:type="dxa"/>
                    <w:left w:w="0" w:type="dxa"/>
                    <w:bottom w:w="0" w:type="dxa"/>
                    <w:right w:w="0" w:type="dxa"/>
                  </w:tcMar>
                  <w:vAlign w:val="center"/>
                </w:tcPr>
                <w:p w14:paraId="20245C41">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lang w:val="en-US" w:eastAsia="zh-CN"/>
                    </w:rPr>
                  </w:pPr>
                  <w:r>
                    <w:rPr>
                      <w:rFonts w:hint="eastAsia" w:cs="Times New Roman"/>
                      <w:bCs/>
                      <w:color w:val="auto"/>
                      <w:lang w:val="en-US" w:eastAsia="zh-CN"/>
                    </w:rPr>
                    <w:t>71.0625</w:t>
                  </w:r>
                </w:p>
              </w:tc>
              <w:tc>
                <w:tcPr>
                  <w:tcW w:w="521" w:type="pct"/>
                  <w:noWrap w:val="0"/>
                  <w:tcMar>
                    <w:top w:w="0" w:type="dxa"/>
                    <w:left w:w="0" w:type="dxa"/>
                    <w:bottom w:w="0" w:type="dxa"/>
                    <w:right w:w="0" w:type="dxa"/>
                  </w:tcMar>
                  <w:vAlign w:val="center"/>
                </w:tcPr>
                <w:p w14:paraId="682B071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lang w:val="en-US" w:eastAsia="zh-CN" w:bidi="ar"/>
                    </w:rPr>
                  </w:pPr>
                  <w:r>
                    <w:rPr>
                      <w:rFonts w:hint="eastAsia" w:cs="Times New Roman"/>
                      <w:color w:val="auto"/>
                      <w:kern w:val="0"/>
                      <w:szCs w:val="21"/>
                      <w:lang w:val="en-US" w:eastAsia="zh-CN" w:bidi="ar"/>
                    </w:rPr>
                    <w:t>14212.5</w:t>
                  </w:r>
                </w:p>
              </w:tc>
              <w:tc>
                <w:tcPr>
                  <w:tcW w:w="463" w:type="pct"/>
                  <w:noWrap w:val="0"/>
                  <w:tcMar>
                    <w:top w:w="0" w:type="dxa"/>
                    <w:left w:w="0" w:type="dxa"/>
                    <w:bottom w:w="0" w:type="dxa"/>
                    <w:right w:w="0" w:type="dxa"/>
                  </w:tcMar>
                  <w:vAlign w:val="center"/>
                </w:tcPr>
                <w:p w14:paraId="08443521">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lang w:val="en-US" w:eastAsia="zh-CN"/>
                    </w:rPr>
                  </w:pPr>
                  <w:r>
                    <w:rPr>
                      <w:rFonts w:hint="eastAsia" w:cs="Times New Roman"/>
                      <w:bCs/>
                      <w:color w:val="auto"/>
                      <w:lang w:val="en-US" w:eastAsia="zh-CN"/>
                    </w:rPr>
                    <w:t>地下水+回用水</w:t>
                  </w:r>
                </w:p>
              </w:tc>
              <w:tc>
                <w:tcPr>
                  <w:tcW w:w="384" w:type="pct"/>
                  <w:noWrap w:val="0"/>
                  <w:tcMar>
                    <w:top w:w="0" w:type="dxa"/>
                    <w:left w:w="0" w:type="dxa"/>
                    <w:bottom w:w="0" w:type="dxa"/>
                    <w:right w:w="0" w:type="dxa"/>
                  </w:tcMar>
                  <w:vAlign w:val="center"/>
                </w:tcPr>
                <w:p w14:paraId="619A9525">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lang w:val="en-US" w:eastAsia="zh-CN"/>
                    </w:rPr>
                  </w:pPr>
                  <w:r>
                    <w:rPr>
                      <w:rFonts w:hint="eastAsia" w:cs="Times New Roman"/>
                      <w:bCs/>
                      <w:color w:val="auto"/>
                      <w:lang w:val="en-US" w:eastAsia="zh-CN"/>
                    </w:rPr>
                    <w:t>0.74</w:t>
                  </w:r>
                </w:p>
              </w:tc>
              <w:tc>
                <w:tcPr>
                  <w:tcW w:w="385" w:type="pct"/>
                  <w:noWrap w:val="0"/>
                  <w:tcMar>
                    <w:top w:w="0" w:type="dxa"/>
                    <w:left w:w="0" w:type="dxa"/>
                    <w:bottom w:w="0" w:type="dxa"/>
                    <w:right w:w="0" w:type="dxa"/>
                  </w:tcMar>
                  <w:vAlign w:val="center"/>
                </w:tcPr>
                <w:p w14:paraId="7C6631F5">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lang w:val="en-US" w:eastAsia="zh-CN"/>
                    </w:rPr>
                  </w:pPr>
                  <w:r>
                    <w:rPr>
                      <w:rFonts w:hint="eastAsia" w:cs="Times New Roman"/>
                      <w:bCs/>
                      <w:color w:val="auto"/>
                      <w:lang w:val="en-US" w:eastAsia="zh-CN"/>
                    </w:rPr>
                    <w:t>52.332</w:t>
                  </w:r>
                </w:p>
              </w:tc>
              <w:tc>
                <w:tcPr>
                  <w:tcW w:w="499" w:type="pct"/>
                  <w:noWrap w:val="0"/>
                  <w:tcMar>
                    <w:top w:w="0" w:type="dxa"/>
                    <w:left w:w="0" w:type="dxa"/>
                    <w:bottom w:w="0" w:type="dxa"/>
                    <w:right w:w="0" w:type="dxa"/>
                  </w:tcMar>
                  <w:vAlign w:val="center"/>
                </w:tcPr>
                <w:p w14:paraId="53C2CD8C">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Cs/>
                      <w:color w:val="auto"/>
                      <w:lang w:val="en-US" w:eastAsia="zh-CN"/>
                    </w:rPr>
                  </w:pPr>
                  <w:r>
                    <w:rPr>
                      <w:rFonts w:hint="eastAsia" w:cs="Times New Roman"/>
                      <w:bCs/>
                      <w:color w:val="auto"/>
                      <w:lang w:val="en-US" w:eastAsia="zh-CN"/>
                    </w:rPr>
                    <w:t>15%蒸发损耗；产品单日带走量11.625t，其余废水进入废水处理系统处理后回用（泥饼含水率约80%）</w:t>
                  </w:r>
                </w:p>
              </w:tc>
            </w:tr>
            <w:tr w14:paraId="24822545">
              <w:tblPrEx>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13" w:hRule="atLeast"/>
                <w:jc w:val="center"/>
              </w:trPr>
              <w:tc>
                <w:tcPr>
                  <w:tcW w:w="378" w:type="pct"/>
                  <w:noWrap w:val="0"/>
                  <w:tcMar>
                    <w:top w:w="0" w:type="dxa"/>
                    <w:left w:w="0" w:type="dxa"/>
                    <w:bottom w:w="0" w:type="dxa"/>
                    <w:right w:w="0" w:type="dxa"/>
                  </w:tcMar>
                  <w:vAlign w:val="center"/>
                </w:tcPr>
                <w:p w14:paraId="36334F46">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lang w:val="en-US" w:eastAsia="zh-CN"/>
                    </w:rPr>
                  </w:pPr>
                  <w:r>
                    <w:rPr>
                      <w:rFonts w:hint="eastAsia" w:cs="Times New Roman"/>
                      <w:bCs/>
                      <w:color w:val="auto"/>
                      <w:lang w:val="en-US" w:eastAsia="zh-CN"/>
                    </w:rPr>
                    <w:t>降尘喷淋用水</w:t>
                  </w:r>
                </w:p>
              </w:tc>
              <w:tc>
                <w:tcPr>
                  <w:tcW w:w="540" w:type="pct"/>
                  <w:noWrap w:val="0"/>
                  <w:tcMar>
                    <w:top w:w="0" w:type="dxa"/>
                    <w:left w:w="0" w:type="dxa"/>
                    <w:bottom w:w="0" w:type="dxa"/>
                    <w:right w:w="0" w:type="dxa"/>
                  </w:tcMar>
                  <w:vAlign w:val="center"/>
                </w:tcPr>
                <w:p w14:paraId="1555C6E5">
                  <w:pPr>
                    <w:keepNext w:val="0"/>
                    <w:keepLines w:val="0"/>
                    <w:suppressLineNumbers w:val="0"/>
                    <w:spacing w:before="0" w:beforeAutospacing="0" w:after="0" w:afterAutospacing="0"/>
                    <w:ind w:left="0" w:right="0"/>
                    <w:jc w:val="center"/>
                    <w:rPr>
                      <w:rFonts w:hint="default" w:cs="Times New Roman"/>
                      <w:bCs/>
                      <w:color w:val="auto"/>
                      <w:lang w:val="en-US" w:eastAsia="zh-CN"/>
                    </w:rPr>
                  </w:pPr>
                  <w:r>
                    <w:rPr>
                      <w:rFonts w:hint="eastAsia" w:cs="Times New Roman"/>
                      <w:bCs/>
                      <w:color w:val="auto"/>
                      <w:lang w:val="en-US" w:eastAsia="zh-CN"/>
                    </w:rPr>
                    <w:t>砂石生产量150t/d</w:t>
                  </w:r>
                </w:p>
              </w:tc>
              <w:tc>
                <w:tcPr>
                  <w:tcW w:w="652" w:type="pct"/>
                  <w:noWrap w:val="0"/>
                  <w:tcMar>
                    <w:top w:w="0" w:type="dxa"/>
                    <w:left w:w="0" w:type="dxa"/>
                    <w:bottom w:w="0" w:type="dxa"/>
                    <w:right w:w="0" w:type="dxa"/>
                  </w:tcMar>
                  <w:vAlign w:val="center"/>
                </w:tcPr>
                <w:p w14:paraId="3B3BE15F">
                  <w:pPr>
                    <w:keepNext w:val="0"/>
                    <w:keepLines w:val="0"/>
                    <w:suppressLineNumbers w:val="0"/>
                    <w:spacing w:before="0" w:beforeAutospacing="0" w:after="0" w:afterAutospacing="0"/>
                    <w:ind w:left="0" w:right="0"/>
                    <w:jc w:val="center"/>
                    <w:rPr>
                      <w:rFonts w:hint="default" w:ascii="Times New Roman" w:hAnsi="Times New Roman" w:eastAsia="宋体" w:cs="Times New Roman"/>
                      <w:bCs/>
                      <w:lang w:val="en-US"/>
                    </w:rPr>
                  </w:pPr>
                  <w:r>
                    <w:rPr>
                      <w:rFonts w:hint="eastAsia" w:cs="Times New Roman"/>
                      <w:bCs/>
                      <w:color w:val="auto"/>
                      <w:lang w:val="en-US" w:eastAsia="zh-CN"/>
                    </w:rPr>
                    <w:t>0.025</w:t>
                  </w:r>
                  <w:r>
                    <w:rPr>
                      <w:rFonts w:hint="eastAsia" w:cs="Times New Roman"/>
                      <w:bCs/>
                      <w:color w:val="auto"/>
                      <w:kern w:val="0"/>
                      <w:szCs w:val="21"/>
                      <w:lang w:val="en-US" w:eastAsia="zh-CN"/>
                    </w:rPr>
                    <w:t>m</w:t>
                  </w:r>
                  <w:r>
                    <w:rPr>
                      <w:rFonts w:hint="eastAsia" w:cs="Times New Roman"/>
                      <w:bCs/>
                      <w:color w:val="auto"/>
                      <w:kern w:val="0"/>
                      <w:szCs w:val="21"/>
                      <w:vertAlign w:val="superscript"/>
                      <w:lang w:val="en-US" w:eastAsia="zh-CN"/>
                    </w:rPr>
                    <w:t>3</w:t>
                  </w:r>
                  <w:r>
                    <w:rPr>
                      <w:rFonts w:hint="eastAsia" w:cs="Times New Roman"/>
                      <w:bCs/>
                      <w:color w:val="auto"/>
                      <w:kern w:val="0"/>
                      <w:szCs w:val="21"/>
                      <w:vertAlign w:val="baseline"/>
                      <w:lang w:val="en-US" w:eastAsia="zh-CN"/>
                    </w:rPr>
                    <w:t>/t产品</w:t>
                  </w:r>
                </w:p>
              </w:tc>
              <w:tc>
                <w:tcPr>
                  <w:tcW w:w="675" w:type="pct"/>
                  <w:noWrap w:val="0"/>
                  <w:tcMar>
                    <w:top w:w="0" w:type="dxa"/>
                    <w:left w:w="0" w:type="dxa"/>
                    <w:bottom w:w="0" w:type="dxa"/>
                    <w:right w:w="0" w:type="dxa"/>
                  </w:tcMar>
                  <w:vAlign w:val="center"/>
                </w:tcPr>
                <w:p w14:paraId="32ADDDD6">
                  <w:pPr>
                    <w:keepNext w:val="0"/>
                    <w:keepLines w:val="0"/>
                    <w:suppressLineNumbers w:val="0"/>
                    <w:spacing w:before="0" w:beforeAutospacing="0" w:after="0" w:afterAutospacing="0"/>
                    <w:ind w:left="0" w:right="0"/>
                    <w:jc w:val="center"/>
                    <w:rPr>
                      <w:rFonts w:hint="default" w:cs="Times New Roman"/>
                      <w:bCs/>
                      <w:color w:val="auto"/>
                      <w:lang w:val="en-US" w:eastAsia="zh-CN"/>
                    </w:rPr>
                  </w:pPr>
                  <w:r>
                    <w:rPr>
                      <w:rFonts w:hint="eastAsia" w:cs="Times New Roman"/>
                      <w:bCs/>
                      <w:color w:val="auto"/>
                      <w:lang w:val="en-US" w:eastAsia="zh-CN"/>
                    </w:rPr>
                    <w:t>200</w:t>
                  </w:r>
                </w:p>
              </w:tc>
              <w:tc>
                <w:tcPr>
                  <w:tcW w:w="499" w:type="pct"/>
                  <w:noWrap w:val="0"/>
                  <w:tcMar>
                    <w:top w:w="0" w:type="dxa"/>
                    <w:left w:w="0" w:type="dxa"/>
                    <w:bottom w:w="0" w:type="dxa"/>
                    <w:right w:w="0" w:type="dxa"/>
                  </w:tcMar>
                  <w:vAlign w:val="center"/>
                </w:tcPr>
                <w:p w14:paraId="11E5E6FC">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lang w:val="en-US" w:eastAsia="zh-CN"/>
                    </w:rPr>
                  </w:pPr>
                  <w:r>
                    <w:rPr>
                      <w:rFonts w:hint="eastAsia" w:cs="Times New Roman"/>
                      <w:bCs/>
                      <w:color w:val="auto"/>
                      <w:lang w:val="en-US" w:eastAsia="zh-CN"/>
                    </w:rPr>
                    <w:t>3.75</w:t>
                  </w:r>
                </w:p>
              </w:tc>
              <w:tc>
                <w:tcPr>
                  <w:tcW w:w="521" w:type="pct"/>
                  <w:noWrap w:val="0"/>
                  <w:tcMar>
                    <w:top w:w="0" w:type="dxa"/>
                    <w:left w:w="0" w:type="dxa"/>
                    <w:bottom w:w="0" w:type="dxa"/>
                    <w:right w:w="0" w:type="dxa"/>
                  </w:tcMar>
                  <w:vAlign w:val="center"/>
                </w:tcPr>
                <w:p w14:paraId="61E9057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lang w:val="en-US" w:eastAsia="zh-CN" w:bidi="ar"/>
                    </w:rPr>
                  </w:pPr>
                  <w:r>
                    <w:rPr>
                      <w:rFonts w:hint="eastAsia" w:cs="Times New Roman"/>
                      <w:color w:val="auto"/>
                      <w:kern w:val="0"/>
                      <w:szCs w:val="21"/>
                      <w:lang w:val="en-US" w:eastAsia="zh-CN" w:bidi="ar"/>
                    </w:rPr>
                    <w:t>750</w:t>
                  </w:r>
                </w:p>
              </w:tc>
              <w:tc>
                <w:tcPr>
                  <w:tcW w:w="463" w:type="pct"/>
                  <w:noWrap w:val="0"/>
                  <w:tcMar>
                    <w:top w:w="0" w:type="dxa"/>
                    <w:left w:w="0" w:type="dxa"/>
                    <w:bottom w:w="0" w:type="dxa"/>
                    <w:right w:w="0" w:type="dxa"/>
                  </w:tcMar>
                  <w:vAlign w:val="center"/>
                </w:tcPr>
                <w:p w14:paraId="0B7A4C57">
                  <w:pPr>
                    <w:keepNext w:val="0"/>
                    <w:keepLines w:val="0"/>
                    <w:suppressLineNumbers w:val="0"/>
                    <w:spacing w:before="0" w:beforeAutospacing="0" w:after="0" w:afterAutospacing="0"/>
                    <w:ind w:left="0" w:right="0"/>
                    <w:jc w:val="center"/>
                    <w:rPr>
                      <w:rFonts w:hint="eastAsia" w:ascii="Times New Roman" w:hAnsi="Times New Roman" w:eastAsia="宋体" w:cs="Times New Roman"/>
                      <w:bCs/>
                      <w:color w:val="auto"/>
                    </w:rPr>
                  </w:pPr>
                  <w:r>
                    <w:rPr>
                      <w:rFonts w:hint="eastAsia" w:cs="Times New Roman"/>
                      <w:bCs/>
                      <w:color w:val="auto"/>
                      <w:lang w:val="en-US" w:eastAsia="zh-CN"/>
                    </w:rPr>
                    <w:t>地下水</w:t>
                  </w:r>
                </w:p>
              </w:tc>
              <w:tc>
                <w:tcPr>
                  <w:tcW w:w="384" w:type="pct"/>
                  <w:noWrap w:val="0"/>
                  <w:tcMar>
                    <w:top w:w="0" w:type="dxa"/>
                    <w:left w:w="0" w:type="dxa"/>
                    <w:bottom w:w="0" w:type="dxa"/>
                    <w:right w:w="0" w:type="dxa"/>
                  </w:tcMar>
                  <w:vAlign w:val="center"/>
                </w:tcPr>
                <w:p w14:paraId="5FADCA42">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lang w:val="en-US" w:eastAsia="zh-CN"/>
                    </w:rPr>
                  </w:pPr>
                  <w:r>
                    <w:rPr>
                      <w:rFonts w:hint="eastAsia" w:cs="Times New Roman"/>
                      <w:bCs/>
                      <w:color w:val="auto"/>
                      <w:lang w:val="en-US" w:eastAsia="zh-CN"/>
                    </w:rPr>
                    <w:t>0.2</w:t>
                  </w:r>
                </w:p>
              </w:tc>
              <w:tc>
                <w:tcPr>
                  <w:tcW w:w="385" w:type="pct"/>
                  <w:noWrap w:val="0"/>
                  <w:tcMar>
                    <w:top w:w="0" w:type="dxa"/>
                    <w:left w:w="0" w:type="dxa"/>
                    <w:bottom w:w="0" w:type="dxa"/>
                    <w:right w:w="0" w:type="dxa"/>
                  </w:tcMar>
                  <w:vAlign w:val="center"/>
                </w:tcPr>
                <w:p w14:paraId="688EC125">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lang w:val="en-US" w:eastAsia="zh-CN"/>
                    </w:rPr>
                  </w:pPr>
                  <w:r>
                    <w:rPr>
                      <w:rFonts w:hint="eastAsia" w:cs="Times New Roman"/>
                      <w:bCs/>
                      <w:color w:val="auto"/>
                      <w:lang w:val="en-US" w:eastAsia="zh-CN"/>
                    </w:rPr>
                    <w:t>0.75</w:t>
                  </w:r>
                </w:p>
              </w:tc>
              <w:tc>
                <w:tcPr>
                  <w:tcW w:w="499" w:type="pct"/>
                  <w:noWrap w:val="0"/>
                  <w:tcMar>
                    <w:top w:w="0" w:type="dxa"/>
                    <w:left w:w="0" w:type="dxa"/>
                    <w:bottom w:w="0" w:type="dxa"/>
                    <w:right w:w="0" w:type="dxa"/>
                  </w:tcMar>
                  <w:vAlign w:val="center"/>
                </w:tcPr>
                <w:p w14:paraId="1334DCCD">
                  <w:pPr>
                    <w:keepNext w:val="0"/>
                    <w:keepLines w:val="0"/>
                    <w:suppressLineNumbers w:val="0"/>
                    <w:spacing w:before="0" w:beforeAutospacing="0" w:after="0" w:afterAutospacing="0"/>
                    <w:ind w:left="0" w:right="0"/>
                    <w:jc w:val="center"/>
                    <w:rPr>
                      <w:rFonts w:hint="eastAsia" w:ascii="Times New Roman" w:hAnsi="Times New Roman" w:eastAsia="宋体" w:cs="Times New Roman"/>
                      <w:bCs/>
                      <w:color w:val="auto"/>
                    </w:rPr>
                  </w:pPr>
                  <w:r>
                    <w:rPr>
                      <w:rFonts w:hint="eastAsia" w:ascii="Times New Roman" w:hAnsi="Times New Roman" w:eastAsia="宋体" w:cs="Times New Roman"/>
                      <w:bCs/>
                      <w:color w:val="auto"/>
                    </w:rPr>
                    <w:t>70%</w:t>
                  </w:r>
                  <w:r>
                    <w:rPr>
                      <w:rFonts w:hint="eastAsia" w:cs="Times New Roman"/>
                      <w:bCs/>
                      <w:color w:val="auto"/>
                      <w:lang w:val="en-US" w:eastAsia="zh-CN"/>
                    </w:rPr>
                    <w:t>蒸发损耗</w:t>
                  </w:r>
                  <w:r>
                    <w:rPr>
                      <w:rFonts w:hint="eastAsia" w:ascii="Times New Roman" w:hAnsi="Times New Roman" w:eastAsia="宋体" w:cs="Times New Roman"/>
                      <w:bCs/>
                      <w:color w:val="auto"/>
                    </w:rPr>
                    <w:t>，20%</w:t>
                  </w:r>
                  <w:r>
                    <w:rPr>
                      <w:rFonts w:hint="eastAsia" w:cs="Times New Roman"/>
                      <w:bCs/>
                      <w:color w:val="auto"/>
                      <w:lang w:val="en-US" w:eastAsia="zh-CN"/>
                    </w:rPr>
                    <w:t>收集沟收集后经处理回用于生产</w:t>
                  </w:r>
                  <w:r>
                    <w:rPr>
                      <w:rFonts w:hint="eastAsia" w:ascii="Times New Roman" w:hAnsi="Times New Roman" w:eastAsia="宋体" w:cs="Times New Roman"/>
                      <w:bCs/>
                      <w:color w:val="auto"/>
                    </w:rPr>
                    <w:t>，剩余10%产品带走</w:t>
                  </w:r>
                </w:p>
              </w:tc>
            </w:tr>
            <w:tr w14:paraId="0123FA3D">
              <w:tblPrEx>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6" w:hRule="atLeast"/>
                <w:jc w:val="center"/>
              </w:trPr>
              <w:tc>
                <w:tcPr>
                  <w:tcW w:w="378" w:type="pct"/>
                  <w:noWrap w:val="0"/>
                  <w:tcMar>
                    <w:top w:w="0" w:type="dxa"/>
                    <w:left w:w="0" w:type="dxa"/>
                    <w:bottom w:w="0" w:type="dxa"/>
                    <w:right w:w="0" w:type="dxa"/>
                  </w:tcMar>
                  <w:vAlign w:val="center"/>
                </w:tcPr>
                <w:p w14:paraId="03363C82">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lang w:val="en-US" w:eastAsia="zh-CN"/>
                    </w:rPr>
                  </w:pPr>
                  <w:r>
                    <w:rPr>
                      <w:rFonts w:hint="eastAsia" w:cs="Times New Roman"/>
                      <w:bCs/>
                      <w:color w:val="auto"/>
                      <w:lang w:val="en-US" w:eastAsia="zh-CN"/>
                    </w:rPr>
                    <w:t>车辆冲洗用水</w:t>
                  </w:r>
                </w:p>
              </w:tc>
              <w:tc>
                <w:tcPr>
                  <w:tcW w:w="540" w:type="pct"/>
                  <w:noWrap w:val="0"/>
                  <w:tcMar>
                    <w:top w:w="0" w:type="dxa"/>
                    <w:left w:w="0" w:type="dxa"/>
                    <w:bottom w:w="0" w:type="dxa"/>
                    <w:right w:w="0" w:type="dxa"/>
                  </w:tcMar>
                  <w:vAlign w:val="center"/>
                </w:tcPr>
                <w:p w14:paraId="3F9D797A">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lang w:val="en-US" w:eastAsia="zh-CN"/>
                    </w:rPr>
                  </w:pPr>
                  <w:r>
                    <w:rPr>
                      <w:rFonts w:hint="eastAsia" w:cs="Times New Roman"/>
                      <w:bCs/>
                      <w:color w:val="auto"/>
                      <w:lang w:val="en-US" w:eastAsia="zh-CN"/>
                    </w:rPr>
                    <w:t>10辆</w:t>
                  </w:r>
                </w:p>
              </w:tc>
              <w:tc>
                <w:tcPr>
                  <w:tcW w:w="652" w:type="pct"/>
                  <w:noWrap w:val="0"/>
                  <w:tcMar>
                    <w:top w:w="0" w:type="dxa"/>
                    <w:left w:w="0" w:type="dxa"/>
                    <w:bottom w:w="0" w:type="dxa"/>
                    <w:right w:w="0" w:type="dxa"/>
                  </w:tcMar>
                  <w:vAlign w:val="center"/>
                </w:tcPr>
                <w:p w14:paraId="1803C5CB">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lang w:val="en-US"/>
                    </w:rPr>
                  </w:pPr>
                  <w:r>
                    <w:rPr>
                      <w:rFonts w:hint="eastAsia" w:ascii="Times New Roman" w:hAnsi="Times New Roman" w:cs="Times New Roman"/>
                      <w:b w:val="0"/>
                      <w:bCs w:val="0"/>
                      <w:color w:val="auto"/>
                      <w:sz w:val="21"/>
                      <w:szCs w:val="21"/>
                      <w:vertAlign w:val="baseline"/>
                      <w:lang w:val="en-US" w:eastAsia="zh-CN"/>
                    </w:rPr>
                    <w:t>0.5m</w:t>
                  </w:r>
                  <w:r>
                    <w:rPr>
                      <w:rFonts w:hint="eastAsia" w:ascii="Times New Roman" w:hAnsi="Times New Roman" w:cs="Times New Roman"/>
                      <w:b w:val="0"/>
                      <w:bCs w:val="0"/>
                      <w:color w:val="auto"/>
                      <w:sz w:val="21"/>
                      <w:szCs w:val="21"/>
                      <w:vertAlign w:val="superscript"/>
                      <w:lang w:val="en-US" w:eastAsia="zh-CN"/>
                    </w:rPr>
                    <w:t>3</w:t>
                  </w:r>
                  <w:r>
                    <w:rPr>
                      <w:rFonts w:hint="eastAsia" w:ascii="Times New Roman" w:hAnsi="Times New Roman" w:cs="Times New Roman"/>
                      <w:b w:val="0"/>
                      <w:bCs w:val="0"/>
                      <w:color w:val="auto"/>
                      <w:sz w:val="21"/>
                      <w:szCs w:val="21"/>
                      <w:vertAlign w:val="baseline"/>
                      <w:lang w:val="en-US" w:eastAsia="zh-CN"/>
                    </w:rPr>
                    <w:t>/辆·次</w:t>
                  </w:r>
                </w:p>
              </w:tc>
              <w:tc>
                <w:tcPr>
                  <w:tcW w:w="675" w:type="pct"/>
                  <w:noWrap w:val="0"/>
                  <w:tcMar>
                    <w:top w:w="0" w:type="dxa"/>
                    <w:left w:w="0" w:type="dxa"/>
                    <w:bottom w:w="0" w:type="dxa"/>
                    <w:right w:w="0" w:type="dxa"/>
                  </w:tcMar>
                  <w:vAlign w:val="center"/>
                </w:tcPr>
                <w:p w14:paraId="20363B84">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lang w:val="en-US" w:eastAsia="zh-CN"/>
                    </w:rPr>
                  </w:pPr>
                  <w:r>
                    <w:rPr>
                      <w:rFonts w:hint="eastAsia" w:cs="Times New Roman"/>
                      <w:bCs/>
                      <w:color w:val="auto"/>
                      <w:szCs w:val="21"/>
                      <w:lang w:val="en-US" w:eastAsia="zh-CN"/>
                    </w:rPr>
                    <w:t>200</w:t>
                  </w:r>
                </w:p>
              </w:tc>
              <w:tc>
                <w:tcPr>
                  <w:tcW w:w="499" w:type="pct"/>
                  <w:noWrap w:val="0"/>
                  <w:tcMar>
                    <w:top w:w="0" w:type="dxa"/>
                    <w:left w:w="0" w:type="dxa"/>
                    <w:bottom w:w="0" w:type="dxa"/>
                    <w:right w:w="0" w:type="dxa"/>
                  </w:tcMar>
                  <w:vAlign w:val="center"/>
                </w:tcPr>
                <w:p w14:paraId="19B91FC2">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5</w:t>
                  </w:r>
                </w:p>
              </w:tc>
              <w:tc>
                <w:tcPr>
                  <w:tcW w:w="521" w:type="pct"/>
                  <w:noWrap w:val="0"/>
                  <w:tcMar>
                    <w:top w:w="0" w:type="dxa"/>
                    <w:left w:w="0" w:type="dxa"/>
                    <w:bottom w:w="0" w:type="dxa"/>
                    <w:right w:w="0" w:type="dxa"/>
                  </w:tcMar>
                  <w:vAlign w:val="center"/>
                </w:tcPr>
                <w:p w14:paraId="00A7F9D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lang w:val="en-US" w:eastAsia="zh-CN" w:bidi="ar"/>
                    </w:rPr>
                  </w:pPr>
                  <w:r>
                    <w:rPr>
                      <w:rFonts w:hint="eastAsia" w:cs="Times New Roman"/>
                      <w:color w:val="auto"/>
                      <w:kern w:val="0"/>
                      <w:szCs w:val="21"/>
                      <w:lang w:val="en-US" w:eastAsia="zh-CN" w:bidi="ar"/>
                    </w:rPr>
                    <w:t>2000</w:t>
                  </w:r>
                </w:p>
              </w:tc>
              <w:tc>
                <w:tcPr>
                  <w:tcW w:w="463" w:type="pct"/>
                  <w:noWrap w:val="0"/>
                  <w:tcMar>
                    <w:top w:w="0" w:type="dxa"/>
                    <w:left w:w="0" w:type="dxa"/>
                    <w:bottom w:w="0" w:type="dxa"/>
                    <w:right w:w="0" w:type="dxa"/>
                  </w:tcMar>
                  <w:vAlign w:val="center"/>
                </w:tcPr>
                <w:p w14:paraId="2D131C68">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rPr>
                  </w:pPr>
                  <w:r>
                    <w:rPr>
                      <w:rFonts w:hint="eastAsia" w:cs="Times New Roman"/>
                      <w:bCs/>
                      <w:color w:val="auto"/>
                      <w:lang w:val="en-US" w:eastAsia="zh-CN"/>
                    </w:rPr>
                    <w:t>地下水</w:t>
                  </w:r>
                </w:p>
              </w:tc>
              <w:tc>
                <w:tcPr>
                  <w:tcW w:w="384" w:type="pct"/>
                  <w:noWrap w:val="0"/>
                  <w:tcMar>
                    <w:top w:w="0" w:type="dxa"/>
                    <w:left w:w="0" w:type="dxa"/>
                    <w:bottom w:w="0" w:type="dxa"/>
                    <w:right w:w="0" w:type="dxa"/>
                  </w:tcMar>
                  <w:vAlign w:val="center"/>
                </w:tcPr>
                <w:p w14:paraId="23246305">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0.8</w:t>
                  </w:r>
                </w:p>
              </w:tc>
              <w:tc>
                <w:tcPr>
                  <w:tcW w:w="385" w:type="pct"/>
                  <w:noWrap w:val="0"/>
                  <w:tcMar>
                    <w:top w:w="0" w:type="dxa"/>
                    <w:left w:w="0" w:type="dxa"/>
                    <w:bottom w:w="0" w:type="dxa"/>
                    <w:right w:w="0" w:type="dxa"/>
                  </w:tcMar>
                  <w:vAlign w:val="center"/>
                </w:tcPr>
                <w:p w14:paraId="61EF296E">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lang w:val="en-US" w:eastAsia="zh-CN"/>
                    </w:rPr>
                  </w:pPr>
                  <w:r>
                    <w:rPr>
                      <w:rFonts w:hint="eastAsia" w:cs="Times New Roman"/>
                      <w:bCs/>
                      <w:color w:val="auto"/>
                      <w:lang w:val="en-US" w:eastAsia="zh-CN"/>
                    </w:rPr>
                    <w:t>4</w:t>
                  </w:r>
                </w:p>
              </w:tc>
              <w:tc>
                <w:tcPr>
                  <w:tcW w:w="499" w:type="pct"/>
                  <w:noWrap w:val="0"/>
                  <w:tcMar>
                    <w:top w:w="0" w:type="dxa"/>
                    <w:left w:w="0" w:type="dxa"/>
                    <w:bottom w:w="0" w:type="dxa"/>
                    <w:right w:w="0" w:type="dxa"/>
                  </w:tcMar>
                  <w:vAlign w:val="center"/>
                </w:tcPr>
                <w:p w14:paraId="2C875A3D">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lang w:val="en-US" w:eastAsia="zh-CN"/>
                    </w:rPr>
                  </w:pPr>
                  <w:r>
                    <w:rPr>
                      <w:rFonts w:hint="eastAsia" w:cs="Times New Roman"/>
                      <w:bCs/>
                      <w:color w:val="auto"/>
                      <w:lang w:val="en-US" w:eastAsia="zh-CN"/>
                    </w:rPr>
                    <w:t>经废水处理系统处理后回用于生产</w:t>
                  </w:r>
                </w:p>
              </w:tc>
            </w:tr>
            <w:tr w14:paraId="0A9C57BB">
              <w:tblPrEx>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6" w:hRule="atLeast"/>
                <w:jc w:val="center"/>
              </w:trPr>
              <w:tc>
                <w:tcPr>
                  <w:tcW w:w="378" w:type="pct"/>
                  <w:noWrap w:val="0"/>
                  <w:tcMar>
                    <w:top w:w="0" w:type="dxa"/>
                    <w:left w:w="0" w:type="dxa"/>
                    <w:bottom w:w="0" w:type="dxa"/>
                    <w:right w:w="0" w:type="dxa"/>
                  </w:tcMar>
                  <w:vAlign w:val="center"/>
                </w:tcPr>
                <w:p w14:paraId="55F54A79">
                  <w:pPr>
                    <w:keepNext w:val="0"/>
                    <w:keepLines w:val="0"/>
                    <w:suppressLineNumbers w:val="0"/>
                    <w:spacing w:before="0" w:beforeAutospacing="0" w:after="0" w:afterAutospacing="0"/>
                    <w:ind w:left="0" w:right="0"/>
                    <w:jc w:val="center"/>
                    <w:rPr>
                      <w:rFonts w:hint="default" w:cs="Times New Roman"/>
                      <w:bCs/>
                      <w:color w:val="auto"/>
                      <w:lang w:val="en-US" w:eastAsia="zh-CN"/>
                    </w:rPr>
                  </w:pPr>
                  <w:r>
                    <w:rPr>
                      <w:rFonts w:hint="eastAsia" w:cs="Times New Roman"/>
                      <w:bCs/>
                      <w:color w:val="auto"/>
                      <w:lang w:val="en-US" w:eastAsia="zh-CN"/>
                    </w:rPr>
                    <w:t>道路抑尘用水</w:t>
                  </w:r>
                </w:p>
              </w:tc>
              <w:tc>
                <w:tcPr>
                  <w:tcW w:w="540" w:type="pct"/>
                  <w:noWrap w:val="0"/>
                  <w:tcMar>
                    <w:top w:w="0" w:type="dxa"/>
                    <w:left w:w="0" w:type="dxa"/>
                    <w:bottom w:w="0" w:type="dxa"/>
                    <w:right w:w="0" w:type="dxa"/>
                  </w:tcMar>
                  <w:vAlign w:val="center"/>
                </w:tcPr>
                <w:p w14:paraId="628E7D05">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lang w:val="en-US" w:eastAsia="zh-CN"/>
                    </w:rPr>
                  </w:pPr>
                  <w:r>
                    <w:rPr>
                      <w:rFonts w:hint="eastAsia" w:cs="Times New Roman"/>
                      <w:bCs/>
                      <w:color w:val="auto"/>
                      <w:lang w:val="en-US" w:eastAsia="zh-CN"/>
                    </w:rPr>
                    <w:t>1000</w:t>
                  </w:r>
                  <w:r>
                    <w:rPr>
                      <w:rFonts w:hint="eastAsia" w:cs="Times New Roman"/>
                      <w:bCs/>
                      <w:color w:val="auto"/>
                      <w:kern w:val="0"/>
                      <w:szCs w:val="21"/>
                      <w:lang w:val="en-US" w:eastAsia="zh-CN"/>
                    </w:rPr>
                    <w:t>m</w:t>
                  </w:r>
                  <w:r>
                    <w:rPr>
                      <w:rFonts w:hint="eastAsia" w:cs="Times New Roman"/>
                      <w:bCs/>
                      <w:color w:val="auto"/>
                      <w:kern w:val="0"/>
                      <w:szCs w:val="21"/>
                      <w:vertAlign w:val="superscript"/>
                      <w:lang w:val="en-US" w:eastAsia="zh-CN"/>
                    </w:rPr>
                    <w:t>2</w:t>
                  </w:r>
                </w:p>
              </w:tc>
              <w:tc>
                <w:tcPr>
                  <w:tcW w:w="652" w:type="pct"/>
                  <w:noWrap w:val="0"/>
                  <w:tcMar>
                    <w:top w:w="0" w:type="dxa"/>
                    <w:left w:w="0" w:type="dxa"/>
                    <w:bottom w:w="0" w:type="dxa"/>
                    <w:right w:w="0" w:type="dxa"/>
                  </w:tcMar>
                  <w:vAlign w:val="center"/>
                </w:tcPr>
                <w:p w14:paraId="18FC90E4">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Cs w:val="21"/>
                      <w:lang w:val="en-US" w:eastAsia="zh-CN"/>
                    </w:rPr>
                  </w:pPr>
                  <w:r>
                    <w:rPr>
                      <w:rFonts w:hint="eastAsia" w:cs="Times New Roman"/>
                      <w:bCs/>
                      <w:color w:val="auto"/>
                      <w:kern w:val="0"/>
                      <w:szCs w:val="21"/>
                      <w:lang w:val="en-US" w:eastAsia="zh-CN"/>
                    </w:rPr>
                    <w:t>2L/m</w:t>
                  </w:r>
                  <w:r>
                    <w:rPr>
                      <w:rFonts w:hint="eastAsia" w:cs="Times New Roman"/>
                      <w:bCs/>
                      <w:color w:val="auto"/>
                      <w:kern w:val="0"/>
                      <w:szCs w:val="21"/>
                      <w:vertAlign w:val="superscript"/>
                      <w:lang w:val="en-US" w:eastAsia="zh-CN"/>
                    </w:rPr>
                    <w:t>2</w:t>
                  </w:r>
                </w:p>
              </w:tc>
              <w:tc>
                <w:tcPr>
                  <w:tcW w:w="675" w:type="pct"/>
                  <w:noWrap w:val="0"/>
                  <w:tcMar>
                    <w:top w:w="0" w:type="dxa"/>
                    <w:left w:w="0" w:type="dxa"/>
                    <w:bottom w:w="0" w:type="dxa"/>
                    <w:right w:w="0" w:type="dxa"/>
                  </w:tcMar>
                  <w:vAlign w:val="center"/>
                </w:tcPr>
                <w:p w14:paraId="2873C740">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200</w:t>
                  </w:r>
                </w:p>
              </w:tc>
              <w:tc>
                <w:tcPr>
                  <w:tcW w:w="499" w:type="pct"/>
                  <w:noWrap w:val="0"/>
                  <w:tcMar>
                    <w:top w:w="0" w:type="dxa"/>
                    <w:left w:w="0" w:type="dxa"/>
                    <w:bottom w:w="0" w:type="dxa"/>
                    <w:right w:w="0" w:type="dxa"/>
                  </w:tcMar>
                  <w:vAlign w:val="center"/>
                </w:tcPr>
                <w:p w14:paraId="1ED0CAA8">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2</w:t>
                  </w:r>
                </w:p>
              </w:tc>
              <w:tc>
                <w:tcPr>
                  <w:tcW w:w="521" w:type="pct"/>
                  <w:noWrap w:val="0"/>
                  <w:tcMar>
                    <w:top w:w="0" w:type="dxa"/>
                    <w:left w:w="0" w:type="dxa"/>
                    <w:bottom w:w="0" w:type="dxa"/>
                    <w:right w:w="0" w:type="dxa"/>
                  </w:tcMar>
                  <w:vAlign w:val="center"/>
                </w:tcPr>
                <w:p w14:paraId="66D1FE4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lang w:val="en-US" w:eastAsia="zh-CN" w:bidi="ar"/>
                    </w:rPr>
                  </w:pPr>
                  <w:r>
                    <w:rPr>
                      <w:rFonts w:hint="eastAsia" w:cs="Times New Roman"/>
                      <w:color w:val="auto"/>
                      <w:kern w:val="0"/>
                      <w:szCs w:val="21"/>
                      <w:lang w:val="en-US" w:eastAsia="zh-CN" w:bidi="ar"/>
                    </w:rPr>
                    <w:t>400</w:t>
                  </w:r>
                </w:p>
              </w:tc>
              <w:tc>
                <w:tcPr>
                  <w:tcW w:w="463" w:type="pct"/>
                  <w:noWrap w:val="0"/>
                  <w:tcMar>
                    <w:top w:w="0" w:type="dxa"/>
                    <w:left w:w="0" w:type="dxa"/>
                    <w:bottom w:w="0" w:type="dxa"/>
                    <w:right w:w="0" w:type="dxa"/>
                  </w:tcMar>
                  <w:vAlign w:val="center"/>
                </w:tcPr>
                <w:p w14:paraId="7D8D3F25">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rPr>
                  </w:pPr>
                  <w:r>
                    <w:rPr>
                      <w:rFonts w:hint="eastAsia" w:cs="Times New Roman"/>
                      <w:bCs/>
                      <w:color w:val="auto"/>
                      <w:lang w:val="en-US" w:eastAsia="zh-CN"/>
                    </w:rPr>
                    <w:t>地下水</w:t>
                  </w:r>
                </w:p>
              </w:tc>
              <w:tc>
                <w:tcPr>
                  <w:tcW w:w="384" w:type="pct"/>
                  <w:noWrap w:val="0"/>
                  <w:tcMar>
                    <w:top w:w="0" w:type="dxa"/>
                    <w:left w:w="0" w:type="dxa"/>
                    <w:bottom w:w="0" w:type="dxa"/>
                    <w:right w:w="0" w:type="dxa"/>
                  </w:tcMar>
                  <w:vAlign w:val="center"/>
                </w:tcPr>
                <w:p w14:paraId="542BBC45">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lang w:val="en-US" w:eastAsia="zh-CN"/>
                    </w:rPr>
                  </w:pPr>
                  <w:r>
                    <w:rPr>
                      <w:rFonts w:hint="eastAsia" w:cs="Times New Roman"/>
                      <w:bCs/>
                      <w:color w:val="auto"/>
                      <w:lang w:val="en-US" w:eastAsia="zh-CN"/>
                    </w:rPr>
                    <w:t>0</w:t>
                  </w:r>
                </w:p>
              </w:tc>
              <w:tc>
                <w:tcPr>
                  <w:tcW w:w="385" w:type="pct"/>
                  <w:noWrap w:val="0"/>
                  <w:tcMar>
                    <w:top w:w="0" w:type="dxa"/>
                    <w:left w:w="0" w:type="dxa"/>
                    <w:bottom w:w="0" w:type="dxa"/>
                    <w:right w:w="0" w:type="dxa"/>
                  </w:tcMar>
                  <w:vAlign w:val="center"/>
                </w:tcPr>
                <w:p w14:paraId="03E86068">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lang w:val="en-US" w:eastAsia="zh-CN"/>
                    </w:rPr>
                  </w:pPr>
                  <w:r>
                    <w:rPr>
                      <w:rFonts w:hint="eastAsia" w:cs="Times New Roman"/>
                      <w:bCs/>
                      <w:color w:val="auto"/>
                      <w:lang w:val="en-US" w:eastAsia="zh-CN"/>
                    </w:rPr>
                    <w:t>0</w:t>
                  </w:r>
                </w:p>
              </w:tc>
              <w:tc>
                <w:tcPr>
                  <w:tcW w:w="499" w:type="pct"/>
                  <w:noWrap w:val="0"/>
                  <w:tcMar>
                    <w:top w:w="0" w:type="dxa"/>
                    <w:left w:w="0" w:type="dxa"/>
                    <w:bottom w:w="0" w:type="dxa"/>
                    <w:right w:w="0" w:type="dxa"/>
                  </w:tcMar>
                  <w:vAlign w:val="center"/>
                </w:tcPr>
                <w:p w14:paraId="5EC197F4">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lang w:val="en-US" w:eastAsia="zh-CN"/>
                    </w:rPr>
                  </w:pPr>
                  <w:r>
                    <w:rPr>
                      <w:rFonts w:hint="eastAsia" w:cs="Times New Roman"/>
                      <w:bCs/>
                      <w:color w:val="auto"/>
                      <w:lang w:val="en-US" w:eastAsia="zh-CN"/>
                    </w:rPr>
                    <w:t>蒸发损耗</w:t>
                  </w:r>
                </w:p>
              </w:tc>
            </w:tr>
            <w:tr w14:paraId="7D9370AB">
              <w:tblPrEx>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8" w:hRule="atLeast"/>
                <w:jc w:val="center"/>
              </w:trPr>
              <w:tc>
                <w:tcPr>
                  <w:tcW w:w="5000" w:type="pct"/>
                  <w:gridSpan w:val="10"/>
                  <w:noWrap w:val="0"/>
                  <w:tcMar>
                    <w:top w:w="0" w:type="dxa"/>
                    <w:left w:w="0" w:type="dxa"/>
                    <w:bottom w:w="0" w:type="dxa"/>
                    <w:right w:w="0" w:type="dxa"/>
                  </w:tcMar>
                  <w:vAlign w:val="center"/>
                </w:tcPr>
                <w:p w14:paraId="249A79FB">
                  <w:pPr>
                    <w:keepNext w:val="0"/>
                    <w:keepLines w:val="0"/>
                    <w:suppressLineNumbers w:val="0"/>
                    <w:spacing w:before="0" w:beforeAutospacing="0" w:after="0" w:afterAutospacing="0"/>
                    <w:ind w:left="0" w:right="0"/>
                    <w:jc w:val="both"/>
                    <w:rPr>
                      <w:rFonts w:hint="eastAsia" w:cs="Times New Roman"/>
                      <w:bCs/>
                      <w:color w:val="auto"/>
                      <w:lang w:val="en-US" w:eastAsia="zh-CN"/>
                    </w:rPr>
                  </w:pPr>
                  <w:r>
                    <w:rPr>
                      <w:rFonts w:hint="eastAsia" w:cs="Times New Roman"/>
                      <w:bCs/>
                      <w:color w:val="auto"/>
                      <w:lang w:val="en-US" w:eastAsia="zh-CN"/>
                    </w:rPr>
                    <w:t>注：①本次评价以项目最大用水量进行核算，不考虑初期雨水补水情况</w:t>
                  </w:r>
                </w:p>
                <w:p w14:paraId="3BFBF569">
                  <w:pPr>
                    <w:keepNext w:val="0"/>
                    <w:keepLines w:val="0"/>
                    <w:suppressLineNumbers w:val="0"/>
                    <w:spacing w:before="0" w:beforeAutospacing="0" w:after="0" w:afterAutospacing="0"/>
                    <w:ind w:left="0" w:right="0"/>
                    <w:jc w:val="both"/>
                    <w:rPr>
                      <w:rFonts w:hint="default" w:cs="Times New Roman"/>
                      <w:bCs/>
                      <w:color w:val="auto"/>
                      <w:lang w:val="en-US" w:eastAsia="zh-CN"/>
                    </w:rPr>
                  </w:pPr>
                  <w:r>
                    <w:rPr>
                      <w:rFonts w:hint="eastAsia" w:cs="宋体"/>
                      <w:color w:val="auto"/>
                      <w:szCs w:val="21"/>
                      <w:lang w:val="en-US" w:eastAsia="zh-CN"/>
                    </w:rPr>
                    <w:t>②项目产品含水率以10%计</w:t>
                  </w:r>
                </w:p>
              </w:tc>
            </w:tr>
          </w:tbl>
          <w:p w14:paraId="27C8EB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b w:val="0"/>
                <w:bCs/>
              </w:rPr>
            </w:pPr>
            <w:r>
              <w:rPr>
                <w:rFonts w:hint="eastAsia" w:ascii="Times New Roman" w:hAnsi="Times New Roman" w:eastAsia="宋体" w:cs="Times New Roman"/>
                <w:b w:val="0"/>
                <w:bCs/>
                <w:sz w:val="24"/>
              </w:rPr>
              <w:t>本项目水平衡详见下图：</w:t>
            </w:r>
          </w:p>
          <w:p w14:paraId="17D24AB1">
            <w:pPr>
              <w:pStyle w:val="72"/>
              <w:keepNext w:val="0"/>
              <w:keepLines w:val="0"/>
              <w:suppressLineNumbers w:val="0"/>
              <w:tabs>
                <w:tab w:val="left" w:pos="0"/>
              </w:tabs>
              <w:spacing w:before="0" w:beforeAutospacing="0" w:after="0" w:afterAutospacing="0"/>
              <w:ind w:left="0" w:right="0" w:firstLine="0"/>
              <w:jc w:val="center"/>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drawing>
                <wp:inline distT="0" distB="0" distL="114300" distR="114300">
                  <wp:extent cx="5304155" cy="3861435"/>
                  <wp:effectExtent l="0" t="0" r="0" b="0"/>
                  <wp:docPr id="4" name="图片 4" descr="水平衡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水平衡图"/>
                          <pic:cNvPicPr>
                            <a:picLocks noChangeAspect="1"/>
                          </pic:cNvPicPr>
                        </pic:nvPicPr>
                        <pic:blipFill>
                          <a:blip r:embed="rId15"/>
                          <a:stretch>
                            <a:fillRect/>
                          </a:stretch>
                        </pic:blipFill>
                        <pic:spPr>
                          <a:xfrm>
                            <a:off x="0" y="0"/>
                            <a:ext cx="5304155" cy="3861435"/>
                          </a:xfrm>
                          <a:prstGeom prst="rect">
                            <a:avLst/>
                          </a:prstGeom>
                        </pic:spPr>
                      </pic:pic>
                    </a:graphicData>
                  </a:graphic>
                </wp:inline>
              </w:drawing>
            </w:r>
          </w:p>
          <w:p w14:paraId="1FAB6FCB">
            <w:pPr>
              <w:pStyle w:val="72"/>
              <w:keepNext w:val="0"/>
              <w:keepLines w:val="0"/>
              <w:suppressLineNumbers w:val="0"/>
              <w:tabs>
                <w:tab w:val="left" w:pos="0"/>
              </w:tabs>
              <w:spacing w:before="0" w:beforeAutospacing="0" w:after="0" w:afterAutospacing="0"/>
              <w:ind w:left="0" w:right="0" w:firstLine="0"/>
              <w:jc w:val="center"/>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rPr>
              <w:t>图2-</w:t>
            </w:r>
            <w:r>
              <w:rPr>
                <w:rFonts w:hint="eastAsia" w:ascii="Times New Roman" w:hAnsi="Times New Roman" w:eastAsia="宋体" w:cs="Times New Roman"/>
                <w:b/>
                <w:bCs/>
                <w:color w:val="auto"/>
                <w:sz w:val="21"/>
                <w:szCs w:val="21"/>
                <w:lang w:val="en-US" w:eastAsia="zh-CN"/>
              </w:rPr>
              <w:t xml:space="preserve">1 </w:t>
            </w:r>
            <w:r>
              <w:rPr>
                <w:rFonts w:hint="eastAsia" w:ascii="Times New Roman" w:hAnsi="Times New Roman" w:eastAsia="宋体" w:cs="Times New Roman"/>
                <w:b/>
                <w:bCs/>
                <w:color w:val="auto"/>
                <w:sz w:val="21"/>
                <w:szCs w:val="21"/>
              </w:rPr>
              <w:t xml:space="preserve"> 项目水平衡图  单位m</w:t>
            </w:r>
            <w:r>
              <w:rPr>
                <w:rFonts w:hint="eastAsia" w:ascii="Times New Roman" w:hAnsi="Times New Roman" w:eastAsia="宋体" w:cs="Times New Roman"/>
                <w:b/>
                <w:bCs/>
                <w:color w:val="auto"/>
                <w:sz w:val="21"/>
                <w:szCs w:val="21"/>
                <w:vertAlign w:val="superscript"/>
              </w:rPr>
              <w:t>3</w:t>
            </w:r>
            <w:r>
              <w:rPr>
                <w:rFonts w:hint="eastAsia" w:ascii="Times New Roman" w:hAnsi="Times New Roman" w:eastAsia="宋体" w:cs="Times New Roman"/>
                <w:b/>
                <w:bCs/>
                <w:color w:val="auto"/>
                <w:sz w:val="21"/>
                <w:szCs w:val="21"/>
              </w:rPr>
              <w:t>/</w:t>
            </w:r>
            <w:r>
              <w:rPr>
                <w:rFonts w:hint="eastAsia" w:cs="Times New Roman"/>
                <w:b/>
                <w:bCs/>
                <w:color w:val="auto"/>
                <w:sz w:val="21"/>
                <w:szCs w:val="21"/>
                <w:lang w:val="en-US" w:eastAsia="zh-CN"/>
              </w:rPr>
              <w:t>a</w:t>
            </w:r>
          </w:p>
          <w:p w14:paraId="63073998">
            <w:pPr>
              <w:pStyle w:val="72"/>
              <w:keepNext w:val="0"/>
              <w:keepLines w:val="0"/>
              <w:suppressLineNumbers w:val="0"/>
              <w:spacing w:before="0" w:beforeAutospacing="0" w:after="0" w:afterAutospacing="0"/>
              <w:ind w:left="0" w:right="0" w:firstLine="0"/>
              <w:rPr>
                <w:rFonts w:hint="eastAsia" w:ascii="Times New Roman" w:hAnsi="Times New Roman" w:eastAsia="宋体" w:cs="Times New Roman"/>
                <w:b/>
                <w:bCs/>
                <w:color w:val="auto"/>
              </w:rPr>
            </w:pPr>
            <w:r>
              <w:rPr>
                <w:rFonts w:hint="eastAsia" w:ascii="Times New Roman" w:hAnsi="Times New Roman" w:eastAsia="宋体" w:cs="Times New Roman"/>
                <w:b/>
                <w:bCs/>
                <w:color w:val="auto"/>
                <w:lang w:val="en-US" w:eastAsia="zh-CN"/>
              </w:rPr>
              <w:t>五</w:t>
            </w:r>
            <w:r>
              <w:rPr>
                <w:rFonts w:hint="eastAsia" w:ascii="Times New Roman" w:hAnsi="Times New Roman" w:eastAsia="宋体" w:cs="Times New Roman"/>
                <w:b/>
                <w:bCs/>
                <w:color w:val="auto"/>
              </w:rPr>
              <w:t>、厂区平面布置</w:t>
            </w:r>
          </w:p>
          <w:p w14:paraId="22A3F9AF">
            <w:pPr>
              <w:keepNext w:val="0"/>
              <w:keepLines w:val="0"/>
              <w:suppressLineNumbers w:val="0"/>
              <w:spacing w:before="0" w:beforeAutospacing="0" w:after="0" w:afterAutospacing="0" w:line="360" w:lineRule="auto"/>
              <w:ind w:left="0" w:right="0" w:firstLine="482" w:firstLineChars="200"/>
              <w:outlineLvl w:val="1"/>
              <w:rPr>
                <w:rFonts w:hint="default" w:ascii="Times New Roman" w:hAnsi="Times New Roman" w:eastAsia="宋体" w:cs="Times New Roman"/>
                <w:bCs/>
                <w:color w:val="auto"/>
                <w:sz w:val="24"/>
              </w:rPr>
            </w:pPr>
            <w:r>
              <w:rPr>
                <w:rFonts w:hint="default" w:ascii="Times New Roman" w:hAnsi="Times New Roman" w:eastAsia="宋体" w:cs="Times New Roman"/>
                <w:b/>
                <w:bCs/>
                <w:sz w:val="24"/>
              </w:rPr>
              <w:t>总体布局</w:t>
            </w:r>
            <w:r>
              <w:rPr>
                <w:rFonts w:hint="eastAsia" w:ascii="Times New Roman" w:hAnsi="Times New Roman" w:eastAsia="宋体" w:cs="Times New Roman"/>
                <w:b/>
                <w:bCs/>
                <w:sz w:val="24"/>
              </w:rPr>
              <w:t>：</w:t>
            </w:r>
          </w:p>
          <w:p w14:paraId="6CF6F2F8">
            <w:pPr>
              <w:pStyle w:val="124"/>
              <w:keepNext w:val="0"/>
              <w:keepLines w:val="0"/>
              <w:pageBreakBefore w:val="0"/>
              <w:widowControl w:val="0"/>
              <w:suppressLineNumbers w:val="0"/>
              <w:kinsoku/>
              <w:wordWrap w:val="0"/>
              <w:overflowPunct/>
              <w:topLinePunct/>
              <w:autoSpaceDE/>
              <w:autoSpaceDN/>
              <w:bidi w:val="0"/>
              <w:spacing w:before="0" w:beforeAutospacing="0" w:after="0" w:afterAutospacing="0"/>
              <w:ind w:left="0" w:right="0" w:firstLine="480"/>
              <w:rPr>
                <w:rFonts w:hint="eastAsia" w:ascii="Times New Roman" w:hAnsi="Times New Roman" w:eastAsia="宋体" w:cs="Times New Roman"/>
                <w:bCs/>
                <w:color w:val="auto"/>
                <w:sz w:val="24"/>
                <w:lang w:val="en-US" w:eastAsia="zh-CN"/>
              </w:rPr>
            </w:pPr>
            <w:r>
              <w:rPr>
                <w:rFonts w:hint="eastAsia"/>
                <w:bCs/>
                <w:color w:val="auto"/>
                <w:lang w:val="en-US" w:eastAsia="zh-CN"/>
              </w:rPr>
              <w:t>厂</w:t>
            </w:r>
            <w:r>
              <w:rPr>
                <w:rFonts w:hint="default"/>
                <w:bCs/>
                <w:color w:val="auto"/>
              </w:rPr>
              <w:t>区</w:t>
            </w:r>
            <w:r>
              <w:rPr>
                <w:rFonts w:hint="eastAsia"/>
                <w:bCs/>
                <w:color w:val="auto"/>
                <w:lang w:val="en-US" w:eastAsia="zh-CN"/>
              </w:rPr>
              <w:t>出</w:t>
            </w:r>
            <w:r>
              <w:rPr>
                <w:rFonts w:hint="default"/>
                <w:bCs/>
                <w:color w:val="auto"/>
              </w:rPr>
              <w:t>入口位于厂</w:t>
            </w:r>
            <w:r>
              <w:rPr>
                <w:rFonts w:hint="eastAsia"/>
                <w:bCs/>
                <w:color w:val="auto"/>
                <w:lang w:val="en-US" w:eastAsia="zh-CN"/>
              </w:rPr>
              <w:t>区</w:t>
            </w:r>
            <w:r>
              <w:rPr>
                <w:rFonts w:hint="default"/>
                <w:bCs/>
                <w:color w:val="auto"/>
              </w:rPr>
              <w:t>侧，紧邻</w:t>
            </w:r>
            <w:r>
              <w:rPr>
                <w:rFonts w:hint="eastAsia"/>
                <w:bCs/>
                <w:color w:val="auto"/>
                <w:lang w:val="en-US" w:eastAsia="zh-CN"/>
              </w:rPr>
              <w:t>S304省道</w:t>
            </w:r>
            <w:r>
              <w:rPr>
                <w:rFonts w:hint="default"/>
                <w:bCs/>
                <w:color w:val="auto"/>
              </w:rPr>
              <w:t>，便于运输，厂内道路途中设置</w:t>
            </w:r>
            <w:r>
              <w:rPr>
                <w:rFonts w:hint="eastAsia"/>
                <w:bCs/>
                <w:color w:val="auto"/>
                <w:lang w:eastAsia="zh-CN"/>
              </w:rPr>
              <w:t>车辆冲洗</w:t>
            </w:r>
            <w:r>
              <w:rPr>
                <w:rFonts w:hint="eastAsia"/>
                <w:bCs/>
                <w:color w:val="auto"/>
                <w:lang w:val="en-US" w:eastAsia="zh-CN"/>
              </w:rPr>
              <w:t>池。</w:t>
            </w:r>
            <w:r>
              <w:rPr>
                <w:rFonts w:hint="default" w:ascii="Times New Roman" w:hAnsi="Times New Roman" w:eastAsia="宋体" w:cs="Times New Roman"/>
                <w:bCs/>
                <w:color w:val="auto"/>
                <w:sz w:val="24"/>
              </w:rPr>
              <w:t>本项目</w:t>
            </w:r>
            <w:r>
              <w:rPr>
                <w:rFonts w:hint="eastAsia" w:ascii="Times New Roman" w:hAnsi="Times New Roman" w:eastAsia="宋体" w:cs="Times New Roman"/>
                <w:bCs/>
                <w:color w:val="auto"/>
                <w:sz w:val="24"/>
                <w:lang w:val="en-US" w:eastAsia="zh-CN"/>
              </w:rPr>
              <w:t>厂区由北向南</w:t>
            </w:r>
            <w:r>
              <w:rPr>
                <w:rFonts w:hint="eastAsia" w:cs="Times New Roman"/>
                <w:bCs/>
                <w:color w:val="auto"/>
                <w:sz w:val="24"/>
                <w:lang w:val="en-US" w:eastAsia="zh-CN"/>
              </w:rPr>
              <w:t>、由西向东</w:t>
            </w:r>
            <w:r>
              <w:rPr>
                <w:rFonts w:hint="eastAsia" w:ascii="Times New Roman" w:hAnsi="Times New Roman" w:eastAsia="宋体" w:cs="Times New Roman"/>
                <w:bCs/>
                <w:color w:val="auto"/>
                <w:sz w:val="24"/>
                <w:lang w:val="en-US" w:eastAsia="zh-CN"/>
              </w:rPr>
              <w:t>依次分布为原料堆场、</w:t>
            </w:r>
            <w:r>
              <w:rPr>
                <w:rFonts w:hint="eastAsia" w:cs="Times New Roman"/>
                <w:bCs/>
                <w:color w:val="auto"/>
                <w:sz w:val="24"/>
                <w:lang w:val="en-US" w:eastAsia="zh-CN"/>
              </w:rPr>
              <w:t>砂石加工区</w:t>
            </w:r>
            <w:r>
              <w:rPr>
                <w:rFonts w:hint="eastAsia" w:ascii="Times New Roman" w:hAnsi="Times New Roman" w:eastAsia="宋体" w:cs="Times New Roman"/>
                <w:bCs/>
                <w:color w:val="auto"/>
                <w:sz w:val="24"/>
                <w:lang w:val="en-US" w:eastAsia="zh-CN"/>
              </w:rPr>
              <w:t>、</w:t>
            </w:r>
            <w:r>
              <w:rPr>
                <w:rFonts w:hint="eastAsia" w:cs="Times New Roman"/>
                <w:bCs/>
                <w:color w:val="auto"/>
                <w:sz w:val="24"/>
                <w:lang w:val="en-US" w:eastAsia="zh-CN"/>
              </w:rPr>
              <w:t>废水处理系统、</w:t>
            </w:r>
            <w:r>
              <w:rPr>
                <w:rFonts w:hint="eastAsia" w:ascii="Times New Roman" w:hAnsi="Times New Roman" w:eastAsia="宋体" w:cs="Times New Roman"/>
                <w:bCs/>
                <w:color w:val="auto"/>
                <w:sz w:val="24"/>
                <w:lang w:val="en-US" w:eastAsia="zh-CN"/>
              </w:rPr>
              <w:t>成品堆场、办公生活区。项目</w:t>
            </w:r>
            <w:r>
              <w:rPr>
                <w:rFonts w:hint="eastAsia" w:ascii="Times New Roman" w:hAnsi="Times New Roman" w:eastAsia="宋体" w:cs="Times New Roman"/>
                <w:bCs/>
                <w:color w:val="auto"/>
                <w:sz w:val="24"/>
              </w:rPr>
              <w:t>生产与办公严格分开，</w:t>
            </w:r>
            <w:r>
              <w:rPr>
                <w:rFonts w:hint="eastAsia" w:ascii="Times New Roman" w:hAnsi="Times New Roman" w:eastAsia="宋体" w:cs="Times New Roman"/>
                <w:color w:val="auto"/>
                <w:kern w:val="0"/>
                <w:sz w:val="24"/>
                <w:lang w:bidi="ar"/>
              </w:rPr>
              <w:t>功能分区明确，</w:t>
            </w:r>
            <w:r>
              <w:rPr>
                <w:rFonts w:hint="eastAsia" w:ascii="Times New Roman" w:hAnsi="Times New Roman" w:eastAsia="宋体" w:cs="Times New Roman"/>
                <w:bCs/>
                <w:color w:val="auto"/>
                <w:sz w:val="24"/>
              </w:rPr>
              <w:t>工艺流程顺畅、组织协作良好，</w:t>
            </w:r>
            <w:r>
              <w:rPr>
                <w:rFonts w:hint="eastAsia" w:ascii="Times New Roman" w:hAnsi="Times New Roman" w:eastAsia="宋体" w:cs="Times New Roman"/>
                <w:bCs/>
                <w:sz w:val="24"/>
              </w:rPr>
              <w:t>满足工艺流程要求</w:t>
            </w:r>
            <w:r>
              <w:rPr>
                <w:rFonts w:hint="default" w:ascii="Times New Roman" w:hAnsi="Times New Roman" w:eastAsia="宋体" w:cs="Times New Roman"/>
                <w:bCs/>
                <w:sz w:val="24"/>
              </w:rPr>
              <w:t>。</w:t>
            </w:r>
          </w:p>
          <w:p w14:paraId="45C0F549">
            <w:pPr>
              <w:keepNext w:val="0"/>
              <w:keepLines w:val="0"/>
              <w:suppressLineNumbers w:val="0"/>
              <w:spacing w:before="0" w:beforeAutospacing="0" w:after="0" w:afterAutospacing="0" w:line="360" w:lineRule="auto"/>
              <w:ind w:left="0" w:right="0" w:firstLine="482" w:firstLineChars="200"/>
              <w:outlineLvl w:val="1"/>
              <w:rPr>
                <w:rFonts w:hint="eastAsia" w:ascii="Times New Roman" w:hAnsi="Times New Roman" w:eastAsia="宋体" w:cs="Times New Roman"/>
                <w:b/>
                <w:bCs/>
                <w:sz w:val="24"/>
                <w:lang w:val="zh-CN"/>
              </w:rPr>
            </w:pPr>
            <w:r>
              <w:rPr>
                <w:rFonts w:hint="eastAsia" w:ascii="Times New Roman" w:hAnsi="Times New Roman" w:eastAsia="宋体" w:cs="Times New Roman"/>
                <w:b/>
                <w:bCs/>
                <w:sz w:val="24"/>
                <w:lang w:val="zh-CN"/>
              </w:rPr>
              <w:t>环保措施布局：</w:t>
            </w:r>
          </w:p>
          <w:p w14:paraId="280B2004">
            <w:pPr>
              <w:keepNext w:val="0"/>
              <w:keepLines w:val="0"/>
              <w:suppressLineNumbers w:val="0"/>
              <w:spacing w:before="0" w:beforeAutospacing="0" w:after="0" w:afterAutospacing="0" w:line="360" w:lineRule="auto"/>
              <w:ind w:left="0" w:right="0" w:firstLine="480" w:firstLineChars="200"/>
              <w:outlineLvl w:val="1"/>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产生噪声和粉尘的生产工序均集中在厂区北侧，生产厂房密闭，易产尘区域采取喷淋降尘，噪声较大设备均采取基础</w:t>
            </w:r>
            <w:r>
              <w:rPr>
                <w:rFonts w:hint="eastAsia" w:cs="Times New Roman"/>
                <w:bCs/>
                <w:color w:val="auto"/>
                <w:sz w:val="24"/>
                <w:lang w:val="en-US" w:eastAsia="zh-CN"/>
              </w:rPr>
              <w:t>减振、</w:t>
            </w:r>
            <w:r>
              <w:rPr>
                <w:rFonts w:hint="eastAsia" w:ascii="Times New Roman" w:hAnsi="Times New Roman" w:eastAsia="宋体" w:cs="Times New Roman"/>
                <w:bCs/>
                <w:color w:val="auto"/>
                <w:sz w:val="24"/>
                <w:lang w:val="en-US" w:eastAsia="zh-CN"/>
              </w:rPr>
              <w:t>厂房隔声</w:t>
            </w:r>
            <w:r>
              <w:rPr>
                <w:rFonts w:hint="eastAsia" w:cs="Times New Roman"/>
                <w:bCs/>
                <w:color w:val="auto"/>
                <w:sz w:val="24"/>
                <w:lang w:val="en-US" w:eastAsia="zh-CN"/>
              </w:rPr>
              <w:t>等降噪</w:t>
            </w:r>
            <w:r>
              <w:rPr>
                <w:rFonts w:hint="eastAsia" w:ascii="Times New Roman" w:hAnsi="Times New Roman" w:eastAsia="宋体" w:cs="Times New Roman"/>
                <w:bCs/>
                <w:color w:val="auto"/>
                <w:sz w:val="24"/>
                <w:lang w:val="en-US" w:eastAsia="zh-CN"/>
              </w:rPr>
              <w:t>措施。项目废气</w:t>
            </w:r>
            <w:r>
              <w:rPr>
                <w:rFonts w:hint="eastAsia" w:cs="Times New Roman"/>
                <w:bCs/>
                <w:color w:val="auto"/>
                <w:sz w:val="24"/>
                <w:lang w:val="en-US" w:eastAsia="zh-CN"/>
              </w:rPr>
              <w:t>和厂界噪声经治理</w:t>
            </w:r>
            <w:r>
              <w:rPr>
                <w:rFonts w:hint="eastAsia" w:ascii="Times New Roman" w:hAnsi="Times New Roman" w:eastAsia="宋体" w:cs="Times New Roman"/>
                <w:bCs/>
                <w:color w:val="auto"/>
                <w:sz w:val="24"/>
                <w:lang w:val="en-US" w:eastAsia="zh-CN"/>
              </w:rPr>
              <w:t>后能实现达标排放，对周边环境敏感点影响较小。</w:t>
            </w:r>
            <w:r>
              <w:rPr>
                <w:rFonts w:hint="eastAsia" w:cs="Times New Roman"/>
                <w:bCs/>
                <w:color w:val="auto"/>
                <w:sz w:val="24"/>
                <w:lang w:val="en-US" w:eastAsia="zh-CN"/>
              </w:rPr>
              <w:t>厂区四周设置收集沟，厂区散排水及初期雨水经收集沟导入厂区低洼处的一个容积为30m</w:t>
            </w:r>
            <w:r>
              <w:rPr>
                <w:rFonts w:hint="eastAsia" w:cs="Times New Roman"/>
                <w:bCs/>
                <w:color w:val="auto"/>
                <w:sz w:val="24"/>
                <w:vertAlign w:val="superscript"/>
                <w:lang w:val="en-US" w:eastAsia="zh-CN"/>
              </w:rPr>
              <w:t>3</w:t>
            </w:r>
            <w:r>
              <w:rPr>
                <w:rFonts w:hint="eastAsia" w:cs="Times New Roman"/>
                <w:bCs/>
                <w:color w:val="auto"/>
                <w:sz w:val="24"/>
                <w:vertAlign w:val="baseline"/>
                <w:lang w:val="en-US" w:eastAsia="zh-CN"/>
              </w:rPr>
              <w:t>沉砂池汇集后经水泵泵入厂区废水处理系统进行处理然后回用于生产，有效避免厂区废水因事故外排对地表水环境造成影响。</w:t>
            </w:r>
            <w:r>
              <w:rPr>
                <w:rFonts w:hint="eastAsia" w:ascii="Times New Roman" w:hAnsi="Times New Roman" w:eastAsia="宋体" w:cs="Times New Roman"/>
                <w:bCs/>
                <w:color w:val="auto"/>
                <w:sz w:val="24"/>
                <w:lang w:val="en-US" w:eastAsia="zh-CN"/>
              </w:rPr>
              <w:t>项目</w:t>
            </w:r>
            <w:r>
              <w:rPr>
                <w:rFonts w:hint="default" w:ascii="Times New Roman" w:hAnsi="Times New Roman" w:eastAsia="宋体" w:cs="Times New Roman"/>
                <w:sz w:val="24"/>
              </w:rPr>
              <w:t>危废暂存间位于</w:t>
            </w:r>
            <w:r>
              <w:rPr>
                <w:rFonts w:hint="eastAsia" w:ascii="Times New Roman" w:hAnsi="Times New Roman" w:eastAsia="宋体" w:cs="Times New Roman"/>
                <w:sz w:val="24"/>
                <w:lang w:val="en-US" w:eastAsia="zh-CN"/>
              </w:rPr>
              <w:t>厂区</w:t>
            </w:r>
            <w:r>
              <w:rPr>
                <w:rFonts w:hint="eastAsia" w:cs="Times New Roman"/>
                <w:sz w:val="24"/>
                <w:lang w:val="en-US" w:eastAsia="zh-CN"/>
              </w:rPr>
              <w:t>东</w:t>
            </w:r>
            <w:r>
              <w:rPr>
                <w:rFonts w:hint="eastAsia" w:ascii="Times New Roman" w:hAnsi="Times New Roman" w:eastAsia="宋体" w:cs="Times New Roman"/>
                <w:sz w:val="24"/>
              </w:rPr>
              <w:t>侧，危险废物分类收集，方便管理；</w:t>
            </w:r>
            <w:r>
              <w:rPr>
                <w:rFonts w:hint="eastAsia" w:ascii="Times New Roman" w:hAnsi="Times New Roman" w:eastAsia="宋体" w:cs="Times New Roman"/>
                <w:sz w:val="24"/>
                <w:lang w:val="en-US" w:eastAsia="zh-CN"/>
              </w:rPr>
              <w:t>危废暂存间</w:t>
            </w:r>
            <w:r>
              <w:rPr>
                <w:rFonts w:hint="eastAsia" w:ascii="Times New Roman" w:hAnsi="Times New Roman" w:eastAsia="宋体" w:cs="Times New Roman"/>
                <w:sz w:val="24"/>
              </w:rPr>
              <w:t>临近</w:t>
            </w:r>
            <w:r>
              <w:rPr>
                <w:rFonts w:hint="eastAsia" w:cs="Times New Roman"/>
                <w:sz w:val="24"/>
                <w:lang w:val="en-US" w:eastAsia="zh-CN"/>
              </w:rPr>
              <w:t>厂区</w:t>
            </w:r>
            <w:r>
              <w:rPr>
                <w:rFonts w:hint="eastAsia" w:ascii="Times New Roman" w:hAnsi="Times New Roman" w:eastAsia="宋体" w:cs="Times New Roman"/>
                <w:sz w:val="24"/>
              </w:rPr>
              <w:t>运输通道，方便运输，贮存场所合理。</w:t>
            </w:r>
          </w:p>
          <w:p w14:paraId="7D05A3C5">
            <w:pPr>
              <w:pStyle w:val="16"/>
              <w:keepNext w:val="0"/>
              <w:keepLines w:val="0"/>
              <w:suppressLineNumbers w:val="0"/>
              <w:spacing w:before="0" w:beforeAutospacing="0" w:after="0" w:afterAutospacing="0" w:line="360" w:lineRule="auto"/>
              <w:ind w:left="0" w:leftChars="0" w:right="0" w:firstLine="482" w:firstLineChars="200"/>
              <w:rPr>
                <w:rFonts w:hint="eastAsia" w:ascii="Times New Roman" w:hAnsi="Times New Roman" w:eastAsia="宋体" w:cs="Times New Roman"/>
                <w:b/>
                <w:bCs/>
                <w:sz w:val="24"/>
              </w:rPr>
            </w:pPr>
            <w:r>
              <w:rPr>
                <w:rFonts w:hint="default" w:ascii="Times New Roman" w:hAnsi="Times New Roman" w:eastAsia="宋体" w:cs="Times New Roman"/>
                <w:b/>
                <w:bCs/>
                <w:sz w:val="24"/>
              </w:rPr>
              <w:t>综上所述，项目</w:t>
            </w:r>
            <w:r>
              <w:rPr>
                <w:rFonts w:hint="default" w:ascii="Times New Roman" w:hAnsi="Times New Roman" w:eastAsia="宋体" w:cs="Times New Roman"/>
                <w:b/>
                <w:sz w:val="24"/>
              </w:rPr>
              <w:t>各功能单位分布明朗，互不影响，组织有序，避免了交叉干扰，</w:t>
            </w:r>
            <w:r>
              <w:rPr>
                <w:rFonts w:hint="default" w:ascii="Times New Roman" w:hAnsi="Times New Roman" w:eastAsia="宋体" w:cs="Times New Roman"/>
                <w:b/>
                <w:bCs/>
                <w:sz w:val="24"/>
              </w:rPr>
              <w:t>总平面布置做到了物流顺畅，人流短捷，满足了</w:t>
            </w:r>
            <w:r>
              <w:rPr>
                <w:rFonts w:hint="eastAsia" w:ascii="Times New Roman" w:hAnsi="Times New Roman" w:eastAsia="宋体" w:cs="Times New Roman"/>
                <w:b/>
                <w:bCs/>
                <w:sz w:val="24"/>
              </w:rPr>
              <w:t>工艺流程</w:t>
            </w:r>
            <w:r>
              <w:rPr>
                <w:rFonts w:hint="default" w:ascii="Times New Roman" w:hAnsi="Times New Roman" w:eastAsia="宋体" w:cs="Times New Roman"/>
                <w:b/>
                <w:bCs/>
                <w:sz w:val="24"/>
              </w:rPr>
              <w:t>需要。从环保有利角度出发，本项目的总平面布置是基本合理的</w:t>
            </w:r>
            <w:r>
              <w:rPr>
                <w:rFonts w:hint="eastAsia" w:ascii="Times New Roman" w:hAnsi="Times New Roman" w:eastAsia="宋体" w:cs="Times New Roman"/>
                <w:b/>
                <w:bCs/>
                <w:sz w:val="24"/>
              </w:rPr>
              <w:t>。</w:t>
            </w:r>
          </w:p>
          <w:p w14:paraId="42AED380">
            <w:pPr>
              <w:keepNext w:val="0"/>
              <w:keepLines w:val="0"/>
              <w:suppressLineNumbers w:val="0"/>
              <w:spacing w:before="0" w:beforeAutospacing="0" w:after="0" w:afterAutospacing="0"/>
              <w:ind w:left="0" w:right="0"/>
              <w:rPr>
                <w:rFonts w:hint="eastAsia" w:ascii="Times New Roman" w:hAnsi="Times New Roman" w:eastAsia="宋体" w:cs="Times New Roman"/>
                <w:b/>
                <w:bCs/>
                <w:sz w:val="24"/>
              </w:rPr>
            </w:pPr>
          </w:p>
          <w:p w14:paraId="12AD2749">
            <w:pPr>
              <w:keepNext w:val="0"/>
              <w:keepLines w:val="0"/>
              <w:suppressLineNumbers w:val="0"/>
              <w:spacing w:before="0" w:beforeAutospacing="0" w:after="0" w:afterAutospacing="0"/>
              <w:ind w:left="0" w:right="0"/>
              <w:rPr>
                <w:rFonts w:hint="eastAsia" w:ascii="Times New Roman" w:hAnsi="Times New Roman" w:eastAsia="宋体" w:cs="Times New Roman"/>
                <w:b/>
                <w:bCs/>
                <w:sz w:val="24"/>
              </w:rPr>
            </w:pPr>
          </w:p>
          <w:p w14:paraId="335D9E6A">
            <w:pPr>
              <w:keepNext w:val="0"/>
              <w:keepLines w:val="0"/>
              <w:suppressLineNumbers w:val="0"/>
              <w:spacing w:before="0" w:beforeAutospacing="0" w:after="0" w:afterAutospacing="0"/>
              <w:ind w:left="0" w:right="0"/>
              <w:rPr>
                <w:rFonts w:hint="eastAsia" w:ascii="Times New Roman" w:hAnsi="Times New Roman" w:eastAsia="宋体" w:cs="Times New Roman"/>
                <w:b/>
                <w:bCs/>
                <w:sz w:val="24"/>
              </w:rPr>
            </w:pPr>
          </w:p>
          <w:p w14:paraId="7A71C23A">
            <w:pPr>
              <w:keepNext w:val="0"/>
              <w:keepLines w:val="0"/>
              <w:suppressLineNumbers w:val="0"/>
              <w:spacing w:before="0" w:beforeAutospacing="0" w:after="0" w:afterAutospacing="0"/>
              <w:ind w:left="0" w:right="0"/>
              <w:rPr>
                <w:rFonts w:hint="eastAsia" w:ascii="Times New Roman" w:hAnsi="Times New Roman" w:eastAsia="宋体" w:cs="Times New Roman"/>
                <w:b/>
                <w:bCs/>
                <w:sz w:val="24"/>
              </w:rPr>
            </w:pPr>
          </w:p>
          <w:p w14:paraId="419B695C">
            <w:pPr>
              <w:keepNext w:val="0"/>
              <w:keepLines w:val="0"/>
              <w:suppressLineNumbers w:val="0"/>
              <w:spacing w:before="0" w:beforeAutospacing="0" w:after="0" w:afterAutospacing="0"/>
              <w:ind w:left="0" w:right="0"/>
              <w:rPr>
                <w:rFonts w:hint="eastAsia" w:ascii="Times New Roman" w:hAnsi="Times New Roman" w:eastAsia="宋体" w:cs="Times New Roman"/>
                <w:b/>
                <w:bCs/>
                <w:sz w:val="24"/>
              </w:rPr>
            </w:pPr>
          </w:p>
          <w:p w14:paraId="4DB45A6E">
            <w:pPr>
              <w:keepNext w:val="0"/>
              <w:keepLines w:val="0"/>
              <w:suppressLineNumbers w:val="0"/>
              <w:spacing w:before="0" w:beforeAutospacing="0" w:after="0" w:afterAutospacing="0"/>
              <w:ind w:left="0" w:right="0"/>
              <w:rPr>
                <w:rFonts w:hint="eastAsia" w:ascii="Times New Roman" w:hAnsi="Times New Roman" w:eastAsia="宋体" w:cs="Times New Roman"/>
                <w:b/>
                <w:bCs/>
                <w:sz w:val="24"/>
              </w:rPr>
            </w:pPr>
          </w:p>
          <w:p w14:paraId="46398A05">
            <w:pPr>
              <w:keepNext w:val="0"/>
              <w:keepLines w:val="0"/>
              <w:suppressLineNumbers w:val="0"/>
              <w:spacing w:before="0" w:beforeAutospacing="0" w:after="0" w:afterAutospacing="0"/>
              <w:ind w:left="0" w:right="0"/>
              <w:rPr>
                <w:rFonts w:hint="eastAsia" w:ascii="Times New Roman" w:hAnsi="Times New Roman" w:eastAsia="宋体" w:cs="Times New Roman"/>
                <w:b/>
                <w:bCs/>
                <w:sz w:val="24"/>
              </w:rPr>
            </w:pPr>
          </w:p>
          <w:p w14:paraId="57A50C10">
            <w:pPr>
              <w:keepNext w:val="0"/>
              <w:keepLines w:val="0"/>
              <w:suppressLineNumbers w:val="0"/>
              <w:spacing w:before="0" w:beforeAutospacing="0" w:after="0" w:afterAutospacing="0"/>
              <w:ind w:left="0" w:right="0"/>
              <w:rPr>
                <w:rFonts w:hint="eastAsia" w:ascii="Times New Roman" w:hAnsi="Times New Roman" w:eastAsia="宋体" w:cs="Times New Roman"/>
                <w:b/>
                <w:bCs/>
                <w:sz w:val="24"/>
              </w:rPr>
            </w:pPr>
          </w:p>
          <w:p w14:paraId="7742EFEB">
            <w:pPr>
              <w:keepNext w:val="0"/>
              <w:keepLines w:val="0"/>
              <w:suppressLineNumbers w:val="0"/>
              <w:spacing w:before="0" w:beforeAutospacing="0" w:after="0" w:afterAutospacing="0"/>
              <w:ind w:left="0" w:right="0"/>
              <w:rPr>
                <w:rFonts w:hint="eastAsia" w:ascii="Times New Roman" w:hAnsi="Times New Roman" w:eastAsia="宋体" w:cs="Times New Roman"/>
                <w:b/>
                <w:bCs/>
                <w:sz w:val="24"/>
              </w:rPr>
            </w:pPr>
          </w:p>
          <w:p w14:paraId="08C99D55">
            <w:pPr>
              <w:keepNext w:val="0"/>
              <w:keepLines w:val="0"/>
              <w:suppressLineNumbers w:val="0"/>
              <w:spacing w:before="0" w:beforeAutospacing="0" w:after="0" w:afterAutospacing="0"/>
              <w:ind w:left="0" w:right="0"/>
              <w:rPr>
                <w:rFonts w:hint="eastAsia" w:ascii="Times New Roman" w:hAnsi="Times New Roman" w:eastAsia="宋体" w:cs="Times New Roman"/>
                <w:b/>
                <w:bCs/>
                <w:sz w:val="24"/>
              </w:rPr>
            </w:pPr>
          </w:p>
          <w:p w14:paraId="61AF7FA0">
            <w:pPr>
              <w:keepNext w:val="0"/>
              <w:keepLines w:val="0"/>
              <w:suppressLineNumbers w:val="0"/>
              <w:spacing w:before="0" w:beforeAutospacing="0" w:after="0" w:afterAutospacing="0"/>
              <w:ind w:left="0" w:right="0"/>
              <w:rPr>
                <w:rFonts w:hint="eastAsia" w:ascii="Times New Roman" w:hAnsi="Times New Roman" w:eastAsia="宋体" w:cs="Times New Roman"/>
                <w:b/>
                <w:bCs/>
                <w:sz w:val="24"/>
              </w:rPr>
            </w:pPr>
          </w:p>
          <w:p w14:paraId="2D530929">
            <w:pPr>
              <w:keepNext w:val="0"/>
              <w:keepLines w:val="0"/>
              <w:suppressLineNumbers w:val="0"/>
              <w:spacing w:before="0" w:beforeAutospacing="0" w:after="0" w:afterAutospacing="0"/>
              <w:ind w:left="0" w:right="0"/>
              <w:rPr>
                <w:rFonts w:hint="eastAsia" w:ascii="Times New Roman" w:hAnsi="Times New Roman" w:eastAsia="宋体" w:cs="Times New Roman"/>
                <w:b/>
                <w:bCs/>
                <w:sz w:val="24"/>
              </w:rPr>
            </w:pPr>
          </w:p>
          <w:p w14:paraId="30B19829">
            <w:pPr>
              <w:keepNext w:val="0"/>
              <w:keepLines w:val="0"/>
              <w:suppressLineNumbers w:val="0"/>
              <w:spacing w:before="0" w:beforeAutospacing="0" w:after="0" w:afterAutospacing="0"/>
              <w:ind w:left="0" w:right="0"/>
              <w:rPr>
                <w:rFonts w:hint="eastAsia" w:ascii="Times New Roman" w:hAnsi="Times New Roman" w:eastAsia="宋体" w:cs="Times New Roman"/>
                <w:b/>
                <w:bCs/>
                <w:sz w:val="24"/>
              </w:rPr>
            </w:pPr>
          </w:p>
          <w:p w14:paraId="5B25C9EE">
            <w:pPr>
              <w:keepNext w:val="0"/>
              <w:keepLines w:val="0"/>
              <w:suppressLineNumbers w:val="0"/>
              <w:spacing w:before="0" w:beforeAutospacing="0" w:after="0" w:afterAutospacing="0"/>
              <w:ind w:left="0" w:right="0"/>
              <w:rPr>
                <w:rFonts w:hint="eastAsia" w:ascii="Times New Roman" w:hAnsi="Times New Roman" w:eastAsia="宋体" w:cs="Times New Roman"/>
                <w:b/>
                <w:bCs/>
                <w:sz w:val="24"/>
              </w:rPr>
            </w:pPr>
          </w:p>
          <w:p w14:paraId="484C69C9">
            <w:pPr>
              <w:keepNext w:val="0"/>
              <w:keepLines w:val="0"/>
              <w:suppressLineNumbers w:val="0"/>
              <w:spacing w:before="0" w:beforeAutospacing="0" w:after="0" w:afterAutospacing="0"/>
              <w:ind w:left="0" w:right="0"/>
              <w:rPr>
                <w:rFonts w:hint="eastAsia" w:ascii="Times New Roman" w:hAnsi="Times New Roman" w:eastAsia="宋体" w:cs="Times New Roman"/>
                <w:b/>
                <w:bCs/>
                <w:sz w:val="24"/>
              </w:rPr>
            </w:pPr>
          </w:p>
          <w:p w14:paraId="1B32C973">
            <w:pPr>
              <w:keepNext w:val="0"/>
              <w:keepLines w:val="0"/>
              <w:suppressLineNumbers w:val="0"/>
              <w:spacing w:before="0" w:beforeAutospacing="0" w:after="0" w:afterAutospacing="0"/>
              <w:ind w:left="0" w:right="0"/>
              <w:rPr>
                <w:rFonts w:hint="eastAsia" w:ascii="Times New Roman" w:hAnsi="Times New Roman" w:eastAsia="宋体" w:cs="Times New Roman"/>
                <w:b/>
                <w:bCs/>
                <w:sz w:val="24"/>
              </w:rPr>
            </w:pPr>
          </w:p>
          <w:p w14:paraId="15974191">
            <w:pPr>
              <w:keepNext w:val="0"/>
              <w:keepLines w:val="0"/>
              <w:suppressLineNumbers w:val="0"/>
              <w:spacing w:before="0" w:beforeAutospacing="0" w:after="0" w:afterAutospacing="0"/>
              <w:ind w:left="0" w:right="0"/>
              <w:rPr>
                <w:rFonts w:hint="eastAsia" w:ascii="Times New Roman" w:hAnsi="Times New Roman" w:eastAsia="宋体" w:cs="Times New Roman"/>
                <w:b/>
                <w:bCs/>
                <w:sz w:val="24"/>
              </w:rPr>
            </w:pPr>
          </w:p>
          <w:p w14:paraId="04A82804">
            <w:pPr>
              <w:keepNext w:val="0"/>
              <w:keepLines w:val="0"/>
              <w:suppressLineNumbers w:val="0"/>
              <w:spacing w:before="0" w:beforeAutospacing="0" w:after="0" w:afterAutospacing="0"/>
              <w:ind w:left="0" w:right="0"/>
              <w:rPr>
                <w:rFonts w:hint="eastAsia" w:ascii="Times New Roman" w:hAnsi="Times New Roman" w:eastAsia="宋体" w:cs="Times New Roman"/>
                <w:b/>
                <w:bCs/>
                <w:sz w:val="24"/>
              </w:rPr>
            </w:pPr>
          </w:p>
          <w:p w14:paraId="7DFA0EC2">
            <w:pPr>
              <w:keepNext w:val="0"/>
              <w:keepLines w:val="0"/>
              <w:suppressLineNumbers w:val="0"/>
              <w:spacing w:before="0" w:beforeAutospacing="0" w:after="0" w:afterAutospacing="0"/>
              <w:ind w:left="0" w:right="0"/>
              <w:rPr>
                <w:rFonts w:hint="eastAsia" w:ascii="Times New Roman" w:hAnsi="Times New Roman" w:eastAsia="宋体" w:cs="Times New Roman"/>
                <w:b/>
                <w:bCs/>
                <w:sz w:val="24"/>
              </w:rPr>
            </w:pPr>
          </w:p>
          <w:p w14:paraId="7998265F">
            <w:pPr>
              <w:keepNext w:val="0"/>
              <w:keepLines w:val="0"/>
              <w:suppressLineNumbers w:val="0"/>
              <w:spacing w:before="0" w:beforeAutospacing="0" w:after="0" w:afterAutospacing="0"/>
              <w:ind w:left="0" w:right="0"/>
              <w:rPr>
                <w:rFonts w:hint="eastAsia" w:ascii="Times New Roman" w:hAnsi="Times New Roman" w:eastAsia="宋体" w:cs="Times New Roman"/>
                <w:b/>
                <w:bCs/>
                <w:sz w:val="24"/>
              </w:rPr>
            </w:pPr>
          </w:p>
          <w:p w14:paraId="50A8D845">
            <w:pPr>
              <w:keepNext w:val="0"/>
              <w:keepLines w:val="0"/>
              <w:suppressLineNumbers w:val="0"/>
              <w:spacing w:before="0" w:beforeAutospacing="0" w:after="0" w:afterAutospacing="0"/>
              <w:ind w:left="0" w:right="0"/>
              <w:rPr>
                <w:rFonts w:hint="eastAsia" w:ascii="Times New Roman" w:hAnsi="Times New Roman" w:eastAsia="宋体" w:cs="Times New Roman"/>
                <w:b/>
                <w:bCs/>
                <w:sz w:val="24"/>
              </w:rPr>
            </w:pPr>
          </w:p>
          <w:p w14:paraId="14840B88">
            <w:pPr>
              <w:keepNext w:val="0"/>
              <w:keepLines w:val="0"/>
              <w:suppressLineNumbers w:val="0"/>
              <w:spacing w:before="0" w:beforeAutospacing="0" w:after="0" w:afterAutospacing="0"/>
              <w:ind w:left="0" w:right="0"/>
              <w:rPr>
                <w:rFonts w:hint="eastAsia" w:ascii="Times New Roman" w:hAnsi="Times New Roman" w:eastAsia="宋体" w:cs="Times New Roman"/>
                <w:b/>
                <w:bCs/>
                <w:sz w:val="24"/>
              </w:rPr>
            </w:pPr>
          </w:p>
          <w:p w14:paraId="2CF7ED93">
            <w:pPr>
              <w:keepNext w:val="0"/>
              <w:keepLines w:val="0"/>
              <w:suppressLineNumbers w:val="0"/>
              <w:spacing w:before="0" w:beforeAutospacing="0" w:after="0" w:afterAutospacing="0"/>
              <w:ind w:left="0" w:right="0"/>
              <w:rPr>
                <w:rFonts w:hint="eastAsia" w:ascii="Times New Roman" w:hAnsi="Times New Roman" w:eastAsia="宋体" w:cs="Times New Roman"/>
                <w:b/>
                <w:bCs/>
                <w:sz w:val="24"/>
              </w:rPr>
            </w:pPr>
          </w:p>
          <w:p w14:paraId="24957D8B">
            <w:pPr>
              <w:keepNext w:val="0"/>
              <w:keepLines w:val="0"/>
              <w:suppressLineNumbers w:val="0"/>
              <w:spacing w:before="0" w:beforeAutospacing="0" w:after="0" w:afterAutospacing="0"/>
              <w:ind w:left="0" w:right="0"/>
              <w:rPr>
                <w:rFonts w:hint="eastAsia" w:ascii="Times New Roman" w:hAnsi="Times New Roman" w:eastAsia="宋体" w:cs="Times New Roman"/>
                <w:b/>
                <w:bCs/>
                <w:sz w:val="24"/>
              </w:rPr>
            </w:pPr>
          </w:p>
          <w:p w14:paraId="40344026">
            <w:pPr>
              <w:keepNext w:val="0"/>
              <w:keepLines w:val="0"/>
              <w:suppressLineNumbers w:val="0"/>
              <w:spacing w:before="0" w:beforeAutospacing="0" w:after="0" w:afterAutospacing="0"/>
              <w:ind w:left="0" w:right="0"/>
              <w:rPr>
                <w:rFonts w:hint="eastAsia" w:ascii="Times New Roman" w:hAnsi="Times New Roman" w:eastAsia="宋体" w:cs="Times New Roman"/>
                <w:b/>
                <w:bCs/>
                <w:sz w:val="24"/>
              </w:rPr>
            </w:pPr>
          </w:p>
          <w:p w14:paraId="572524EC">
            <w:pPr>
              <w:pStyle w:val="32"/>
              <w:keepNext w:val="0"/>
              <w:keepLines w:val="0"/>
              <w:suppressLineNumbers w:val="0"/>
              <w:spacing w:before="0" w:beforeAutospacing="0" w:afterAutospacing="0"/>
              <w:ind w:left="0" w:leftChars="0" w:right="0" w:firstLine="0" w:firstLineChars="0"/>
              <w:rPr>
                <w:rFonts w:hint="default" w:ascii="Times New Roman" w:hAnsi="Times New Roman" w:eastAsia="宋体" w:cs="Times New Roman"/>
                <w:b/>
                <w:bCs/>
                <w:sz w:val="24"/>
              </w:rPr>
            </w:pPr>
          </w:p>
          <w:p w14:paraId="4CC1E8B8">
            <w:pPr>
              <w:keepNext w:val="0"/>
              <w:keepLines w:val="0"/>
              <w:suppressLineNumbers w:val="0"/>
              <w:spacing w:before="0" w:beforeAutospacing="0" w:after="0" w:afterAutospacing="0"/>
              <w:ind w:left="0" w:right="0"/>
              <w:rPr>
                <w:rFonts w:hint="default"/>
              </w:rPr>
            </w:pPr>
          </w:p>
        </w:tc>
      </w:tr>
      <w:tr w14:paraId="28101C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802" w:hRule="atLeast"/>
          <w:jc w:val="center"/>
        </w:trPr>
        <w:tc>
          <w:tcPr>
            <w:tcW w:w="823" w:type="dxa"/>
            <w:noWrap w:val="0"/>
            <w:vAlign w:val="center"/>
          </w:tcPr>
          <w:p w14:paraId="0ADFBF12">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szCs w:val="24"/>
              </w:rPr>
            </w:pPr>
            <w:r>
              <w:rPr>
                <w:rFonts w:hint="eastAsia" w:ascii="Times New Roman" w:hAnsi="Times New Roman" w:eastAsia="宋体" w:cs="宋体"/>
                <w:szCs w:val="24"/>
              </w:rPr>
              <w:t>工艺流程和产排污环节</w:t>
            </w:r>
          </w:p>
        </w:tc>
        <w:tc>
          <w:tcPr>
            <w:tcW w:w="8161" w:type="dxa"/>
            <w:noWrap w:val="0"/>
            <w:vAlign w:val="top"/>
          </w:tcPr>
          <w:p w14:paraId="16DE8391">
            <w:pPr>
              <w:keepNext w:val="0"/>
              <w:keepLines w:val="0"/>
              <w:suppressLineNumbers w:val="0"/>
              <w:spacing w:before="120" w:beforeLines="50" w:beforeAutospacing="0" w:after="0" w:afterAutospacing="0" w:line="360" w:lineRule="auto"/>
              <w:ind w:left="0" w:right="0"/>
              <w:rPr>
                <w:rFonts w:hint="default" w:ascii="Times New Roman" w:hAnsi="Times New Roman" w:eastAsia="宋体" w:cs="Times New Roman"/>
              </w:rPr>
            </w:pPr>
            <w:r>
              <w:rPr>
                <w:rFonts w:hint="eastAsia" w:ascii="Times New Roman" w:hAnsi="Times New Roman" w:eastAsia="宋体" w:cs="Times New Roman"/>
                <w:b/>
                <w:sz w:val="24"/>
              </w:rPr>
              <w:t>一、施工期工艺流程和产污环节</w:t>
            </w:r>
          </w:p>
          <w:p w14:paraId="4CE0438F">
            <w:pPr>
              <w:pStyle w:val="72"/>
              <w:keepNext w:val="0"/>
              <w:keepLines w:val="0"/>
              <w:suppressLineNumbers w:val="0"/>
              <w:spacing w:before="0" w:beforeAutospacing="0" w:after="0" w:afterAutospacing="0"/>
              <w:ind w:left="0" w:right="0" w:firstLine="480" w:firstLineChars="200"/>
              <w:rPr>
                <w:rFonts w:hint="eastAsia" w:ascii="Times New Roman" w:hAnsi="Times New Roman" w:eastAsia="宋体" w:cs="Times New Roman"/>
                <w:bCs/>
                <w:color w:val="auto"/>
              </w:rPr>
            </w:pPr>
            <w:r>
              <w:rPr>
                <w:rFonts w:hint="default" w:ascii="Times New Roman" w:hAnsi="Times New Roman" w:eastAsia="宋体" w:cs="Times New Roman"/>
                <w:bCs/>
                <w:color w:val="auto"/>
              </w:rPr>
              <w:t>本项目施工期间在基础工程、主体工程、</w:t>
            </w:r>
            <w:r>
              <w:rPr>
                <w:rFonts w:hint="eastAsia" w:ascii="Times New Roman" w:hAnsi="Times New Roman" w:eastAsia="宋体" w:cs="Times New Roman"/>
                <w:bCs/>
                <w:color w:val="auto"/>
              </w:rPr>
              <w:t>配套设施</w:t>
            </w:r>
            <w:r>
              <w:rPr>
                <w:rFonts w:hint="default" w:ascii="Times New Roman" w:hAnsi="Times New Roman" w:eastAsia="宋体" w:cs="Times New Roman"/>
                <w:bCs/>
                <w:color w:val="auto"/>
              </w:rPr>
              <w:t>工程等工序将产生噪声、扬尘、固体废弃物、少量污水和废气污染物，由于本项目工程量较小，施工工期短，施工期对周围环境影响较小。</w:t>
            </w:r>
            <w:r>
              <w:rPr>
                <w:rFonts w:hint="eastAsia" w:ascii="Times New Roman" w:hAnsi="Times New Roman" w:eastAsia="宋体" w:cs="Times New Roman"/>
                <w:bCs/>
                <w:color w:val="auto"/>
              </w:rPr>
              <w:t>施工流程及产污位置如下图所示。</w:t>
            </w:r>
          </w:p>
          <w:p w14:paraId="6B82C0D6">
            <w:pPr>
              <w:pStyle w:val="72"/>
              <w:keepNext w:val="0"/>
              <w:keepLines w:val="0"/>
              <w:suppressLineNumbers w:val="0"/>
              <w:spacing w:before="0" w:beforeAutospacing="0" w:after="0" w:afterAutospacing="0"/>
              <w:ind w:left="0" w:right="0" w:firstLine="0"/>
              <w:rPr>
                <w:rFonts w:hint="eastAsia" w:ascii="Times New Roman" w:hAnsi="Times New Roman" w:eastAsia="宋体" w:cs="Times New Roman"/>
                <w:b/>
                <w:color w:val="auto"/>
              </w:rPr>
            </w:pPr>
            <w:r>
              <w:rPr>
                <w:rFonts w:hint="default" w:ascii="Times New Roman" w:hAnsi="Times New Roman" w:eastAsia="宋体" w:cs="Courier New"/>
                <w:szCs w:val="21"/>
              </w:rPr>
              <w:drawing>
                <wp:inline distT="0" distB="0" distL="114300" distR="114300">
                  <wp:extent cx="5220970" cy="1311275"/>
                  <wp:effectExtent l="0" t="0" r="17780" b="3175"/>
                  <wp:docPr id="17" name="图片 12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6" descr="1"/>
                          <pic:cNvPicPr>
                            <a:picLocks noChangeAspect="1"/>
                          </pic:cNvPicPr>
                        </pic:nvPicPr>
                        <pic:blipFill>
                          <a:blip r:embed="rId16"/>
                          <a:stretch>
                            <a:fillRect/>
                          </a:stretch>
                        </pic:blipFill>
                        <pic:spPr>
                          <a:xfrm>
                            <a:off x="0" y="0"/>
                            <a:ext cx="5220970" cy="1311275"/>
                          </a:xfrm>
                          <a:prstGeom prst="rect">
                            <a:avLst/>
                          </a:prstGeom>
                          <a:noFill/>
                          <a:ln>
                            <a:noFill/>
                          </a:ln>
                        </pic:spPr>
                      </pic:pic>
                    </a:graphicData>
                  </a:graphic>
                </wp:inline>
              </w:drawing>
            </w:r>
          </w:p>
          <w:p w14:paraId="5C04FB9D">
            <w:pPr>
              <w:keepNext w:val="0"/>
              <w:keepLines w:val="0"/>
              <w:suppressLineNumbers w:val="0"/>
              <w:suppressAutoHyphens/>
              <w:spacing w:before="0" w:beforeAutospacing="0" w:after="0" w:afterAutospacing="0" w:line="360" w:lineRule="auto"/>
              <w:ind w:left="0" w:right="0" w:firstLine="422" w:firstLineChars="200"/>
              <w:jc w:val="center"/>
              <w:rPr>
                <w:rFonts w:hint="default" w:ascii="Times New Roman" w:hAnsi="Times New Roman" w:eastAsia="宋体" w:cs="Times New Roman"/>
                <w:b/>
                <w:bCs/>
                <w:szCs w:val="21"/>
              </w:rPr>
            </w:pPr>
            <w:r>
              <w:rPr>
                <w:rFonts w:hint="eastAsia" w:ascii="Times New Roman" w:hAnsi="Times New Roman" w:eastAsia="宋体" w:cs="Times New Roman"/>
                <w:b/>
                <w:szCs w:val="21"/>
              </w:rPr>
              <w:t>图2-</w:t>
            </w:r>
            <w:r>
              <w:rPr>
                <w:rFonts w:hint="eastAsia" w:ascii="Times New Roman" w:hAnsi="Times New Roman" w:eastAsia="宋体" w:cs="Times New Roman"/>
                <w:b/>
                <w:szCs w:val="21"/>
                <w:lang w:val="en-US" w:eastAsia="zh-CN"/>
              </w:rPr>
              <w:t xml:space="preserve">2 </w:t>
            </w:r>
            <w:r>
              <w:rPr>
                <w:rFonts w:hint="eastAsia" w:ascii="Times New Roman" w:hAnsi="Times New Roman" w:eastAsia="宋体" w:cs="Times New Roman"/>
                <w:b/>
                <w:szCs w:val="21"/>
              </w:rPr>
              <w:t xml:space="preserve"> </w:t>
            </w:r>
            <w:r>
              <w:rPr>
                <w:rFonts w:hint="eastAsia" w:ascii="Times New Roman" w:hAnsi="Times New Roman" w:eastAsia="宋体" w:cs="Times New Roman"/>
                <w:b/>
                <w:bCs/>
                <w:szCs w:val="21"/>
              </w:rPr>
              <w:t>施工期工艺流程及产污环节</w:t>
            </w:r>
            <w:r>
              <w:rPr>
                <w:rFonts w:hint="default" w:ascii="Times New Roman" w:hAnsi="Times New Roman" w:eastAsia="宋体" w:cs="Times New Roman"/>
                <w:b/>
                <w:bCs/>
                <w:szCs w:val="21"/>
              </w:rPr>
              <w:t>图</w:t>
            </w:r>
          </w:p>
          <w:p w14:paraId="6656DA1C">
            <w:pPr>
              <w:keepNext w:val="0"/>
              <w:keepLines w:val="0"/>
              <w:suppressLineNumbers w:val="0"/>
              <w:suppressAutoHyphens/>
              <w:spacing w:before="0" w:beforeAutospacing="0" w:after="0" w:afterAutospacing="0" w:line="360" w:lineRule="auto"/>
              <w:ind w:left="0" w:right="0" w:firstLine="480" w:firstLineChars="200"/>
              <w:rPr>
                <w:rFonts w:hint="default" w:ascii="Times New Roman" w:hAnsi="Times New Roman" w:eastAsia="宋体" w:cs="Times New Roman"/>
                <w:b/>
                <w:bCs/>
                <w:szCs w:val="21"/>
              </w:rPr>
            </w:pPr>
            <w:r>
              <w:rPr>
                <w:rFonts w:hint="eastAsia" w:ascii="Times New Roman" w:hAnsi="Times New Roman" w:eastAsia="宋体" w:cs="Times New Roman"/>
                <w:bCs/>
                <w:sz w:val="24"/>
              </w:rPr>
              <w:t>建筑施工全过程按作业性质可分为以下几个阶段：清理场地阶段包括清理地面杂物、平整场地等；土石方施工阶段主要是土石方开挖等；基础施工阶段包括打桩、砌筑基础等；主体结构施工阶段包括钢筋、混凝土工程、钢体工程、砌体工程；装修阶段包括内外檐装修、内部装修等；扫尾阶段包括土方回填、修路、清理现场等。</w:t>
            </w:r>
            <w:r>
              <w:rPr>
                <w:rFonts w:hint="default" w:ascii="Times New Roman" w:hAnsi="Times New Roman" w:eastAsia="宋体" w:cs="Times New Roman"/>
                <w:bCs/>
                <w:sz w:val="24"/>
              </w:rPr>
              <w:t>从总体讲，</w:t>
            </w:r>
            <w:r>
              <w:rPr>
                <w:rFonts w:hint="eastAsia" w:ascii="Times New Roman" w:hAnsi="Times New Roman" w:eastAsia="宋体" w:cs="Times New Roman"/>
                <w:bCs/>
                <w:sz w:val="24"/>
              </w:rPr>
              <w:t>建设</w:t>
            </w:r>
            <w:r>
              <w:rPr>
                <w:rFonts w:hint="default" w:ascii="Times New Roman" w:hAnsi="Times New Roman" w:eastAsia="宋体" w:cs="Times New Roman"/>
                <w:bCs/>
                <w:sz w:val="24"/>
              </w:rPr>
              <w:t>工程在施工</w:t>
            </w:r>
            <w:r>
              <w:rPr>
                <w:rFonts w:hint="eastAsia" w:cs="Times New Roman"/>
                <w:bCs/>
                <w:sz w:val="24"/>
                <w:lang w:eastAsia="zh-CN"/>
              </w:rPr>
              <w:t>期间</w:t>
            </w:r>
            <w:r>
              <w:rPr>
                <w:rFonts w:hint="default" w:ascii="Times New Roman" w:hAnsi="Times New Roman" w:eastAsia="宋体" w:cs="Times New Roman"/>
                <w:bCs/>
                <w:sz w:val="24"/>
              </w:rPr>
              <w:t>以施工噪声、废弃物料</w:t>
            </w:r>
            <w:r>
              <w:rPr>
                <w:rFonts w:hint="eastAsia" w:ascii="Times New Roman" w:hAnsi="Times New Roman" w:eastAsia="宋体" w:cs="Times New Roman"/>
                <w:bCs/>
                <w:sz w:val="24"/>
              </w:rPr>
              <w:t>（</w:t>
            </w:r>
            <w:r>
              <w:rPr>
                <w:rFonts w:hint="default" w:ascii="Times New Roman" w:hAnsi="Times New Roman" w:eastAsia="宋体" w:cs="Times New Roman"/>
                <w:bCs/>
                <w:sz w:val="24"/>
              </w:rPr>
              <w:t>废渣</w:t>
            </w:r>
            <w:r>
              <w:rPr>
                <w:rFonts w:hint="eastAsia" w:ascii="Times New Roman" w:hAnsi="Times New Roman" w:eastAsia="宋体" w:cs="Times New Roman"/>
                <w:bCs/>
                <w:sz w:val="24"/>
              </w:rPr>
              <w:t>）</w:t>
            </w:r>
            <w:r>
              <w:rPr>
                <w:rFonts w:hint="default" w:ascii="Times New Roman" w:hAnsi="Times New Roman" w:eastAsia="宋体" w:cs="Times New Roman"/>
                <w:bCs/>
                <w:sz w:val="24"/>
              </w:rPr>
              <w:t>和废水为主要污染物。</w:t>
            </w:r>
          </w:p>
          <w:p w14:paraId="111A640D">
            <w:pPr>
              <w:keepNext w:val="0"/>
              <w:keepLines w:val="0"/>
              <w:suppressLineNumbers w:val="0"/>
              <w:spacing w:before="120" w:beforeLines="50" w:beforeAutospacing="0" w:after="0" w:afterAutospacing="0" w:line="360" w:lineRule="auto"/>
              <w:ind w:left="0" w:right="0"/>
              <w:rPr>
                <w:rFonts w:hint="eastAsia" w:ascii="Times New Roman" w:hAnsi="Times New Roman" w:eastAsia="宋体" w:cs="Times New Roman"/>
                <w:b/>
                <w:sz w:val="24"/>
              </w:rPr>
            </w:pPr>
            <w:r>
              <w:rPr>
                <w:rFonts w:hint="eastAsia" w:ascii="Times New Roman" w:hAnsi="Times New Roman" w:eastAsia="宋体" w:cs="Times New Roman"/>
                <w:b/>
                <w:bCs/>
                <w:sz w:val="24"/>
              </w:rPr>
              <w:t>二、营运期</w:t>
            </w:r>
            <w:r>
              <w:rPr>
                <w:rFonts w:hint="eastAsia" w:ascii="Times New Roman" w:hAnsi="Times New Roman" w:eastAsia="宋体" w:cs="Times New Roman"/>
                <w:b/>
                <w:sz w:val="24"/>
              </w:rPr>
              <w:t>工艺流程和产污环节</w:t>
            </w:r>
          </w:p>
          <w:p w14:paraId="7E12AB0E">
            <w:pPr>
              <w:pStyle w:val="72"/>
              <w:keepNext w:val="0"/>
              <w:keepLines w:val="0"/>
              <w:suppressLineNumbers w:val="0"/>
              <w:spacing w:before="0" w:beforeAutospacing="0" w:after="0" w:afterAutospacing="0"/>
              <w:ind w:left="0" w:right="0" w:firstLine="480" w:firstLineChars="200"/>
              <w:rPr>
                <w:rFonts w:hint="default" w:ascii="Times New Roman" w:hAnsi="Times New Roman" w:eastAsia="宋体" w:cs="Times New Roman"/>
                <w:bCs/>
                <w:color w:val="auto"/>
              </w:rPr>
            </w:pPr>
            <w:r>
              <w:rPr>
                <w:rFonts w:hint="eastAsia" w:cs="Times New Roman"/>
                <w:bCs/>
                <w:color w:val="auto"/>
                <w:lang w:val="en-US" w:eastAsia="zh-CN"/>
              </w:rPr>
              <w:t>本项目</w:t>
            </w:r>
            <w:r>
              <w:rPr>
                <w:rFonts w:hint="eastAsia" w:ascii="Times New Roman" w:hAnsi="Times New Roman" w:eastAsia="宋体" w:cs="Times New Roman"/>
                <w:bCs/>
                <w:color w:val="auto"/>
              </w:rPr>
              <w:t>通过外购鹅卵石及建筑废料破碎为建筑用砂</w:t>
            </w:r>
            <w:r>
              <w:rPr>
                <w:rFonts w:hint="eastAsia" w:cs="Times New Roman"/>
                <w:bCs/>
                <w:color w:val="auto"/>
                <w:sz w:val="24"/>
                <w:lang w:eastAsia="zh-CN"/>
              </w:rPr>
              <w:t>，</w:t>
            </w:r>
            <w:r>
              <w:rPr>
                <w:rFonts w:hint="eastAsia" w:ascii="Times New Roman" w:eastAsia="宋体"/>
                <w:color w:val="auto"/>
              </w:rPr>
              <w:t>本项目不进行砂石、</w:t>
            </w:r>
            <w:r>
              <w:rPr>
                <w:rFonts w:hint="eastAsia" w:ascii="Times New Roman"/>
                <w:color w:val="auto"/>
                <w:lang w:val="en-US" w:eastAsia="zh-CN"/>
              </w:rPr>
              <w:t>鹅卵</w:t>
            </w:r>
            <w:r>
              <w:rPr>
                <w:rFonts w:hint="eastAsia" w:ascii="Times New Roman" w:eastAsia="宋体"/>
                <w:color w:val="auto"/>
              </w:rPr>
              <w:t>石开采，所用原料均为外购</w:t>
            </w:r>
            <w:r>
              <w:rPr>
                <w:rFonts w:hint="eastAsia" w:ascii="Times New Roman" w:eastAsia="宋体"/>
                <w:color w:val="auto"/>
                <w:lang w:val="en-US" w:eastAsia="zh-CN"/>
              </w:rPr>
              <w:t>的鹅卵石及</w:t>
            </w:r>
            <w:r>
              <w:rPr>
                <w:rFonts w:hint="eastAsia" w:ascii="Times New Roman"/>
                <w:color w:val="auto"/>
                <w:lang w:val="en-US" w:eastAsia="zh-CN"/>
              </w:rPr>
              <w:t>经筛选后的</w:t>
            </w:r>
            <w:r>
              <w:rPr>
                <w:rFonts w:hint="eastAsia" w:ascii="Times New Roman" w:eastAsia="宋体"/>
                <w:color w:val="auto"/>
                <w:lang w:val="en-US" w:eastAsia="zh-CN"/>
              </w:rPr>
              <w:t>建筑废料</w:t>
            </w:r>
            <w:r>
              <w:rPr>
                <w:rFonts w:hint="eastAsia" w:ascii="Times New Roman" w:eastAsia="宋体"/>
                <w:color w:val="auto"/>
              </w:rPr>
              <w:t>。</w:t>
            </w:r>
            <w:r>
              <w:rPr>
                <w:rFonts w:hint="eastAsia" w:ascii="Times New Roman" w:hAnsi="Times New Roman" w:eastAsia="宋体" w:cs="Times New Roman"/>
                <w:bCs/>
                <w:color w:val="auto"/>
              </w:rPr>
              <w:t>具体生产工艺及产污节点见如下</w:t>
            </w:r>
            <w:r>
              <w:rPr>
                <w:rFonts w:hint="default" w:ascii="Times New Roman" w:hAnsi="Times New Roman" w:eastAsia="宋体" w:cs="Times New Roman"/>
                <w:bCs/>
                <w:color w:val="auto"/>
              </w:rPr>
              <w:t>：</w:t>
            </w:r>
          </w:p>
          <w:p w14:paraId="05459509">
            <w:pPr>
              <w:pStyle w:val="72"/>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drawing>
                <wp:inline distT="0" distB="0" distL="114300" distR="114300">
                  <wp:extent cx="4151630" cy="5722620"/>
                  <wp:effectExtent l="0" t="0" r="0" b="0"/>
                  <wp:docPr id="13" name="图片 13" descr="生产工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生产工艺"/>
                          <pic:cNvPicPr>
                            <a:picLocks noChangeAspect="1"/>
                          </pic:cNvPicPr>
                        </pic:nvPicPr>
                        <pic:blipFill>
                          <a:blip r:embed="rId17"/>
                          <a:stretch>
                            <a:fillRect/>
                          </a:stretch>
                        </pic:blipFill>
                        <pic:spPr>
                          <a:xfrm>
                            <a:off x="0" y="0"/>
                            <a:ext cx="4151630" cy="5722620"/>
                          </a:xfrm>
                          <a:prstGeom prst="rect">
                            <a:avLst/>
                          </a:prstGeom>
                        </pic:spPr>
                      </pic:pic>
                    </a:graphicData>
                  </a:graphic>
                </wp:inline>
              </w:drawing>
            </w:r>
          </w:p>
          <w:p w14:paraId="4C23627B">
            <w:pPr>
              <w:pStyle w:val="72"/>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b/>
                <w:snapToGrid w:val="0"/>
                <w:color w:val="auto"/>
                <w:sz w:val="21"/>
                <w:szCs w:val="21"/>
              </w:rPr>
            </w:pPr>
            <w:r>
              <w:rPr>
                <w:rFonts w:hint="default" w:ascii="Times New Roman" w:hAnsi="Times New Roman" w:eastAsia="宋体" w:cs="Times New Roman"/>
                <w:b/>
                <w:snapToGrid w:val="0"/>
                <w:color w:val="auto"/>
                <w:sz w:val="21"/>
                <w:szCs w:val="21"/>
              </w:rPr>
              <w:t>图2</w:t>
            </w:r>
            <w:r>
              <w:rPr>
                <w:rFonts w:hint="eastAsia" w:ascii="Times New Roman" w:hAnsi="Times New Roman" w:eastAsia="宋体" w:cs="Times New Roman"/>
                <w:b/>
                <w:snapToGrid w:val="0"/>
                <w:color w:val="auto"/>
                <w:sz w:val="21"/>
                <w:szCs w:val="21"/>
              </w:rPr>
              <w:t>-</w:t>
            </w:r>
            <w:r>
              <w:rPr>
                <w:rFonts w:hint="eastAsia" w:cs="Times New Roman"/>
                <w:b/>
                <w:snapToGrid w:val="0"/>
                <w:color w:val="auto"/>
                <w:sz w:val="21"/>
                <w:szCs w:val="21"/>
                <w:lang w:val="en-US" w:eastAsia="zh-CN"/>
              </w:rPr>
              <w:t>3</w:t>
            </w:r>
            <w:r>
              <w:rPr>
                <w:rFonts w:hint="eastAsia" w:ascii="Times New Roman" w:hAnsi="Times New Roman" w:eastAsia="宋体" w:cs="Times New Roman"/>
                <w:b/>
                <w:snapToGrid w:val="0"/>
                <w:color w:val="auto"/>
                <w:sz w:val="21"/>
                <w:szCs w:val="21"/>
              </w:rPr>
              <w:t xml:space="preserve">  </w:t>
            </w:r>
            <w:r>
              <w:rPr>
                <w:rFonts w:hint="eastAsia" w:cs="Times New Roman"/>
                <w:b/>
                <w:snapToGrid w:val="0"/>
                <w:color w:val="auto"/>
                <w:sz w:val="21"/>
                <w:szCs w:val="21"/>
                <w:lang w:val="en-US" w:eastAsia="zh-CN"/>
              </w:rPr>
              <w:t>砂石</w:t>
            </w:r>
            <w:r>
              <w:rPr>
                <w:rFonts w:hint="default" w:ascii="Times New Roman" w:hAnsi="Times New Roman" w:eastAsia="宋体" w:cs="Times New Roman"/>
                <w:b/>
                <w:snapToGrid w:val="0"/>
                <w:color w:val="auto"/>
                <w:sz w:val="21"/>
                <w:szCs w:val="21"/>
              </w:rPr>
              <w:t>生产工艺流程及产污环</w:t>
            </w:r>
            <w:r>
              <w:rPr>
                <w:rFonts w:hint="eastAsia" w:ascii="Times New Roman" w:hAnsi="Times New Roman" w:eastAsia="宋体" w:cs="Times New Roman"/>
                <w:b/>
                <w:snapToGrid w:val="0"/>
                <w:color w:val="auto"/>
                <w:sz w:val="21"/>
                <w:szCs w:val="21"/>
              </w:rPr>
              <w:t>节点图</w:t>
            </w:r>
          </w:p>
          <w:p w14:paraId="0A266F0B">
            <w:pPr>
              <w:pStyle w:val="2"/>
              <w:keepNext w:val="0"/>
              <w:keepLines w:val="0"/>
              <w:suppressLineNumbers w:val="0"/>
              <w:adjustRightInd w:val="0"/>
              <w:spacing w:before="0" w:beforeAutospacing="0" w:after="0" w:afterAutospacing="0" w:line="360" w:lineRule="auto"/>
              <w:ind w:left="0" w:leftChars="0" w:right="0" w:firstLine="482"/>
              <w:textAlignment w:val="baseline"/>
              <w:rPr>
                <w:rFonts w:hint="default" w:ascii="Times New Roman" w:hAnsi="Times New Roman" w:eastAsia="宋体" w:cs="Times New Roman"/>
                <w:color w:val="auto"/>
                <w:kern w:val="0"/>
                <w:sz w:val="24"/>
                <w:szCs w:val="24"/>
                <w:lang w:bidi="ar"/>
              </w:rPr>
            </w:pPr>
            <w:r>
              <w:rPr>
                <w:rFonts w:hint="default" w:ascii="Times New Roman" w:hAnsi="Times New Roman" w:eastAsia="宋体" w:cs="Times New Roman"/>
                <w:b/>
                <w:bCs/>
                <w:color w:val="auto"/>
                <w:kern w:val="0"/>
                <w:sz w:val="24"/>
                <w:szCs w:val="24"/>
                <w:lang w:bidi="ar"/>
              </w:rPr>
              <w:t>工艺流程简述：</w:t>
            </w:r>
          </w:p>
          <w:p w14:paraId="5654FD6A">
            <w:pPr>
              <w:pStyle w:val="62"/>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z w:val="24"/>
                <w:u w:val="single"/>
                <w:lang w:val="en-US" w:eastAsia="zh-CN"/>
              </w:rPr>
            </w:pPr>
            <w:r>
              <w:rPr>
                <w:rFonts w:hint="eastAsia" w:ascii="Times New Roman" w:hAnsi="Times New Roman" w:cs="Times New Roman"/>
                <w:sz w:val="24"/>
                <w:lang w:eastAsia="zh-CN"/>
              </w:rPr>
              <w:t>（</w:t>
            </w:r>
            <w:r>
              <w:rPr>
                <w:rFonts w:hint="eastAsia" w:ascii="Times New Roman" w:hAnsi="Times New Roman" w:cs="Times New Roman"/>
                <w:sz w:val="24"/>
                <w:lang w:val="en-US" w:eastAsia="zh-CN"/>
              </w:rPr>
              <w:t>1</w:t>
            </w:r>
            <w:r>
              <w:rPr>
                <w:rFonts w:hint="eastAsia" w:ascii="Times New Roman" w:hAnsi="Times New Roman" w:cs="Times New Roman"/>
                <w:sz w:val="24"/>
                <w:lang w:eastAsia="zh-CN"/>
              </w:rPr>
              <w:t>）</w:t>
            </w:r>
            <w:r>
              <w:rPr>
                <w:rFonts w:hint="eastAsia" w:ascii="Times New Roman" w:hAnsi="Times New Roman" w:cs="Times New Roman"/>
                <w:sz w:val="24"/>
                <w:lang w:val="en-US" w:eastAsia="zh-CN"/>
              </w:rPr>
              <w:t>卸料及原料堆放：</w:t>
            </w:r>
            <w:r>
              <w:rPr>
                <w:rFonts w:hint="eastAsia" w:ascii="Times New Roman" w:eastAsia="宋体"/>
                <w:color w:val="auto"/>
                <w:lang w:val="en-US" w:eastAsia="zh-CN"/>
              </w:rPr>
              <w:t>供应商</w:t>
            </w:r>
            <w:r>
              <w:rPr>
                <w:rFonts w:hint="eastAsia" w:ascii="Times New Roman" w:eastAsia="宋体"/>
                <w:color w:val="auto"/>
              </w:rPr>
              <w:t>用汽车</w:t>
            </w:r>
            <w:r>
              <w:rPr>
                <w:rFonts w:hint="eastAsia" w:ascii="Times New Roman" w:eastAsia="宋体"/>
                <w:color w:val="auto"/>
                <w:lang w:val="en-US" w:eastAsia="zh-CN"/>
              </w:rPr>
              <w:t>将原料</w:t>
            </w:r>
            <w:r>
              <w:rPr>
                <w:rFonts w:hint="eastAsia" w:ascii="Times New Roman" w:eastAsia="宋体"/>
                <w:color w:val="auto"/>
              </w:rPr>
              <w:t>运至厂区原料堆场，卸料暂存</w:t>
            </w:r>
            <w:r>
              <w:rPr>
                <w:rFonts w:hint="eastAsia" w:ascii="Times New Roman" w:eastAsia="宋体"/>
                <w:color w:val="auto"/>
                <w:lang w:eastAsia="zh-CN"/>
              </w:rPr>
              <w:t>，</w:t>
            </w:r>
            <w:r>
              <w:rPr>
                <w:rFonts w:hint="eastAsia" w:cs="Times New Roman"/>
                <w:lang w:val="en-US" w:eastAsia="zh-CN"/>
              </w:rPr>
              <w:t>堆场设三面围挡及铺设防尘网，物料表面铺设防尘网，堆场四周设置喷淋降尘装置</w:t>
            </w:r>
            <w:r>
              <w:rPr>
                <w:rFonts w:hint="eastAsia" w:ascii="Times New Roman" w:eastAsia="宋体"/>
                <w:color w:val="auto"/>
              </w:rPr>
              <w:t>。</w:t>
            </w:r>
            <w:r>
              <w:rPr>
                <w:rFonts w:hint="eastAsia" w:ascii="Times New Roman" w:eastAsia="宋体"/>
                <w:color w:val="auto"/>
                <w:u w:val="single"/>
                <w:lang w:val="en-US" w:eastAsia="zh-CN"/>
              </w:rPr>
              <w:t>本工序产生的主要污染物为粉尘和噪声。</w:t>
            </w:r>
          </w:p>
          <w:p w14:paraId="19C9958E">
            <w:pPr>
              <w:pStyle w:val="62"/>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z w:val="24"/>
                <w:lang w:val="en-US" w:eastAsia="zh-CN"/>
              </w:rPr>
            </w:pPr>
            <w:r>
              <w:rPr>
                <w:rFonts w:hint="default" w:ascii="Times New Roman" w:hAnsi="Times New Roman" w:cs="Times New Roman"/>
                <w:sz w:val="24"/>
              </w:rPr>
              <w:t>（</w:t>
            </w:r>
            <w:r>
              <w:rPr>
                <w:rFonts w:hint="default" w:ascii="Times New Roman" w:hAnsi="Times New Roman" w:cs="Times New Roman"/>
                <w:sz w:val="24"/>
                <w:lang w:val="en-US" w:eastAsia="zh-CN"/>
              </w:rPr>
              <w:t>2</w:t>
            </w:r>
            <w:r>
              <w:rPr>
                <w:rFonts w:hint="default" w:ascii="Times New Roman" w:hAnsi="Times New Roman" w:cs="Times New Roman"/>
                <w:sz w:val="24"/>
              </w:rPr>
              <w:t>）</w:t>
            </w:r>
            <w:r>
              <w:rPr>
                <w:rFonts w:hint="eastAsia" w:ascii="Times New Roman" w:hAnsi="Times New Roman" w:cs="Times New Roman"/>
                <w:sz w:val="24"/>
                <w:lang w:val="en-US" w:eastAsia="zh-CN"/>
              </w:rPr>
              <w:t>进</w:t>
            </w:r>
            <w:r>
              <w:rPr>
                <w:rFonts w:hint="default" w:ascii="Times New Roman" w:hAnsi="Times New Roman" w:cs="Times New Roman"/>
                <w:sz w:val="24"/>
              </w:rPr>
              <w:t>料：</w:t>
            </w:r>
            <w:r>
              <w:rPr>
                <w:rFonts w:hint="default" w:ascii="Times New Roman" w:hAnsi="Times New Roman" w:cs="Times New Roman"/>
                <w:sz w:val="24"/>
                <w:lang w:val="en-US" w:eastAsia="zh-CN"/>
              </w:rPr>
              <w:t>原料经</w:t>
            </w:r>
            <w:r>
              <w:rPr>
                <w:rFonts w:hint="default" w:ascii="Times New Roman" w:hAnsi="Times New Roman" w:cs="Times New Roman"/>
                <w:sz w:val="24"/>
              </w:rPr>
              <w:t>铲车向喂料机加料</w:t>
            </w:r>
            <w:r>
              <w:rPr>
                <w:rFonts w:hint="eastAsia" w:ascii="Times New Roman" w:hAnsi="Times New Roman" w:cs="Times New Roman"/>
                <w:sz w:val="24"/>
                <w:lang w:eastAsia="zh-CN"/>
              </w:rPr>
              <w:t>，</w:t>
            </w:r>
            <w:r>
              <w:rPr>
                <w:rFonts w:hint="default" w:ascii="Times New Roman" w:hAnsi="Times New Roman" w:cs="Times New Roman"/>
                <w:sz w:val="24"/>
              </w:rPr>
              <w:t>利用高差，原料</w:t>
            </w:r>
            <w:r>
              <w:rPr>
                <w:rFonts w:hint="eastAsia" w:ascii="Times New Roman" w:hAnsi="Times New Roman" w:cs="Times New Roman"/>
                <w:sz w:val="24"/>
                <w:lang w:val="en-US" w:eastAsia="zh-CN"/>
              </w:rPr>
              <w:t>落入喂料机</w:t>
            </w:r>
            <w:r>
              <w:rPr>
                <w:rFonts w:hint="default" w:ascii="Times New Roman" w:hAnsi="Times New Roman" w:cs="Times New Roman"/>
                <w:sz w:val="24"/>
              </w:rPr>
              <w:t>金属沟槽</w:t>
            </w:r>
            <w:r>
              <w:rPr>
                <w:rFonts w:hint="eastAsia" w:ascii="Times New Roman" w:hAnsi="Times New Roman" w:cs="Times New Roman"/>
                <w:sz w:val="24"/>
                <w:lang w:val="en-US" w:eastAsia="zh-CN"/>
              </w:rPr>
              <w:t>中，由进料机进入</w:t>
            </w:r>
            <w:r>
              <w:rPr>
                <w:rFonts w:hint="default" w:ascii="Times New Roman" w:hAnsi="Times New Roman" w:cs="Times New Roman"/>
                <w:sz w:val="24"/>
              </w:rPr>
              <w:t>颚式破碎机</w:t>
            </w:r>
            <w:r>
              <w:rPr>
                <w:rFonts w:hint="eastAsia" w:ascii="Times New Roman" w:hAnsi="Times New Roman" w:cs="Times New Roman"/>
                <w:sz w:val="24"/>
                <w:lang w:eastAsia="zh-CN"/>
              </w:rPr>
              <w:t>，</w:t>
            </w:r>
            <w:r>
              <w:rPr>
                <w:rFonts w:hint="eastAsia" w:ascii="Times New Roman" w:hAnsi="Times New Roman" w:cs="Times New Roman"/>
                <w:sz w:val="24"/>
                <w:lang w:val="en-US" w:eastAsia="zh-CN"/>
              </w:rPr>
              <w:t>进料过程持续进行水喷淋，使原料中的泥土分散于水中形成泥浆，达到初步清洗的目的，同时确保进料为湿料，泥浆由抽水泵泵入废水收集池</w:t>
            </w:r>
            <w:r>
              <w:rPr>
                <w:rFonts w:hint="default" w:ascii="Times New Roman" w:hAnsi="Times New Roman" w:cs="Times New Roman"/>
                <w:sz w:val="24"/>
                <w:u w:val="none"/>
              </w:rPr>
              <w:t>。</w:t>
            </w:r>
            <w:r>
              <w:rPr>
                <w:rFonts w:hint="eastAsia" w:ascii="Times New Roman" w:eastAsia="宋体"/>
                <w:color w:val="auto"/>
                <w:u w:val="single"/>
                <w:lang w:val="en-US" w:eastAsia="zh-CN"/>
              </w:rPr>
              <w:t>本工序产生的主要污染物为粉尘、噪声、废水。</w:t>
            </w:r>
          </w:p>
          <w:p w14:paraId="374E000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outlineLvl w:val="2"/>
              <w:rPr>
                <w:rFonts w:hint="eastAsia" w:ascii="Times New Roman" w:hAnsi="Times New Roman" w:cs="Times New Roman"/>
                <w:sz w:val="24"/>
                <w:lang w:eastAsia="zh-CN"/>
              </w:rPr>
            </w:pPr>
            <w:r>
              <w:rPr>
                <w:rFonts w:hint="eastAsia" w:ascii="Times New Roman" w:hAnsi="Times New Roman" w:cs="Times New Roman"/>
                <w:sz w:val="24"/>
                <w:lang w:eastAsia="zh-CN"/>
              </w:rPr>
              <w:t>（</w:t>
            </w:r>
            <w:r>
              <w:rPr>
                <w:rFonts w:hint="eastAsia" w:ascii="Times New Roman" w:hAnsi="Times New Roman" w:cs="Times New Roman"/>
                <w:sz w:val="24"/>
                <w:lang w:val="en-US" w:eastAsia="zh-CN"/>
              </w:rPr>
              <w:t>3）</w:t>
            </w:r>
            <w:r>
              <w:rPr>
                <w:rFonts w:hint="eastAsia" w:cs="Times New Roman"/>
                <w:sz w:val="24"/>
                <w:lang w:val="en-US" w:eastAsia="zh-CN"/>
              </w:rPr>
              <w:t>颚</w:t>
            </w:r>
            <w:r>
              <w:rPr>
                <w:rFonts w:hint="eastAsia" w:ascii="Times New Roman" w:hAnsi="Times New Roman" w:cs="Times New Roman"/>
                <w:sz w:val="24"/>
                <w:lang w:val="en-US" w:eastAsia="zh-CN"/>
              </w:rPr>
              <w:t>式</w:t>
            </w:r>
            <w:r>
              <w:rPr>
                <w:rFonts w:hint="default" w:ascii="Times New Roman" w:hAnsi="Times New Roman" w:cs="Times New Roman"/>
                <w:sz w:val="24"/>
              </w:rPr>
              <w:t>破碎：</w:t>
            </w:r>
            <w:r>
              <w:rPr>
                <w:rFonts w:hint="eastAsia" w:ascii="Times New Roman" w:hAnsi="Times New Roman" w:cs="Times New Roman"/>
                <w:sz w:val="24"/>
                <w:lang w:val="en-US" w:eastAsia="zh-CN"/>
              </w:rPr>
              <w:t>利用</w:t>
            </w:r>
            <w:r>
              <w:rPr>
                <w:rFonts w:hint="default" w:ascii="Times New Roman" w:hAnsi="Times New Roman" w:cs="Times New Roman"/>
                <w:sz w:val="24"/>
              </w:rPr>
              <w:t>颚</w:t>
            </w:r>
            <w:r>
              <w:rPr>
                <w:rFonts w:hint="eastAsia" w:ascii="Times New Roman" w:hAnsi="Times New Roman" w:cs="Times New Roman"/>
                <w:sz w:val="24"/>
                <w:lang w:val="en-US" w:eastAsia="zh-CN"/>
              </w:rPr>
              <w:t>式</w:t>
            </w:r>
            <w:r>
              <w:rPr>
                <w:rFonts w:hint="default" w:ascii="Times New Roman" w:hAnsi="Times New Roman" w:cs="Times New Roman"/>
                <w:sz w:val="24"/>
              </w:rPr>
              <w:t>破机</w:t>
            </w:r>
            <w:r>
              <w:rPr>
                <w:rFonts w:hint="default" w:ascii="Times New Roman" w:hAnsi="Times New Roman" w:cs="Times New Roman"/>
                <w:sz w:val="24"/>
                <w:lang w:val="en-US" w:eastAsia="zh-CN"/>
              </w:rPr>
              <w:t>将原料破碎成</w:t>
            </w:r>
            <w:r>
              <w:rPr>
                <w:rFonts w:hint="eastAsia" w:ascii="Times New Roman" w:hAnsi="Times New Roman" w:cs="Times New Roman"/>
                <w:sz w:val="24"/>
                <w:lang w:val="en-US" w:eastAsia="zh-CN"/>
              </w:rPr>
              <w:t>粒径为0.5cm以下的</w:t>
            </w:r>
            <w:r>
              <w:rPr>
                <w:rFonts w:hint="default" w:ascii="Times New Roman" w:hAnsi="Times New Roman" w:cs="Times New Roman"/>
                <w:sz w:val="24"/>
                <w:lang w:val="en-US" w:eastAsia="zh-CN"/>
              </w:rPr>
              <w:t>碎石，</w:t>
            </w:r>
            <w:r>
              <w:rPr>
                <w:rFonts w:hint="eastAsia" w:ascii="Times New Roman" w:hAnsi="Times New Roman" w:cs="Times New Roman"/>
                <w:sz w:val="24"/>
                <w:lang w:val="en-US" w:eastAsia="zh-CN"/>
              </w:rPr>
              <w:t>破碎过程由于机械作用，物料表面含水量会降低，破碎时需在进料口和出料口设置喷淋降尘装置。</w:t>
            </w:r>
            <w:r>
              <w:rPr>
                <w:rFonts w:hint="eastAsia" w:ascii="Times New Roman" w:hAnsi="Times New Roman" w:cs="Times New Roman"/>
                <w:sz w:val="24"/>
                <w:u w:val="single"/>
                <w:lang w:val="en-US" w:eastAsia="zh-CN"/>
              </w:rPr>
              <w:t>本工序产生的主要污染物为粉尘和噪声。</w:t>
            </w:r>
          </w:p>
          <w:p w14:paraId="4158A46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outlineLvl w:val="2"/>
              <w:rPr>
                <w:rFonts w:hint="default" w:ascii="Times New Roman" w:hAnsi="Times New Roman" w:cs="Times New Roman"/>
                <w:sz w:val="24"/>
                <w:u w:val="single"/>
                <w:lang w:val="en-US" w:eastAsia="zh-CN"/>
              </w:rPr>
            </w:pPr>
            <w:r>
              <w:rPr>
                <w:rFonts w:hint="eastAsia" w:ascii="Times New Roman" w:hAnsi="Times New Roman" w:cs="Times New Roman"/>
                <w:sz w:val="24"/>
                <w:lang w:val="en-US" w:eastAsia="zh-CN"/>
              </w:rPr>
              <w:t>（4）一次筛分：经破碎后的物料（湿料）由传送皮带送入</w:t>
            </w:r>
            <w:r>
              <w:rPr>
                <w:rFonts w:hint="eastAsia" w:cs="Times New Roman"/>
                <w:sz w:val="24"/>
                <w:lang w:val="en-US" w:eastAsia="zh-CN"/>
              </w:rPr>
              <w:t>振动筛</w:t>
            </w:r>
            <w:r>
              <w:rPr>
                <w:rFonts w:hint="eastAsia" w:ascii="Times New Roman" w:hAnsi="Times New Roman" w:cs="Times New Roman"/>
                <w:sz w:val="24"/>
                <w:lang w:val="en-US" w:eastAsia="zh-CN"/>
              </w:rPr>
              <w:t>进行筛分，粒径小于0.5cm的物料落入</w:t>
            </w:r>
            <w:r>
              <w:rPr>
                <w:rFonts w:hint="eastAsia" w:cs="Times New Roman"/>
                <w:sz w:val="24"/>
                <w:lang w:val="en-US" w:eastAsia="zh-CN"/>
              </w:rPr>
              <w:t>振动筛</w:t>
            </w:r>
            <w:r>
              <w:rPr>
                <w:rFonts w:hint="eastAsia" w:ascii="Times New Roman" w:hAnsi="Times New Roman" w:cs="Times New Roman"/>
                <w:sz w:val="24"/>
                <w:lang w:val="en-US" w:eastAsia="zh-CN"/>
              </w:rPr>
              <w:t>下方传送带上，传送至锤式粉碎机，筛上物（粒径大于0.5cm）部分经传送带送回</w:t>
            </w:r>
            <w:r>
              <w:rPr>
                <w:rFonts w:hint="eastAsia" w:cs="Times New Roman"/>
                <w:sz w:val="24"/>
                <w:lang w:val="en-US" w:eastAsia="zh-CN"/>
              </w:rPr>
              <w:t>颚</w:t>
            </w:r>
            <w:r>
              <w:rPr>
                <w:rFonts w:hint="eastAsia" w:ascii="Times New Roman" w:hAnsi="Times New Roman" w:cs="Times New Roman"/>
                <w:sz w:val="24"/>
                <w:lang w:val="en-US" w:eastAsia="zh-CN"/>
              </w:rPr>
              <w:t>式破碎机再次破碎。</w:t>
            </w:r>
            <w:r>
              <w:rPr>
                <w:rFonts w:hint="eastAsia" w:ascii="Times New Roman" w:hAnsi="Times New Roman" w:cs="Times New Roman"/>
                <w:sz w:val="24"/>
                <w:u w:val="single"/>
                <w:lang w:val="en-US" w:eastAsia="zh-CN"/>
              </w:rPr>
              <w:t>本工序产生的主要污染物为噪声。</w:t>
            </w:r>
          </w:p>
          <w:p w14:paraId="2634063E">
            <w:pPr>
              <w:pStyle w:val="62"/>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z w:val="24"/>
                <w:lang w:val="en-US" w:eastAsia="zh-CN"/>
              </w:rPr>
            </w:pPr>
            <w:r>
              <w:rPr>
                <w:rFonts w:hint="eastAsia" w:ascii="Times New Roman" w:hAnsi="Times New Roman" w:cs="Times New Roman"/>
                <w:sz w:val="24"/>
                <w:lang w:eastAsia="zh-CN"/>
              </w:rPr>
              <w:t>（</w:t>
            </w:r>
            <w:r>
              <w:rPr>
                <w:rFonts w:hint="eastAsia" w:ascii="Times New Roman" w:hAnsi="Times New Roman" w:cs="Times New Roman"/>
                <w:sz w:val="24"/>
                <w:lang w:val="en-US" w:eastAsia="zh-CN"/>
              </w:rPr>
              <w:t>5</w:t>
            </w:r>
            <w:r>
              <w:rPr>
                <w:rFonts w:hint="eastAsia" w:ascii="Times New Roman" w:hAnsi="Times New Roman" w:cs="Times New Roman"/>
                <w:sz w:val="24"/>
                <w:lang w:eastAsia="zh-CN"/>
              </w:rPr>
              <w:t>）</w:t>
            </w:r>
            <w:r>
              <w:rPr>
                <w:rFonts w:hint="eastAsia" w:ascii="Times New Roman" w:hAnsi="Times New Roman" w:cs="Times New Roman"/>
                <w:sz w:val="24"/>
                <w:lang w:val="en-US" w:eastAsia="zh-CN"/>
              </w:rPr>
              <w:t>锤头粉碎机：经一次筛分后的物料由传送皮带进入锤头粉碎机粉碎成粒径小于4.75mm的碎石，粉碎过程由于机械作用，物料表面含水量会降低，粉碎时需在进料口和出料口设置喷淋降尘装置。</w:t>
            </w:r>
            <w:r>
              <w:rPr>
                <w:rFonts w:hint="eastAsia" w:ascii="Times New Roman" w:eastAsia="宋体"/>
                <w:color w:val="auto"/>
                <w:u w:val="single"/>
                <w:lang w:val="en-US" w:eastAsia="zh-CN"/>
              </w:rPr>
              <w:t>本工序产生的主要污染物为粉尘、噪声</w:t>
            </w:r>
            <w:r>
              <w:rPr>
                <w:rFonts w:hint="eastAsia" w:ascii="Times New Roman"/>
                <w:color w:val="auto"/>
                <w:u w:val="single"/>
                <w:lang w:val="en-US" w:eastAsia="zh-CN"/>
              </w:rPr>
              <w:t>。</w:t>
            </w:r>
          </w:p>
          <w:p w14:paraId="1A9F840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outlineLvl w:val="2"/>
              <w:rPr>
                <w:rFonts w:hint="default" w:ascii="Times New Roman" w:hAnsi="Times New Roman" w:cs="Times New Roman"/>
                <w:sz w:val="24"/>
                <w:u w:val="single"/>
                <w:lang w:val="en-US" w:eastAsia="zh-CN"/>
              </w:rPr>
            </w:pPr>
            <w:r>
              <w:rPr>
                <w:rFonts w:hint="eastAsia" w:ascii="Times New Roman" w:hAnsi="Times New Roman" w:cs="Times New Roman"/>
                <w:sz w:val="24"/>
                <w:lang w:val="en-US" w:eastAsia="zh-CN"/>
              </w:rPr>
              <w:t>（6）二次筛分：经粉碎后的物料（湿料）由传送皮带送入滚动筛进行筛分，粒径小于</w:t>
            </w:r>
            <w:r>
              <w:rPr>
                <w:rFonts w:hint="eastAsia" w:cs="Times New Roman"/>
                <w:sz w:val="24"/>
                <w:lang w:val="en-US" w:eastAsia="zh-CN"/>
              </w:rPr>
              <w:t>4.75</w:t>
            </w:r>
            <w:r>
              <w:rPr>
                <w:rFonts w:hint="eastAsia" w:ascii="Times New Roman" w:hAnsi="Times New Roman" w:cs="Times New Roman"/>
                <w:sz w:val="24"/>
                <w:lang w:val="en-US" w:eastAsia="zh-CN"/>
              </w:rPr>
              <w:t>mm的物料落入滚动筛下方传送带上，传送至洗砂机，筛上物（粒径大于</w:t>
            </w:r>
            <w:r>
              <w:rPr>
                <w:rFonts w:hint="eastAsia" w:cs="Times New Roman"/>
                <w:sz w:val="24"/>
                <w:lang w:val="en-US" w:eastAsia="zh-CN"/>
              </w:rPr>
              <w:t>4.75</w:t>
            </w:r>
            <w:r>
              <w:rPr>
                <w:rFonts w:hint="eastAsia" w:ascii="Times New Roman" w:hAnsi="Times New Roman" w:cs="Times New Roman"/>
                <w:sz w:val="24"/>
                <w:lang w:val="en-US" w:eastAsia="zh-CN"/>
              </w:rPr>
              <w:t>mm）部分经传送带送回锤式粉碎机再次粉碎。</w:t>
            </w:r>
            <w:r>
              <w:rPr>
                <w:rFonts w:hint="eastAsia" w:ascii="Times New Roman" w:hAnsi="Times New Roman" w:cs="Times New Roman"/>
                <w:sz w:val="24"/>
                <w:u w:val="single"/>
                <w:lang w:val="en-US" w:eastAsia="zh-CN"/>
              </w:rPr>
              <w:t>本工序产生的主要污染物为噪声。</w:t>
            </w:r>
          </w:p>
          <w:p w14:paraId="69F2E4D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outlineLvl w:val="2"/>
              <w:rPr>
                <w:rFonts w:hint="default" w:ascii="Times New Roman" w:hAnsi="Times New Roman" w:eastAsia="宋体" w:cs="Times New Roman"/>
                <w:sz w:val="24"/>
                <w:u w:val="single"/>
                <w:lang w:val="en-US" w:eastAsia="zh-CN"/>
              </w:rPr>
            </w:pPr>
            <w:r>
              <w:rPr>
                <w:rFonts w:hint="eastAsia" w:ascii="Times New Roman" w:hAnsi="Times New Roman" w:cs="Times New Roman"/>
                <w:sz w:val="24"/>
                <w:lang w:eastAsia="zh-CN"/>
              </w:rPr>
              <w:t>（</w:t>
            </w:r>
            <w:r>
              <w:rPr>
                <w:rFonts w:hint="eastAsia" w:ascii="Times New Roman" w:hAnsi="Times New Roman" w:cs="Times New Roman"/>
                <w:sz w:val="24"/>
                <w:lang w:val="en-US" w:eastAsia="zh-CN"/>
              </w:rPr>
              <w:t>7</w:t>
            </w:r>
            <w:r>
              <w:rPr>
                <w:rFonts w:hint="eastAsia" w:ascii="Times New Roman" w:hAnsi="Times New Roman" w:cs="Times New Roman"/>
                <w:sz w:val="24"/>
                <w:lang w:eastAsia="zh-CN"/>
              </w:rPr>
              <w:t>）</w:t>
            </w:r>
            <w:r>
              <w:rPr>
                <w:rFonts w:hint="eastAsia" w:ascii="Times New Roman" w:hAnsi="Times New Roman" w:cs="Times New Roman"/>
                <w:sz w:val="24"/>
                <w:lang w:val="en-US" w:eastAsia="zh-CN"/>
              </w:rPr>
              <w:t>洗砂：原料经传送带投入轮式洗砂机，洗砂机滚动摔打的方式使物料中的泥土杂质分散于水中形成泥浆，达到清洗的目的。</w:t>
            </w:r>
            <w:r>
              <w:rPr>
                <w:rFonts w:hint="eastAsia" w:ascii="Times New Roman" w:hAnsi="Times New Roman" w:cs="Times New Roman"/>
                <w:sz w:val="24"/>
                <w:u w:val="single"/>
                <w:lang w:val="en-US" w:eastAsia="zh-CN"/>
              </w:rPr>
              <w:t>本工序产生的主要污染物为废水和噪声。</w:t>
            </w:r>
          </w:p>
          <w:p w14:paraId="320D5E1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outlineLvl w:val="2"/>
              <w:rPr>
                <w:rFonts w:hint="default" w:ascii="Times New Roman" w:hAnsi="Times New Roman" w:eastAsia="宋体" w:cs="Times New Roman"/>
                <w:sz w:val="24"/>
                <w:u w:val="single"/>
                <w:lang w:val="en-US" w:eastAsia="zh-CN"/>
              </w:rPr>
            </w:pPr>
            <w:r>
              <w:rPr>
                <w:rFonts w:hint="default" w:ascii="Times New Roman" w:hAnsi="Times New Roman" w:cs="Times New Roman"/>
                <w:sz w:val="24"/>
              </w:rPr>
              <w:t>（</w:t>
            </w:r>
            <w:r>
              <w:rPr>
                <w:rFonts w:hint="eastAsia" w:ascii="Times New Roman" w:hAnsi="Times New Roman" w:cs="Times New Roman"/>
                <w:sz w:val="24"/>
                <w:lang w:val="en-US" w:eastAsia="zh-CN"/>
              </w:rPr>
              <w:t>8</w:t>
            </w:r>
            <w:r>
              <w:rPr>
                <w:rFonts w:hint="default" w:ascii="Times New Roman" w:hAnsi="Times New Roman" w:cs="Times New Roman"/>
                <w:sz w:val="24"/>
              </w:rPr>
              <w:t>）</w:t>
            </w:r>
            <w:r>
              <w:rPr>
                <w:rFonts w:hint="eastAsia" w:ascii="Times New Roman" w:hAnsi="Times New Roman" w:cs="Times New Roman"/>
                <w:sz w:val="24"/>
                <w:lang w:val="en-US" w:eastAsia="zh-CN"/>
              </w:rPr>
              <w:t>脱水</w:t>
            </w:r>
            <w:r>
              <w:rPr>
                <w:rFonts w:hint="default" w:ascii="Times New Roman" w:hAnsi="Times New Roman" w:cs="Times New Roman"/>
                <w:sz w:val="24"/>
              </w:rPr>
              <w:t>：</w:t>
            </w:r>
            <w:r>
              <w:rPr>
                <w:rFonts w:hint="eastAsia" w:ascii="Times New Roman" w:hAnsi="Times New Roman" w:cs="Times New Roman"/>
                <w:sz w:val="24"/>
                <w:lang w:val="en-US" w:eastAsia="zh-CN"/>
              </w:rPr>
              <w:t>经洗砂工序的砂水混合物进入细砂回收一体机进行脱水，脱水后物料即为成品，含泥废水落入下方废水收集池后由水泵泵入废水处理系统进行处理后利用高差导入循环水池回用于生产。废水处理系统运行工程产生的泥饼外</w:t>
            </w:r>
            <w:r>
              <w:rPr>
                <w:rFonts w:hint="eastAsia" w:cs="Times New Roman"/>
                <w:sz w:val="24"/>
                <w:lang w:val="en-US" w:eastAsia="zh-CN"/>
              </w:rPr>
              <w:t>运至</w:t>
            </w:r>
            <w:r>
              <w:rPr>
                <w:rFonts w:hint="eastAsia" w:ascii="Times New Roman" w:hAnsi="Times New Roman" w:cs="Times New Roman"/>
                <w:sz w:val="24"/>
                <w:lang w:val="en-US" w:eastAsia="zh-CN"/>
              </w:rPr>
              <w:t>制砖厂</w:t>
            </w:r>
            <w:r>
              <w:rPr>
                <w:rFonts w:hint="eastAsia" w:cs="Times New Roman"/>
                <w:sz w:val="24"/>
                <w:lang w:val="en-US" w:eastAsia="zh-CN"/>
              </w:rPr>
              <w:t>处置</w:t>
            </w:r>
            <w:r>
              <w:rPr>
                <w:rFonts w:hint="eastAsia" w:ascii="Times New Roman" w:hAnsi="Times New Roman" w:cs="Times New Roman"/>
                <w:sz w:val="24"/>
                <w:lang w:val="en-US" w:eastAsia="zh-CN"/>
              </w:rPr>
              <w:t>。</w:t>
            </w:r>
            <w:r>
              <w:rPr>
                <w:rFonts w:hint="eastAsia" w:ascii="Times New Roman" w:hAnsi="Times New Roman" w:cs="Times New Roman"/>
                <w:sz w:val="24"/>
                <w:u w:val="single"/>
                <w:lang w:val="en-US" w:eastAsia="zh-CN"/>
              </w:rPr>
              <w:t>本工序产生的主要污染物为噪声和固废。</w:t>
            </w:r>
          </w:p>
          <w:p w14:paraId="5BCD85E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outlineLvl w:val="2"/>
              <w:rPr>
                <w:rFonts w:hint="default" w:ascii="Times New Roman" w:hAnsi="Times New Roman" w:eastAsia="宋体" w:cs="Times New Roman"/>
                <w:sz w:val="24"/>
                <w:lang w:val="en-US" w:eastAsia="zh-CN"/>
              </w:rPr>
            </w:pPr>
            <w:r>
              <w:rPr>
                <w:rFonts w:hint="eastAsia" w:ascii="Times New Roman" w:hAnsi="Times New Roman" w:cs="Times New Roman"/>
                <w:sz w:val="24"/>
                <w:lang w:val="en-US" w:eastAsia="zh-CN"/>
              </w:rPr>
              <w:t>（9）成品堆放</w:t>
            </w:r>
          </w:p>
          <w:p w14:paraId="125DCBA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outlineLvl w:val="2"/>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脱水后的物料（含水率10%）</w:t>
            </w:r>
            <w:r>
              <w:rPr>
                <w:rFonts w:hint="default" w:ascii="Times New Roman" w:hAnsi="Times New Roman" w:cs="Times New Roman"/>
                <w:sz w:val="24"/>
                <w:szCs w:val="24"/>
              </w:rPr>
              <w:t>通过</w:t>
            </w:r>
            <w:r>
              <w:rPr>
                <w:rFonts w:hint="eastAsia" w:ascii="Times New Roman" w:hAnsi="Times New Roman" w:cs="Times New Roman"/>
                <w:sz w:val="24"/>
                <w:szCs w:val="24"/>
                <w:lang w:val="en-US" w:eastAsia="zh-CN"/>
              </w:rPr>
              <w:t>传送带</w:t>
            </w:r>
            <w:r>
              <w:rPr>
                <w:rFonts w:hint="default" w:ascii="Times New Roman" w:hAnsi="Times New Roman" w:cs="Times New Roman"/>
                <w:sz w:val="24"/>
                <w:szCs w:val="24"/>
              </w:rPr>
              <w:t>传至</w:t>
            </w:r>
            <w:r>
              <w:rPr>
                <w:rFonts w:hint="eastAsia" w:ascii="Times New Roman" w:hAnsi="Times New Roman" w:cs="Times New Roman"/>
                <w:sz w:val="24"/>
                <w:szCs w:val="24"/>
                <w:lang w:val="en-US" w:eastAsia="zh-CN"/>
              </w:rPr>
              <w:t>成品堆场进行堆放，</w:t>
            </w:r>
            <w:r>
              <w:rPr>
                <w:rFonts w:hint="eastAsia" w:cs="Times New Roman"/>
                <w:sz w:val="24"/>
                <w:szCs w:val="24"/>
                <w:lang w:val="en-US" w:eastAsia="zh-CN"/>
              </w:rPr>
              <w:t>堆场设三面围挡及铺设防尘网，堆场四周设置喷淋降尘装置</w:t>
            </w:r>
            <w:r>
              <w:rPr>
                <w:rFonts w:hint="eastAsia" w:ascii="Times New Roman" w:eastAsia="宋体"/>
                <w:color w:val="auto"/>
                <w:sz w:val="24"/>
                <w:szCs w:val="24"/>
                <w:lang w:eastAsia="zh-CN"/>
              </w:rPr>
              <w:t>。</w:t>
            </w:r>
            <w:r>
              <w:rPr>
                <w:rFonts w:hint="eastAsia" w:ascii="Times New Roman" w:eastAsia="宋体"/>
                <w:color w:val="auto"/>
                <w:sz w:val="24"/>
                <w:szCs w:val="24"/>
                <w:lang w:val="en-US" w:eastAsia="zh-CN"/>
              </w:rPr>
              <w:t>外售产品由货车装载后转运至客户处。</w:t>
            </w:r>
            <w:r>
              <w:rPr>
                <w:rFonts w:hint="eastAsia" w:ascii="Times New Roman" w:hAnsi="Times New Roman" w:cs="Times New Roman"/>
                <w:sz w:val="24"/>
                <w:u w:val="single"/>
                <w:lang w:val="en-US" w:eastAsia="zh-CN"/>
              </w:rPr>
              <w:t>本工序产生的主要污染物为</w:t>
            </w:r>
            <w:r>
              <w:rPr>
                <w:rFonts w:hint="eastAsia" w:cs="Times New Roman"/>
                <w:sz w:val="24"/>
                <w:u w:val="single"/>
                <w:lang w:val="en-US" w:eastAsia="zh-CN"/>
              </w:rPr>
              <w:t>粉尘和</w:t>
            </w:r>
            <w:r>
              <w:rPr>
                <w:rFonts w:hint="eastAsia" w:ascii="Times New Roman" w:hAnsi="Times New Roman" w:cs="Times New Roman"/>
                <w:sz w:val="24"/>
                <w:u w:val="single"/>
                <w:lang w:val="en-US" w:eastAsia="zh-CN"/>
              </w:rPr>
              <w:t>噪声。</w:t>
            </w:r>
          </w:p>
          <w:p w14:paraId="6BFCFEA8">
            <w:pPr>
              <w:keepNext w:val="0"/>
              <w:keepLines w:val="0"/>
              <w:suppressLineNumbers w:val="0"/>
              <w:spacing w:before="0" w:beforeAutospacing="0" w:after="0" w:afterAutospacing="0" w:line="360" w:lineRule="auto"/>
              <w:ind w:left="0" w:right="0"/>
              <w:rPr>
                <w:rFonts w:hint="eastAsia" w:ascii="Times New Roman" w:hAnsi="Times New Roman" w:eastAsia="宋体" w:cs="Times New Roman"/>
                <w:b/>
                <w:sz w:val="24"/>
                <w:szCs w:val="24"/>
              </w:rPr>
            </w:pPr>
            <w:r>
              <w:rPr>
                <w:rFonts w:hint="eastAsia" w:ascii="Times New Roman" w:hAnsi="Times New Roman" w:eastAsia="宋体" w:cs="Times New Roman"/>
                <w:b/>
                <w:sz w:val="24"/>
                <w:szCs w:val="24"/>
              </w:rPr>
              <w:t>三、主要污染工序</w:t>
            </w:r>
          </w:p>
          <w:p w14:paraId="503BD04A">
            <w:pPr>
              <w:keepNext w:val="0"/>
              <w:keepLines w:val="0"/>
              <w:suppressLineNumbers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
                <w:sz w:val="24"/>
              </w:rPr>
            </w:pPr>
            <w:r>
              <w:rPr>
                <w:rFonts w:hint="eastAsia" w:ascii="Times New Roman" w:hAnsi="Times New Roman" w:eastAsia="宋体" w:cs="Times New Roman"/>
                <w:sz w:val="24"/>
              </w:rPr>
              <w:t>根据对</w:t>
            </w:r>
            <w:r>
              <w:rPr>
                <w:rFonts w:hint="eastAsia" w:ascii="Times New Roman" w:hAnsi="Times New Roman" w:eastAsia="宋体" w:cs="Times New Roman"/>
                <w:sz w:val="24"/>
                <w:lang w:val="en-US" w:eastAsia="zh-CN"/>
              </w:rPr>
              <w:t>本项目</w:t>
            </w:r>
            <w:r>
              <w:rPr>
                <w:rFonts w:hint="eastAsia" w:ascii="Times New Roman" w:hAnsi="Times New Roman" w:eastAsia="宋体" w:cs="Times New Roman"/>
                <w:sz w:val="24"/>
              </w:rPr>
              <w:t>工艺流程和原辅材料分析，</w:t>
            </w:r>
            <w:r>
              <w:rPr>
                <w:rFonts w:hint="eastAsia" w:ascii="Times New Roman" w:hAnsi="Times New Roman" w:eastAsia="宋体" w:cs="Times New Roman"/>
                <w:sz w:val="24"/>
                <w:lang w:val="en-US" w:eastAsia="zh-CN"/>
              </w:rPr>
              <w:t>项目</w:t>
            </w:r>
            <w:r>
              <w:rPr>
                <w:rFonts w:hint="eastAsia" w:ascii="Times New Roman" w:hAnsi="Times New Roman" w:eastAsia="宋体" w:cs="Times New Roman"/>
                <w:sz w:val="24"/>
              </w:rPr>
              <w:t>营运期主要环境影响因素及污染物</w:t>
            </w:r>
            <w:r>
              <w:rPr>
                <w:rFonts w:hint="default" w:ascii="Times New Roman" w:hAnsi="Times New Roman" w:eastAsia="宋体" w:cs="Times New Roman"/>
                <w:sz w:val="24"/>
              </w:rPr>
              <w:t>见</w:t>
            </w:r>
            <w:r>
              <w:rPr>
                <w:rFonts w:hint="eastAsia" w:ascii="Times New Roman" w:hAnsi="Times New Roman" w:eastAsia="宋体" w:cs="Times New Roman"/>
                <w:sz w:val="24"/>
                <w:lang w:val="en-US" w:eastAsia="zh-CN"/>
              </w:rPr>
              <w:t>下</w:t>
            </w:r>
            <w:r>
              <w:rPr>
                <w:rFonts w:hint="default" w:ascii="Times New Roman" w:hAnsi="Times New Roman" w:eastAsia="宋体" w:cs="Times New Roman"/>
                <w:sz w:val="24"/>
              </w:rPr>
              <w:t>表。</w:t>
            </w:r>
          </w:p>
          <w:p w14:paraId="0EEC6666">
            <w:pPr>
              <w:pStyle w:val="77"/>
              <w:keepNext w:val="0"/>
              <w:keepLines w:val="0"/>
              <w:suppressLineNumbers w:val="0"/>
              <w:spacing w:before="0" w:beforeAutospacing="0" w:after="0" w:afterAutospacing="0"/>
              <w:ind w:left="0" w:right="0" w:firstLine="0" w:firstLineChars="0"/>
              <w:textAlignment w:val="baseline"/>
              <w:rPr>
                <w:rFonts w:hint="default" w:ascii="Times New Roman" w:hAnsi="Times New Roman" w:eastAsia="宋体" w:cs="Times New Roman"/>
                <w:b/>
                <w:kern w:val="2"/>
                <w:sz w:val="21"/>
                <w:szCs w:val="21"/>
              </w:rPr>
            </w:pPr>
            <w:r>
              <w:rPr>
                <w:rFonts w:hint="default" w:ascii="Times New Roman" w:hAnsi="Times New Roman" w:eastAsia="宋体" w:cs="Times New Roman"/>
                <w:b/>
                <w:kern w:val="2"/>
                <w:sz w:val="21"/>
                <w:szCs w:val="21"/>
              </w:rPr>
              <w:t>表</w:t>
            </w:r>
            <w:r>
              <w:rPr>
                <w:rFonts w:hint="eastAsia" w:ascii="Times New Roman" w:hAnsi="Times New Roman" w:eastAsia="宋体" w:cs="Times New Roman"/>
                <w:b/>
                <w:kern w:val="2"/>
                <w:sz w:val="21"/>
                <w:szCs w:val="21"/>
              </w:rPr>
              <w:t>2</w:t>
            </w:r>
            <w:r>
              <w:rPr>
                <w:rFonts w:hint="default" w:ascii="Times New Roman" w:hAnsi="Times New Roman" w:eastAsia="宋体" w:cs="Times New Roman"/>
                <w:b/>
                <w:kern w:val="2"/>
                <w:sz w:val="21"/>
                <w:szCs w:val="21"/>
              </w:rPr>
              <w:t>-</w:t>
            </w:r>
            <w:r>
              <w:rPr>
                <w:rFonts w:hint="eastAsia" w:hAnsi="Times New Roman" w:cs="Times New Roman"/>
                <w:b/>
                <w:kern w:val="2"/>
                <w:sz w:val="21"/>
                <w:szCs w:val="21"/>
                <w:lang w:val="en-US" w:eastAsia="zh-CN"/>
              </w:rPr>
              <w:t>7</w:t>
            </w:r>
            <w:r>
              <w:rPr>
                <w:rFonts w:hint="default" w:ascii="Times New Roman" w:hAnsi="Times New Roman" w:eastAsia="宋体" w:cs="Times New Roman"/>
                <w:b/>
                <w:kern w:val="2"/>
                <w:sz w:val="21"/>
                <w:szCs w:val="21"/>
              </w:rPr>
              <w:t xml:space="preserve">  项目污染工序及污染因子汇总一览表</w:t>
            </w:r>
          </w:p>
          <w:tbl>
            <w:tblPr>
              <w:tblStyle w:val="25"/>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32"/>
              <w:gridCol w:w="1128"/>
              <w:gridCol w:w="2153"/>
              <w:gridCol w:w="1749"/>
              <w:gridCol w:w="2325"/>
            </w:tblGrid>
            <w:tr w14:paraId="1BC40C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5" w:type="pct"/>
                  <w:noWrap w:val="0"/>
                  <w:vAlign w:val="center"/>
                </w:tcPr>
                <w:p w14:paraId="02BC21EF">
                  <w:pPr>
                    <w:pStyle w:val="91"/>
                    <w:keepNext w:val="0"/>
                    <w:keepLines w:val="0"/>
                    <w:suppressLineNumbers w:val="0"/>
                    <w:spacing w:before="0" w:beforeLines="0" w:beforeAutospacing="0" w:after="0" w:afterAutospacing="0"/>
                    <w:ind w:left="0" w:right="0"/>
                    <w:rPr>
                      <w:rFonts w:hint="default" w:ascii="Times New Roman" w:hAnsi="Times New Roman" w:eastAsia="宋体" w:cs="Times New Roman"/>
                    </w:rPr>
                  </w:pPr>
                  <w:r>
                    <w:rPr>
                      <w:rFonts w:hint="eastAsia" w:ascii="Times New Roman" w:hAnsi="Times New Roman" w:eastAsia="宋体" w:cs="Times New Roman"/>
                    </w:rPr>
                    <w:t>时段</w:t>
                  </w:r>
                </w:p>
              </w:tc>
              <w:tc>
                <w:tcPr>
                  <w:tcW w:w="672" w:type="pct"/>
                  <w:noWrap w:val="0"/>
                  <w:vAlign w:val="center"/>
                </w:tcPr>
                <w:p w14:paraId="466C2C81">
                  <w:pPr>
                    <w:pStyle w:val="91"/>
                    <w:keepNext w:val="0"/>
                    <w:keepLines w:val="0"/>
                    <w:suppressLineNumbers w:val="0"/>
                    <w:spacing w:before="0" w:beforeLines="0" w:beforeAutospacing="0" w:after="0" w:afterAutospacing="0"/>
                    <w:ind w:left="0" w:right="0"/>
                    <w:rPr>
                      <w:rFonts w:hint="default" w:ascii="Times New Roman" w:hAnsi="Times New Roman" w:eastAsia="宋体" w:cs="Times New Roman"/>
                    </w:rPr>
                  </w:pPr>
                  <w:r>
                    <w:rPr>
                      <w:rFonts w:hint="default" w:ascii="Times New Roman" w:hAnsi="Times New Roman" w:eastAsia="宋体" w:cs="Times New Roman"/>
                    </w:rPr>
                    <w:t>污染类别</w:t>
                  </w:r>
                </w:p>
              </w:tc>
              <w:tc>
                <w:tcPr>
                  <w:tcW w:w="1283" w:type="pct"/>
                  <w:noWrap w:val="0"/>
                  <w:vAlign w:val="center"/>
                </w:tcPr>
                <w:p w14:paraId="3F53CDF6">
                  <w:pPr>
                    <w:pStyle w:val="91"/>
                    <w:keepNext w:val="0"/>
                    <w:keepLines w:val="0"/>
                    <w:suppressLineNumbers w:val="0"/>
                    <w:spacing w:before="0" w:beforeLines="0" w:beforeAutospacing="0" w:after="0" w:afterAutospacing="0"/>
                    <w:ind w:left="0" w:right="0"/>
                    <w:rPr>
                      <w:rFonts w:hint="default" w:ascii="Times New Roman" w:hAnsi="Times New Roman" w:eastAsia="宋体" w:cs="Times New Roman"/>
                    </w:rPr>
                  </w:pPr>
                  <w:r>
                    <w:rPr>
                      <w:rFonts w:hint="default" w:ascii="Times New Roman" w:hAnsi="Times New Roman" w:eastAsia="宋体" w:cs="Times New Roman"/>
                    </w:rPr>
                    <w:t>产污环节/位置</w:t>
                  </w:r>
                </w:p>
              </w:tc>
              <w:tc>
                <w:tcPr>
                  <w:tcW w:w="1042" w:type="pct"/>
                  <w:noWrap w:val="0"/>
                  <w:vAlign w:val="center"/>
                </w:tcPr>
                <w:p w14:paraId="2F42B6BF">
                  <w:pPr>
                    <w:pStyle w:val="91"/>
                    <w:keepNext w:val="0"/>
                    <w:keepLines w:val="0"/>
                    <w:suppressLineNumbers w:val="0"/>
                    <w:spacing w:before="0" w:beforeLines="0" w:beforeAutospacing="0" w:after="0" w:afterAutospacing="0"/>
                    <w:ind w:left="0" w:right="0"/>
                    <w:rPr>
                      <w:rFonts w:hint="default" w:ascii="Times New Roman" w:hAnsi="Times New Roman" w:eastAsia="宋体" w:cs="Times New Roman"/>
                    </w:rPr>
                  </w:pPr>
                  <w:r>
                    <w:rPr>
                      <w:rFonts w:hint="default" w:ascii="Times New Roman" w:hAnsi="Times New Roman" w:eastAsia="宋体" w:cs="Times New Roman"/>
                    </w:rPr>
                    <w:t>污染物名称</w:t>
                  </w:r>
                </w:p>
              </w:tc>
              <w:tc>
                <w:tcPr>
                  <w:tcW w:w="1385" w:type="pct"/>
                  <w:noWrap w:val="0"/>
                  <w:vAlign w:val="center"/>
                </w:tcPr>
                <w:p w14:paraId="62C9C5B6">
                  <w:pPr>
                    <w:pStyle w:val="91"/>
                    <w:keepNext w:val="0"/>
                    <w:keepLines w:val="0"/>
                    <w:suppressLineNumbers w:val="0"/>
                    <w:spacing w:before="0" w:beforeLines="0" w:beforeAutospacing="0" w:after="0" w:afterAutospacing="0"/>
                    <w:ind w:left="0" w:right="0"/>
                    <w:rPr>
                      <w:rFonts w:hint="default" w:ascii="Times New Roman" w:hAnsi="Times New Roman" w:eastAsia="宋体" w:cs="Times New Roman"/>
                    </w:rPr>
                  </w:pPr>
                  <w:r>
                    <w:rPr>
                      <w:rFonts w:hint="default" w:ascii="Times New Roman" w:hAnsi="Times New Roman" w:eastAsia="宋体" w:cs="Times New Roman"/>
                    </w:rPr>
                    <w:t>主要污染因子</w:t>
                  </w:r>
                </w:p>
              </w:tc>
            </w:tr>
            <w:tr w14:paraId="54AB73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615" w:type="pct"/>
                  <w:vMerge w:val="restart"/>
                  <w:noWrap w:val="0"/>
                  <w:vAlign w:val="center"/>
                </w:tcPr>
                <w:p w14:paraId="4F018B2E">
                  <w:pPr>
                    <w:pStyle w:val="91"/>
                    <w:keepNext w:val="0"/>
                    <w:keepLines w:val="0"/>
                    <w:suppressLineNumbers w:val="0"/>
                    <w:spacing w:before="0" w:beforeLines="0" w:beforeAutospacing="0" w:after="0" w:afterAutospacing="0"/>
                    <w:ind w:left="0" w:right="0"/>
                    <w:rPr>
                      <w:rFonts w:hint="default" w:ascii="Times New Roman" w:hAnsi="Times New Roman" w:eastAsia="宋体" w:cs="Times New Roman"/>
                      <w:b w:val="0"/>
                      <w:bCs w:val="0"/>
                    </w:rPr>
                  </w:pPr>
                  <w:r>
                    <w:rPr>
                      <w:rFonts w:hint="default" w:ascii="Times New Roman" w:hAnsi="Times New Roman" w:eastAsia="宋体" w:cs="Times New Roman"/>
                      <w:b w:val="0"/>
                      <w:bCs w:val="0"/>
                    </w:rPr>
                    <w:t>运营期</w:t>
                  </w:r>
                </w:p>
              </w:tc>
              <w:tc>
                <w:tcPr>
                  <w:tcW w:w="672" w:type="pct"/>
                  <w:vMerge w:val="restart"/>
                  <w:noWrap w:val="0"/>
                  <w:vAlign w:val="center"/>
                </w:tcPr>
                <w:p w14:paraId="0A780895">
                  <w:pPr>
                    <w:pStyle w:val="91"/>
                    <w:keepNext w:val="0"/>
                    <w:keepLines w:val="0"/>
                    <w:suppressLineNumbers w:val="0"/>
                    <w:spacing w:before="0" w:beforeLines="0" w:beforeAutospacing="0" w:after="0" w:afterAutospacing="0"/>
                    <w:ind w:left="0" w:right="0"/>
                    <w:rPr>
                      <w:rFonts w:hint="default" w:ascii="Times New Roman" w:hAnsi="Times New Roman" w:eastAsia="宋体" w:cs="Times New Roman"/>
                      <w:b w:val="0"/>
                      <w:bCs w:val="0"/>
                    </w:rPr>
                  </w:pPr>
                  <w:r>
                    <w:rPr>
                      <w:rFonts w:hint="default" w:ascii="Times New Roman" w:hAnsi="Times New Roman" w:eastAsia="宋体" w:cs="Times New Roman"/>
                      <w:b w:val="0"/>
                      <w:bCs w:val="0"/>
                    </w:rPr>
                    <w:t>废气</w:t>
                  </w:r>
                </w:p>
              </w:tc>
              <w:tc>
                <w:tcPr>
                  <w:tcW w:w="1283" w:type="pct"/>
                  <w:noWrap w:val="0"/>
                  <w:vAlign w:val="center"/>
                </w:tcPr>
                <w:p w14:paraId="6B446877">
                  <w:pPr>
                    <w:pStyle w:val="92"/>
                    <w:keepNext w:val="0"/>
                    <w:keepLines w:val="0"/>
                    <w:suppressLineNumbers w:val="0"/>
                    <w:spacing w:before="0" w:beforeAutospacing="0" w:after="0" w:afterAutospacing="0"/>
                    <w:ind w:left="0" w:right="0"/>
                    <w:rPr>
                      <w:rFonts w:hint="default" w:ascii="Times New Roman" w:hAnsi="Times New Roman" w:eastAsia="宋体" w:cs="Times New Roman"/>
                      <w:bCs w:val="0"/>
                      <w:lang w:val="en-US" w:eastAsia="zh-CN"/>
                    </w:rPr>
                  </w:pPr>
                  <w:r>
                    <w:rPr>
                      <w:rFonts w:hint="eastAsia" w:cs="Times New Roman"/>
                      <w:bCs w:val="0"/>
                      <w:lang w:val="en-US" w:eastAsia="zh-CN"/>
                    </w:rPr>
                    <w:t>原料堆场、成品堆场</w:t>
                  </w:r>
                </w:p>
              </w:tc>
              <w:tc>
                <w:tcPr>
                  <w:tcW w:w="1042" w:type="pct"/>
                  <w:noWrap w:val="0"/>
                  <w:vAlign w:val="center"/>
                </w:tcPr>
                <w:p w14:paraId="3A09A440">
                  <w:pPr>
                    <w:pStyle w:val="92"/>
                    <w:keepNext w:val="0"/>
                    <w:keepLines w:val="0"/>
                    <w:suppressLineNumbers w:val="0"/>
                    <w:spacing w:before="0" w:beforeAutospacing="0" w:after="0" w:afterAutospacing="0"/>
                    <w:ind w:left="0" w:right="0"/>
                    <w:rPr>
                      <w:rFonts w:hint="default" w:ascii="Times New Roman" w:hAnsi="Times New Roman" w:eastAsia="宋体" w:cs="Times New Roman"/>
                      <w:bCs w:val="0"/>
                      <w:sz w:val="21"/>
                      <w:szCs w:val="21"/>
                      <w:lang w:val="en-US" w:eastAsia="zh-CN"/>
                    </w:rPr>
                  </w:pPr>
                  <w:r>
                    <w:rPr>
                      <w:rFonts w:hint="eastAsia" w:ascii="Times New Roman" w:hAnsi="Times New Roman" w:cs="Times New Roman"/>
                      <w:b w:val="0"/>
                      <w:sz w:val="21"/>
                      <w:szCs w:val="21"/>
                      <w:lang w:val="en-US" w:eastAsia="zh-CN"/>
                    </w:rPr>
                    <w:t>堆存粉尘</w:t>
                  </w:r>
                </w:p>
              </w:tc>
              <w:tc>
                <w:tcPr>
                  <w:tcW w:w="1385" w:type="pct"/>
                  <w:noWrap w:val="0"/>
                  <w:vAlign w:val="center"/>
                </w:tcPr>
                <w:p w14:paraId="34A04B55">
                  <w:pPr>
                    <w:pStyle w:val="92"/>
                    <w:keepNext w:val="0"/>
                    <w:keepLines w:val="0"/>
                    <w:suppressLineNumbers w:val="0"/>
                    <w:spacing w:before="0" w:beforeAutospacing="0" w:after="0" w:afterAutospacing="0"/>
                    <w:ind w:left="0" w:right="0"/>
                    <w:rPr>
                      <w:rFonts w:hint="default" w:ascii="Times New Roman" w:hAnsi="Times New Roman" w:eastAsia="宋体" w:cs="Times New Roman"/>
                      <w:bCs w:val="0"/>
                    </w:rPr>
                  </w:pPr>
                  <w:r>
                    <w:rPr>
                      <w:rFonts w:hint="eastAsia" w:ascii="Times New Roman" w:hAnsi="Times New Roman" w:eastAsia="宋体" w:cs="Times New Roman"/>
                      <w:bCs w:val="0"/>
                    </w:rPr>
                    <w:t>颗粒物</w:t>
                  </w:r>
                </w:p>
              </w:tc>
            </w:tr>
            <w:tr w14:paraId="382278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5" w:type="pct"/>
                  <w:vMerge w:val="continue"/>
                  <w:noWrap w:val="0"/>
                  <w:vAlign w:val="center"/>
                </w:tcPr>
                <w:p w14:paraId="71557DF0">
                  <w:pPr>
                    <w:pStyle w:val="91"/>
                    <w:keepNext w:val="0"/>
                    <w:keepLines w:val="0"/>
                    <w:suppressLineNumbers w:val="0"/>
                    <w:spacing w:before="0" w:beforeLines="0" w:beforeAutospacing="0" w:after="0" w:afterAutospacing="0"/>
                    <w:ind w:left="0" w:right="0"/>
                    <w:rPr>
                      <w:rFonts w:hint="default" w:ascii="Times New Roman" w:hAnsi="Times New Roman" w:eastAsia="宋体" w:cs="Times New Roman"/>
                      <w:b w:val="0"/>
                      <w:bCs w:val="0"/>
                    </w:rPr>
                  </w:pPr>
                </w:p>
              </w:tc>
              <w:tc>
                <w:tcPr>
                  <w:tcW w:w="672" w:type="pct"/>
                  <w:vMerge w:val="continue"/>
                  <w:noWrap w:val="0"/>
                  <w:vAlign w:val="center"/>
                </w:tcPr>
                <w:p w14:paraId="5C6A7CE3">
                  <w:pPr>
                    <w:pStyle w:val="91"/>
                    <w:keepNext w:val="0"/>
                    <w:keepLines w:val="0"/>
                    <w:suppressLineNumbers w:val="0"/>
                    <w:spacing w:before="0" w:beforeLines="0" w:beforeAutospacing="0" w:after="0" w:afterAutospacing="0"/>
                    <w:ind w:left="0" w:right="0"/>
                    <w:rPr>
                      <w:rFonts w:hint="default" w:ascii="Times New Roman" w:hAnsi="Times New Roman" w:eastAsia="宋体" w:cs="Times New Roman"/>
                      <w:b w:val="0"/>
                      <w:bCs w:val="0"/>
                    </w:rPr>
                  </w:pPr>
                </w:p>
              </w:tc>
              <w:tc>
                <w:tcPr>
                  <w:tcW w:w="1283" w:type="pct"/>
                  <w:noWrap w:val="0"/>
                  <w:vAlign w:val="center"/>
                </w:tcPr>
                <w:p w14:paraId="72D676ED">
                  <w:pPr>
                    <w:pStyle w:val="92"/>
                    <w:keepNext w:val="0"/>
                    <w:keepLines w:val="0"/>
                    <w:suppressLineNumbers w:val="0"/>
                    <w:spacing w:before="0" w:beforeAutospacing="0" w:after="0" w:afterAutospacing="0"/>
                    <w:ind w:left="0" w:right="0"/>
                    <w:rPr>
                      <w:rFonts w:hint="eastAsia" w:ascii="Times New Roman" w:hAnsi="Times New Roman" w:eastAsia="宋体" w:cs="Times New Roman"/>
                      <w:bCs w:val="0"/>
                      <w:kern w:val="2"/>
                      <w:sz w:val="21"/>
                      <w:szCs w:val="21"/>
                      <w:lang w:val="en-US" w:eastAsia="zh-CN" w:bidi="ar-SA"/>
                    </w:rPr>
                  </w:pPr>
                  <w:r>
                    <w:rPr>
                      <w:rFonts w:hint="eastAsia" w:cs="Times New Roman"/>
                      <w:bCs w:val="0"/>
                      <w:lang w:val="en-US" w:eastAsia="zh-CN"/>
                    </w:rPr>
                    <w:t>物料装卸</w:t>
                  </w:r>
                </w:p>
              </w:tc>
              <w:tc>
                <w:tcPr>
                  <w:tcW w:w="1042" w:type="pct"/>
                  <w:noWrap w:val="0"/>
                  <w:vAlign w:val="center"/>
                </w:tcPr>
                <w:p w14:paraId="2B880B01">
                  <w:pPr>
                    <w:pStyle w:val="92"/>
                    <w:keepNext w:val="0"/>
                    <w:keepLines w:val="0"/>
                    <w:suppressLineNumbers w:val="0"/>
                    <w:spacing w:before="0" w:beforeAutospacing="0" w:after="0" w:afterAutospacing="0"/>
                    <w:ind w:left="0" w:right="0"/>
                    <w:rPr>
                      <w:rFonts w:hint="eastAsia" w:ascii="Times New Roman" w:hAnsi="Times New Roman" w:eastAsia="宋体" w:cs="Times New Roman"/>
                      <w:bCs w:val="0"/>
                      <w:kern w:val="2"/>
                      <w:sz w:val="21"/>
                      <w:szCs w:val="21"/>
                      <w:lang w:val="en-US" w:eastAsia="zh-CN" w:bidi="ar-SA"/>
                    </w:rPr>
                  </w:pPr>
                  <w:r>
                    <w:rPr>
                      <w:rFonts w:hint="eastAsia" w:cs="Times New Roman"/>
                      <w:bCs w:val="0"/>
                      <w:sz w:val="21"/>
                      <w:szCs w:val="21"/>
                      <w:lang w:val="en-US" w:eastAsia="zh-CN"/>
                    </w:rPr>
                    <w:t>装卸</w:t>
                  </w:r>
                  <w:r>
                    <w:rPr>
                      <w:rFonts w:hint="eastAsia" w:ascii="Times New Roman" w:hAnsi="Times New Roman" w:eastAsia="宋体" w:cs="Times New Roman"/>
                      <w:bCs w:val="0"/>
                      <w:sz w:val="21"/>
                      <w:szCs w:val="21"/>
                      <w:lang w:val="en-US" w:eastAsia="zh-CN"/>
                    </w:rPr>
                    <w:t>粉尘</w:t>
                  </w:r>
                </w:p>
              </w:tc>
              <w:tc>
                <w:tcPr>
                  <w:tcW w:w="1385" w:type="pct"/>
                  <w:noWrap w:val="0"/>
                  <w:vAlign w:val="center"/>
                </w:tcPr>
                <w:p w14:paraId="0044BABB">
                  <w:pPr>
                    <w:pStyle w:val="92"/>
                    <w:keepNext w:val="0"/>
                    <w:keepLines w:val="0"/>
                    <w:suppressLineNumbers w:val="0"/>
                    <w:spacing w:before="0" w:beforeAutospacing="0" w:after="0" w:afterAutospacing="0"/>
                    <w:ind w:left="0" w:right="0"/>
                    <w:rPr>
                      <w:rFonts w:hint="eastAsia" w:ascii="Times New Roman" w:hAnsi="Times New Roman" w:eastAsia="宋体" w:cs="Times New Roman"/>
                      <w:bCs w:val="0"/>
                      <w:lang w:val="en-US" w:eastAsia="zh-CN"/>
                    </w:rPr>
                  </w:pPr>
                  <w:r>
                    <w:rPr>
                      <w:rFonts w:hint="eastAsia" w:ascii="Times New Roman" w:hAnsi="Times New Roman" w:eastAsia="宋体" w:cs="Times New Roman"/>
                      <w:bCs w:val="0"/>
                      <w:lang w:val="en-US" w:eastAsia="zh-CN"/>
                    </w:rPr>
                    <w:t>颗粒物</w:t>
                  </w:r>
                </w:p>
              </w:tc>
            </w:tr>
            <w:tr w14:paraId="5A3DAF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5" w:type="pct"/>
                  <w:vMerge w:val="continue"/>
                  <w:noWrap w:val="0"/>
                  <w:vAlign w:val="center"/>
                </w:tcPr>
                <w:p w14:paraId="7427295B">
                  <w:pPr>
                    <w:pStyle w:val="91"/>
                    <w:keepNext w:val="0"/>
                    <w:keepLines w:val="0"/>
                    <w:suppressLineNumbers w:val="0"/>
                    <w:spacing w:before="0" w:beforeLines="0" w:beforeAutospacing="0" w:after="0" w:afterAutospacing="0"/>
                    <w:ind w:left="0" w:right="0"/>
                    <w:rPr>
                      <w:rFonts w:hint="default" w:ascii="Times New Roman" w:hAnsi="Times New Roman" w:eastAsia="宋体" w:cs="Times New Roman"/>
                      <w:b w:val="0"/>
                      <w:bCs w:val="0"/>
                    </w:rPr>
                  </w:pPr>
                </w:p>
              </w:tc>
              <w:tc>
                <w:tcPr>
                  <w:tcW w:w="672" w:type="pct"/>
                  <w:vMerge w:val="continue"/>
                  <w:noWrap w:val="0"/>
                  <w:vAlign w:val="center"/>
                </w:tcPr>
                <w:p w14:paraId="2F6029D8">
                  <w:pPr>
                    <w:pStyle w:val="91"/>
                    <w:keepNext w:val="0"/>
                    <w:keepLines w:val="0"/>
                    <w:suppressLineNumbers w:val="0"/>
                    <w:spacing w:before="0" w:beforeLines="0" w:beforeAutospacing="0" w:after="0" w:afterAutospacing="0"/>
                    <w:ind w:left="0" w:right="0"/>
                    <w:rPr>
                      <w:rFonts w:hint="default" w:ascii="Times New Roman" w:hAnsi="Times New Roman" w:eastAsia="宋体" w:cs="Times New Roman"/>
                      <w:b w:val="0"/>
                      <w:bCs w:val="0"/>
                    </w:rPr>
                  </w:pPr>
                </w:p>
              </w:tc>
              <w:tc>
                <w:tcPr>
                  <w:tcW w:w="1283" w:type="pct"/>
                  <w:noWrap w:val="0"/>
                  <w:vAlign w:val="center"/>
                </w:tcPr>
                <w:p w14:paraId="6A3E31CA">
                  <w:pPr>
                    <w:pStyle w:val="92"/>
                    <w:keepNext w:val="0"/>
                    <w:keepLines w:val="0"/>
                    <w:suppressLineNumbers w:val="0"/>
                    <w:spacing w:before="0" w:beforeAutospacing="0" w:after="0" w:afterAutospacing="0"/>
                    <w:ind w:left="0" w:right="0"/>
                    <w:rPr>
                      <w:rFonts w:hint="eastAsia" w:ascii="Times New Roman" w:hAnsi="Times New Roman" w:eastAsia="宋体" w:cs="Times New Roman"/>
                      <w:bCs w:val="0"/>
                      <w:lang w:eastAsia="zh-CN"/>
                    </w:rPr>
                  </w:pPr>
                  <w:r>
                    <w:rPr>
                      <w:rFonts w:hint="eastAsia" w:cs="Times New Roman"/>
                      <w:bCs w:val="0"/>
                      <w:lang w:val="en-US" w:eastAsia="zh-CN"/>
                    </w:rPr>
                    <w:t>进料</w:t>
                  </w:r>
                </w:p>
              </w:tc>
              <w:tc>
                <w:tcPr>
                  <w:tcW w:w="1042" w:type="pct"/>
                  <w:noWrap w:val="0"/>
                  <w:vAlign w:val="center"/>
                </w:tcPr>
                <w:p w14:paraId="605EF3B1">
                  <w:pPr>
                    <w:pStyle w:val="92"/>
                    <w:keepNext w:val="0"/>
                    <w:keepLines w:val="0"/>
                    <w:suppressLineNumbers w:val="0"/>
                    <w:spacing w:before="0" w:beforeAutospacing="0" w:after="0" w:afterAutospacing="0"/>
                    <w:ind w:left="0" w:right="0"/>
                    <w:rPr>
                      <w:rFonts w:hint="default" w:ascii="Times New Roman" w:hAnsi="Times New Roman" w:eastAsia="宋体" w:cs="Times New Roman"/>
                      <w:bCs w:val="0"/>
                      <w:sz w:val="21"/>
                      <w:szCs w:val="21"/>
                    </w:rPr>
                  </w:pPr>
                  <w:r>
                    <w:rPr>
                      <w:rFonts w:hint="eastAsia" w:ascii="Times New Roman" w:hAnsi="Times New Roman" w:cs="Times New Roman"/>
                      <w:b w:val="0"/>
                      <w:sz w:val="21"/>
                      <w:szCs w:val="21"/>
                      <w:lang w:val="en-US" w:eastAsia="zh-CN"/>
                    </w:rPr>
                    <w:t>进料粉尘</w:t>
                  </w:r>
                </w:p>
              </w:tc>
              <w:tc>
                <w:tcPr>
                  <w:tcW w:w="1385" w:type="pct"/>
                  <w:noWrap w:val="0"/>
                  <w:vAlign w:val="center"/>
                </w:tcPr>
                <w:p w14:paraId="7AA48F24">
                  <w:pPr>
                    <w:pStyle w:val="92"/>
                    <w:keepNext w:val="0"/>
                    <w:keepLines w:val="0"/>
                    <w:suppressLineNumbers w:val="0"/>
                    <w:spacing w:before="0" w:beforeAutospacing="0" w:after="0" w:afterAutospacing="0"/>
                    <w:ind w:left="0" w:right="0"/>
                    <w:rPr>
                      <w:rFonts w:hint="eastAsia" w:ascii="Times New Roman" w:hAnsi="Times New Roman" w:eastAsia="宋体" w:cs="Times New Roman"/>
                      <w:bCs w:val="0"/>
                    </w:rPr>
                  </w:pPr>
                  <w:r>
                    <w:rPr>
                      <w:rFonts w:hint="eastAsia" w:ascii="Times New Roman" w:hAnsi="Times New Roman" w:eastAsia="宋体" w:cs="Times New Roman"/>
                      <w:bCs w:val="0"/>
                    </w:rPr>
                    <w:t>颗粒物</w:t>
                  </w:r>
                </w:p>
              </w:tc>
            </w:tr>
            <w:tr w14:paraId="7C71E8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5" w:type="pct"/>
                  <w:vMerge w:val="continue"/>
                  <w:noWrap w:val="0"/>
                  <w:vAlign w:val="center"/>
                </w:tcPr>
                <w:p w14:paraId="1FF3DE5B">
                  <w:pPr>
                    <w:pStyle w:val="91"/>
                    <w:keepNext w:val="0"/>
                    <w:keepLines w:val="0"/>
                    <w:suppressLineNumbers w:val="0"/>
                    <w:spacing w:before="0" w:beforeLines="0" w:beforeAutospacing="0" w:after="0" w:afterAutospacing="0"/>
                    <w:ind w:left="0" w:right="0"/>
                    <w:rPr>
                      <w:rFonts w:hint="default" w:ascii="Times New Roman" w:hAnsi="Times New Roman" w:eastAsia="宋体" w:cs="Times New Roman"/>
                      <w:b w:val="0"/>
                      <w:bCs w:val="0"/>
                    </w:rPr>
                  </w:pPr>
                </w:p>
              </w:tc>
              <w:tc>
                <w:tcPr>
                  <w:tcW w:w="672" w:type="pct"/>
                  <w:vMerge w:val="continue"/>
                  <w:noWrap w:val="0"/>
                  <w:vAlign w:val="center"/>
                </w:tcPr>
                <w:p w14:paraId="29067840">
                  <w:pPr>
                    <w:pStyle w:val="91"/>
                    <w:keepNext w:val="0"/>
                    <w:keepLines w:val="0"/>
                    <w:suppressLineNumbers w:val="0"/>
                    <w:spacing w:before="0" w:beforeLines="0" w:beforeAutospacing="0" w:after="0" w:afterAutospacing="0"/>
                    <w:ind w:left="0" w:right="0"/>
                    <w:rPr>
                      <w:rFonts w:hint="default" w:ascii="Times New Roman" w:hAnsi="Times New Roman" w:eastAsia="宋体" w:cs="Times New Roman"/>
                      <w:b w:val="0"/>
                      <w:bCs w:val="0"/>
                    </w:rPr>
                  </w:pPr>
                </w:p>
              </w:tc>
              <w:tc>
                <w:tcPr>
                  <w:tcW w:w="1283" w:type="pct"/>
                  <w:noWrap w:val="0"/>
                  <w:vAlign w:val="center"/>
                </w:tcPr>
                <w:p w14:paraId="588FE070">
                  <w:pPr>
                    <w:pStyle w:val="92"/>
                    <w:keepNext w:val="0"/>
                    <w:keepLines w:val="0"/>
                    <w:suppressLineNumbers w:val="0"/>
                    <w:spacing w:before="0" w:beforeAutospacing="0" w:after="0" w:afterAutospacing="0"/>
                    <w:ind w:left="0" w:right="0"/>
                    <w:rPr>
                      <w:rFonts w:hint="default" w:ascii="Times New Roman" w:hAnsi="Times New Roman" w:eastAsia="宋体" w:cs="Times New Roman"/>
                      <w:bCs w:val="0"/>
                      <w:lang w:val="en-US" w:eastAsia="zh-CN"/>
                    </w:rPr>
                  </w:pPr>
                  <w:r>
                    <w:rPr>
                      <w:rFonts w:hint="eastAsia" w:cs="Times New Roman"/>
                      <w:bCs w:val="0"/>
                      <w:lang w:val="en-US" w:eastAsia="zh-CN"/>
                    </w:rPr>
                    <w:t>破碎</w:t>
                  </w:r>
                </w:p>
              </w:tc>
              <w:tc>
                <w:tcPr>
                  <w:tcW w:w="1042" w:type="pct"/>
                  <w:noWrap w:val="0"/>
                  <w:vAlign w:val="center"/>
                </w:tcPr>
                <w:p w14:paraId="2CD52C49">
                  <w:pPr>
                    <w:pStyle w:val="92"/>
                    <w:keepNext w:val="0"/>
                    <w:keepLines w:val="0"/>
                    <w:suppressLineNumbers w:val="0"/>
                    <w:spacing w:before="0" w:beforeAutospacing="0" w:after="0" w:afterAutospacing="0"/>
                    <w:ind w:left="0" w:leftChars="0" w:right="0" w:rightChars="0"/>
                    <w:rPr>
                      <w:rFonts w:hint="default" w:ascii="Times New Roman" w:hAnsi="Times New Roman" w:eastAsia="宋体" w:cs="Times New Roman"/>
                      <w:bCs w:val="0"/>
                      <w:sz w:val="21"/>
                      <w:szCs w:val="21"/>
                      <w:lang w:val="en-US" w:eastAsia="zh-CN"/>
                    </w:rPr>
                  </w:pPr>
                  <w:r>
                    <w:rPr>
                      <w:rFonts w:hint="eastAsia" w:ascii="Times New Roman" w:hAnsi="Times New Roman" w:cs="Times New Roman"/>
                      <w:b w:val="0"/>
                      <w:sz w:val="21"/>
                      <w:szCs w:val="21"/>
                      <w:lang w:val="en-US" w:eastAsia="zh-CN"/>
                    </w:rPr>
                    <w:t>破碎粉尘</w:t>
                  </w:r>
                </w:p>
              </w:tc>
              <w:tc>
                <w:tcPr>
                  <w:tcW w:w="1385" w:type="pct"/>
                  <w:noWrap w:val="0"/>
                  <w:vAlign w:val="center"/>
                </w:tcPr>
                <w:p w14:paraId="5761D4E8">
                  <w:pPr>
                    <w:pStyle w:val="92"/>
                    <w:keepNext w:val="0"/>
                    <w:keepLines w:val="0"/>
                    <w:suppressLineNumbers w:val="0"/>
                    <w:spacing w:before="0" w:beforeAutospacing="0" w:after="0" w:afterAutospacing="0"/>
                    <w:ind w:left="0" w:leftChars="0" w:right="0" w:rightChars="0"/>
                    <w:rPr>
                      <w:rFonts w:hint="eastAsia" w:ascii="Times New Roman" w:hAnsi="Times New Roman" w:eastAsia="宋体" w:cs="Times New Roman"/>
                      <w:bCs w:val="0"/>
                      <w:lang w:val="en-US" w:eastAsia="zh-CN"/>
                    </w:rPr>
                  </w:pPr>
                  <w:r>
                    <w:rPr>
                      <w:rFonts w:hint="eastAsia" w:ascii="Times New Roman" w:hAnsi="Times New Roman" w:eastAsia="宋体" w:cs="Times New Roman"/>
                      <w:bCs w:val="0"/>
                    </w:rPr>
                    <w:t>颗粒物</w:t>
                  </w:r>
                </w:p>
              </w:tc>
            </w:tr>
            <w:tr w14:paraId="338F9A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5" w:type="pct"/>
                  <w:vMerge w:val="continue"/>
                  <w:noWrap w:val="0"/>
                  <w:vAlign w:val="center"/>
                </w:tcPr>
                <w:p w14:paraId="0FA3D182">
                  <w:pPr>
                    <w:pStyle w:val="91"/>
                    <w:keepNext w:val="0"/>
                    <w:keepLines w:val="0"/>
                    <w:suppressLineNumbers w:val="0"/>
                    <w:spacing w:before="0" w:beforeLines="0" w:beforeAutospacing="0" w:after="0" w:afterAutospacing="0"/>
                    <w:ind w:left="0" w:right="0"/>
                    <w:rPr>
                      <w:rFonts w:hint="default" w:ascii="Times New Roman" w:hAnsi="Times New Roman" w:eastAsia="宋体" w:cs="Times New Roman"/>
                      <w:b w:val="0"/>
                      <w:bCs w:val="0"/>
                    </w:rPr>
                  </w:pPr>
                </w:p>
              </w:tc>
              <w:tc>
                <w:tcPr>
                  <w:tcW w:w="672" w:type="pct"/>
                  <w:vMerge w:val="continue"/>
                  <w:noWrap w:val="0"/>
                  <w:vAlign w:val="center"/>
                </w:tcPr>
                <w:p w14:paraId="1A7947FB">
                  <w:pPr>
                    <w:pStyle w:val="91"/>
                    <w:keepNext w:val="0"/>
                    <w:keepLines w:val="0"/>
                    <w:suppressLineNumbers w:val="0"/>
                    <w:spacing w:before="0" w:beforeLines="0" w:beforeAutospacing="0" w:after="0" w:afterAutospacing="0"/>
                    <w:ind w:left="0" w:right="0"/>
                    <w:rPr>
                      <w:rFonts w:hint="default" w:ascii="Times New Roman" w:hAnsi="Times New Roman" w:eastAsia="宋体" w:cs="Times New Roman"/>
                      <w:b w:val="0"/>
                      <w:bCs w:val="0"/>
                    </w:rPr>
                  </w:pPr>
                </w:p>
              </w:tc>
              <w:tc>
                <w:tcPr>
                  <w:tcW w:w="1283" w:type="pct"/>
                  <w:noWrap w:val="0"/>
                  <w:vAlign w:val="center"/>
                </w:tcPr>
                <w:p w14:paraId="517BA708">
                  <w:pPr>
                    <w:pStyle w:val="92"/>
                    <w:keepNext w:val="0"/>
                    <w:keepLines w:val="0"/>
                    <w:suppressLineNumbers w:val="0"/>
                    <w:spacing w:before="0" w:beforeAutospacing="0" w:after="0" w:afterAutospacing="0"/>
                    <w:ind w:left="0" w:right="0"/>
                    <w:rPr>
                      <w:rFonts w:hint="default" w:cs="Times New Roman"/>
                      <w:bCs w:val="0"/>
                      <w:lang w:val="en-US" w:eastAsia="zh-CN"/>
                    </w:rPr>
                  </w:pPr>
                  <w:r>
                    <w:rPr>
                      <w:rFonts w:hint="eastAsia" w:cs="Times New Roman"/>
                      <w:bCs w:val="0"/>
                      <w:lang w:val="en-US" w:eastAsia="zh-CN"/>
                    </w:rPr>
                    <w:t>车辆运输</w:t>
                  </w:r>
                </w:p>
              </w:tc>
              <w:tc>
                <w:tcPr>
                  <w:tcW w:w="1042" w:type="pct"/>
                  <w:noWrap w:val="0"/>
                  <w:vAlign w:val="center"/>
                </w:tcPr>
                <w:p w14:paraId="29D0A1B6">
                  <w:pPr>
                    <w:pStyle w:val="92"/>
                    <w:keepNext w:val="0"/>
                    <w:keepLines w:val="0"/>
                    <w:suppressLineNumbers w:val="0"/>
                    <w:spacing w:before="0" w:beforeAutospacing="0" w:after="0" w:afterAutospacing="0"/>
                    <w:ind w:left="0" w:leftChars="0" w:right="0" w:rightChars="0"/>
                    <w:rPr>
                      <w:rFonts w:hint="default" w:ascii="Times New Roman" w:hAnsi="Times New Roman" w:eastAsia="宋体" w:cs="Times New Roman"/>
                      <w:bCs w:val="0"/>
                      <w:lang w:val="en-US" w:eastAsia="zh-CN"/>
                    </w:rPr>
                  </w:pPr>
                  <w:r>
                    <w:rPr>
                      <w:rFonts w:hint="eastAsia" w:ascii="Times New Roman" w:hAnsi="Times New Roman" w:cs="Times New Roman"/>
                      <w:b w:val="0"/>
                      <w:sz w:val="21"/>
                      <w:szCs w:val="21"/>
                      <w:lang w:val="en-US" w:eastAsia="zh-CN"/>
                    </w:rPr>
                    <w:t>车辆运输</w:t>
                  </w:r>
                  <w:r>
                    <w:rPr>
                      <w:rFonts w:hint="default" w:ascii="Times New Roman" w:hAnsi="Times New Roman" w:cs="Times New Roman"/>
                      <w:b w:val="0"/>
                      <w:sz w:val="21"/>
                      <w:szCs w:val="21"/>
                      <w:lang w:val="en-US" w:eastAsia="zh-CN"/>
                    </w:rPr>
                    <w:t>扬尘</w:t>
                  </w:r>
                </w:p>
              </w:tc>
              <w:tc>
                <w:tcPr>
                  <w:tcW w:w="1385" w:type="pct"/>
                  <w:noWrap w:val="0"/>
                  <w:vAlign w:val="center"/>
                </w:tcPr>
                <w:p w14:paraId="7C58284F">
                  <w:pPr>
                    <w:pStyle w:val="92"/>
                    <w:keepNext w:val="0"/>
                    <w:keepLines w:val="0"/>
                    <w:suppressLineNumbers w:val="0"/>
                    <w:spacing w:before="0" w:beforeAutospacing="0" w:after="0" w:afterAutospacing="0"/>
                    <w:ind w:left="0" w:leftChars="0" w:right="0" w:rightChars="0"/>
                    <w:rPr>
                      <w:rFonts w:hint="eastAsia" w:ascii="Times New Roman" w:hAnsi="Times New Roman" w:eastAsia="宋体" w:cs="Times New Roman"/>
                      <w:bCs w:val="0"/>
                    </w:rPr>
                  </w:pPr>
                  <w:r>
                    <w:rPr>
                      <w:rFonts w:hint="eastAsia" w:ascii="Times New Roman" w:hAnsi="Times New Roman" w:eastAsia="宋体" w:cs="Times New Roman"/>
                      <w:bCs w:val="0"/>
                    </w:rPr>
                    <w:t>颗粒物</w:t>
                  </w:r>
                </w:p>
              </w:tc>
            </w:tr>
            <w:tr w14:paraId="05AECC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5" w:type="pct"/>
                  <w:vMerge w:val="continue"/>
                  <w:noWrap w:val="0"/>
                  <w:vAlign w:val="center"/>
                </w:tcPr>
                <w:p w14:paraId="18D39282">
                  <w:pPr>
                    <w:pStyle w:val="91"/>
                    <w:keepNext w:val="0"/>
                    <w:keepLines w:val="0"/>
                    <w:suppressLineNumbers w:val="0"/>
                    <w:spacing w:before="0" w:beforeLines="0" w:beforeAutospacing="0" w:after="0" w:afterAutospacing="0"/>
                    <w:ind w:left="0" w:right="0"/>
                    <w:rPr>
                      <w:rFonts w:hint="default" w:ascii="Times New Roman" w:hAnsi="Times New Roman" w:eastAsia="宋体" w:cs="Times New Roman"/>
                      <w:b w:val="0"/>
                      <w:bCs w:val="0"/>
                    </w:rPr>
                  </w:pPr>
                </w:p>
              </w:tc>
              <w:tc>
                <w:tcPr>
                  <w:tcW w:w="672" w:type="pct"/>
                  <w:vMerge w:val="restart"/>
                  <w:noWrap w:val="0"/>
                  <w:vAlign w:val="center"/>
                </w:tcPr>
                <w:p w14:paraId="3CAF0867">
                  <w:pPr>
                    <w:pStyle w:val="91"/>
                    <w:keepNext w:val="0"/>
                    <w:keepLines w:val="0"/>
                    <w:suppressLineNumbers w:val="0"/>
                    <w:spacing w:before="0" w:beforeLines="0" w:beforeAutospacing="0" w:after="0" w:afterAutospacing="0"/>
                    <w:ind w:left="0" w:right="0"/>
                    <w:rPr>
                      <w:rFonts w:hint="default" w:ascii="Times New Roman" w:hAnsi="Times New Roman" w:eastAsia="宋体" w:cs="Times New Roman"/>
                      <w:b w:val="0"/>
                      <w:bCs w:val="0"/>
                    </w:rPr>
                  </w:pPr>
                  <w:r>
                    <w:rPr>
                      <w:rFonts w:hint="default" w:ascii="Times New Roman" w:hAnsi="Times New Roman" w:eastAsia="宋体" w:cs="Times New Roman"/>
                      <w:b w:val="0"/>
                      <w:bCs w:val="0"/>
                    </w:rPr>
                    <w:t>废水</w:t>
                  </w:r>
                </w:p>
              </w:tc>
              <w:tc>
                <w:tcPr>
                  <w:tcW w:w="1283" w:type="pct"/>
                  <w:noWrap w:val="0"/>
                  <w:vAlign w:val="center"/>
                </w:tcPr>
                <w:p w14:paraId="5CE69E3E">
                  <w:pPr>
                    <w:pStyle w:val="92"/>
                    <w:keepNext w:val="0"/>
                    <w:keepLines w:val="0"/>
                    <w:suppressLineNumbers w:val="0"/>
                    <w:spacing w:before="0" w:beforeAutospacing="0" w:after="0" w:afterAutospacing="0"/>
                    <w:ind w:left="0" w:right="0"/>
                    <w:rPr>
                      <w:rFonts w:hint="eastAsia" w:ascii="Times New Roman" w:hAnsi="Times New Roman" w:eastAsia="宋体" w:cs="Times New Roman"/>
                      <w:bCs w:val="0"/>
                    </w:rPr>
                  </w:pPr>
                  <w:r>
                    <w:rPr>
                      <w:rFonts w:hint="eastAsia" w:ascii="Times New Roman" w:hAnsi="Times New Roman" w:eastAsia="宋体" w:cs="Times New Roman"/>
                      <w:bCs w:val="0"/>
                      <w:lang w:val="en-US" w:eastAsia="zh-CN"/>
                    </w:rPr>
                    <w:t>办公、生活</w:t>
                  </w:r>
                </w:p>
              </w:tc>
              <w:tc>
                <w:tcPr>
                  <w:tcW w:w="1042" w:type="pct"/>
                  <w:noWrap w:val="0"/>
                  <w:vAlign w:val="center"/>
                </w:tcPr>
                <w:p w14:paraId="52319344">
                  <w:pPr>
                    <w:pStyle w:val="92"/>
                    <w:keepNext w:val="0"/>
                    <w:keepLines w:val="0"/>
                    <w:suppressLineNumbers w:val="0"/>
                    <w:spacing w:before="0" w:beforeAutospacing="0" w:after="0" w:afterAutospacing="0"/>
                    <w:ind w:left="0" w:right="0"/>
                    <w:rPr>
                      <w:rFonts w:hint="default" w:ascii="Times New Roman" w:hAnsi="Times New Roman" w:eastAsia="宋体" w:cs="Times New Roman"/>
                      <w:bCs w:val="0"/>
                      <w:lang w:val="en-US" w:eastAsia="zh-CN"/>
                    </w:rPr>
                  </w:pPr>
                  <w:r>
                    <w:rPr>
                      <w:rFonts w:hint="eastAsia" w:ascii="Times New Roman" w:hAnsi="Times New Roman" w:eastAsia="宋体" w:cs="Times New Roman"/>
                      <w:bCs w:val="0"/>
                      <w:lang w:val="en-US" w:eastAsia="zh-CN"/>
                    </w:rPr>
                    <w:t>生活污水</w:t>
                  </w:r>
                </w:p>
              </w:tc>
              <w:tc>
                <w:tcPr>
                  <w:tcW w:w="1385" w:type="pct"/>
                  <w:noWrap w:val="0"/>
                  <w:vAlign w:val="center"/>
                </w:tcPr>
                <w:p w14:paraId="64DFDDAA">
                  <w:pPr>
                    <w:pStyle w:val="92"/>
                    <w:keepNext w:val="0"/>
                    <w:keepLines w:val="0"/>
                    <w:suppressLineNumbers w:val="0"/>
                    <w:spacing w:before="0" w:beforeAutospacing="0" w:after="0" w:afterAutospacing="0"/>
                    <w:ind w:left="0" w:right="0"/>
                    <w:rPr>
                      <w:rFonts w:hint="default" w:ascii="Times New Roman" w:hAnsi="Times New Roman" w:eastAsia="宋体" w:cs="Times New Roman"/>
                      <w:bCs w:val="0"/>
                    </w:rPr>
                  </w:pPr>
                  <w:r>
                    <w:rPr>
                      <w:rFonts w:hint="default" w:ascii="Times New Roman" w:hAnsi="Times New Roman" w:eastAsia="宋体" w:cs="Times New Roman"/>
                      <w:bCs w:val="0"/>
                    </w:rPr>
                    <w:t>COD、BOD</w:t>
                  </w:r>
                  <w:r>
                    <w:rPr>
                      <w:rFonts w:hint="eastAsia" w:cs="Times New Roman"/>
                      <w:bCs w:val="0"/>
                      <w:vertAlign w:val="subscript"/>
                      <w:lang w:val="en-US" w:eastAsia="zh-CN"/>
                    </w:rPr>
                    <w:t>5</w:t>
                  </w:r>
                  <w:r>
                    <w:rPr>
                      <w:rFonts w:hint="eastAsia" w:cs="Times New Roman"/>
                      <w:bCs w:val="0"/>
                      <w:vertAlign w:val="baseline"/>
                      <w:lang w:val="en-US" w:eastAsia="zh-CN"/>
                    </w:rPr>
                    <w:t>、</w:t>
                  </w:r>
                  <w:r>
                    <w:rPr>
                      <w:rFonts w:hint="default" w:ascii="Times New Roman" w:hAnsi="Times New Roman" w:eastAsia="宋体" w:cs="Times New Roman"/>
                      <w:bCs w:val="0"/>
                    </w:rPr>
                    <w:t>氨氮等</w:t>
                  </w:r>
                </w:p>
              </w:tc>
            </w:tr>
            <w:tr w14:paraId="1A586B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5" w:type="pct"/>
                  <w:vMerge w:val="continue"/>
                  <w:noWrap w:val="0"/>
                  <w:vAlign w:val="center"/>
                </w:tcPr>
                <w:p w14:paraId="61F86830">
                  <w:pPr>
                    <w:pStyle w:val="91"/>
                    <w:keepNext w:val="0"/>
                    <w:keepLines w:val="0"/>
                    <w:suppressLineNumbers w:val="0"/>
                    <w:spacing w:before="0" w:beforeLines="0" w:beforeAutospacing="0" w:after="0" w:afterAutospacing="0"/>
                    <w:ind w:left="0" w:right="0"/>
                    <w:rPr>
                      <w:rFonts w:hint="default" w:ascii="Times New Roman" w:hAnsi="Times New Roman" w:eastAsia="宋体" w:cs="Times New Roman"/>
                      <w:b w:val="0"/>
                      <w:bCs w:val="0"/>
                    </w:rPr>
                  </w:pPr>
                </w:p>
              </w:tc>
              <w:tc>
                <w:tcPr>
                  <w:tcW w:w="672" w:type="pct"/>
                  <w:vMerge w:val="continue"/>
                  <w:noWrap w:val="0"/>
                  <w:vAlign w:val="center"/>
                </w:tcPr>
                <w:p w14:paraId="78AA47A9">
                  <w:pPr>
                    <w:pStyle w:val="91"/>
                    <w:keepNext w:val="0"/>
                    <w:keepLines w:val="0"/>
                    <w:suppressLineNumbers w:val="0"/>
                    <w:spacing w:before="0" w:beforeLines="0" w:beforeAutospacing="0" w:after="0" w:afterAutospacing="0"/>
                    <w:ind w:left="0" w:right="0"/>
                    <w:rPr>
                      <w:rFonts w:hint="default" w:ascii="Times New Roman" w:hAnsi="Times New Roman" w:eastAsia="宋体" w:cs="Times New Roman"/>
                      <w:b w:val="0"/>
                      <w:bCs w:val="0"/>
                    </w:rPr>
                  </w:pPr>
                </w:p>
              </w:tc>
              <w:tc>
                <w:tcPr>
                  <w:tcW w:w="1283" w:type="pct"/>
                  <w:noWrap w:val="0"/>
                  <w:vAlign w:val="center"/>
                </w:tcPr>
                <w:p w14:paraId="08AA2061">
                  <w:pPr>
                    <w:pStyle w:val="92"/>
                    <w:keepNext w:val="0"/>
                    <w:keepLines w:val="0"/>
                    <w:suppressLineNumbers w:val="0"/>
                    <w:spacing w:before="0" w:beforeAutospacing="0" w:after="0" w:afterAutospacing="0"/>
                    <w:ind w:left="0" w:right="0"/>
                    <w:rPr>
                      <w:rFonts w:hint="default" w:ascii="Times New Roman" w:hAnsi="Times New Roman" w:eastAsia="宋体" w:cs="Times New Roman"/>
                      <w:bCs w:val="0"/>
                      <w:lang w:val="en-US" w:eastAsia="zh-CN"/>
                    </w:rPr>
                  </w:pPr>
                  <w:r>
                    <w:rPr>
                      <w:rFonts w:hint="eastAsia" w:cs="Times New Roman"/>
                      <w:bCs w:val="0"/>
                      <w:lang w:val="en-US" w:eastAsia="zh-CN"/>
                    </w:rPr>
                    <w:t>洗砂、脱水</w:t>
                  </w:r>
                </w:p>
              </w:tc>
              <w:tc>
                <w:tcPr>
                  <w:tcW w:w="1042" w:type="pct"/>
                  <w:noWrap w:val="0"/>
                  <w:vAlign w:val="center"/>
                </w:tcPr>
                <w:p w14:paraId="511F15A8">
                  <w:pPr>
                    <w:pStyle w:val="92"/>
                    <w:keepNext w:val="0"/>
                    <w:keepLines w:val="0"/>
                    <w:suppressLineNumbers w:val="0"/>
                    <w:spacing w:before="0" w:beforeAutospacing="0" w:after="0" w:afterAutospacing="0"/>
                    <w:ind w:left="0" w:right="0"/>
                    <w:rPr>
                      <w:rFonts w:hint="default" w:ascii="Times New Roman" w:hAnsi="Times New Roman" w:eastAsia="宋体" w:cs="Times New Roman"/>
                      <w:bCs w:val="0"/>
                      <w:lang w:val="en-US" w:eastAsia="zh-CN"/>
                    </w:rPr>
                  </w:pPr>
                  <w:r>
                    <w:rPr>
                      <w:rFonts w:hint="eastAsia" w:cs="Times New Roman"/>
                      <w:bCs w:val="0"/>
                      <w:lang w:val="en-US" w:eastAsia="zh-CN"/>
                    </w:rPr>
                    <w:t>洗砂废水</w:t>
                  </w:r>
                </w:p>
              </w:tc>
              <w:tc>
                <w:tcPr>
                  <w:tcW w:w="1385" w:type="pct"/>
                  <w:noWrap w:val="0"/>
                  <w:vAlign w:val="center"/>
                </w:tcPr>
                <w:p w14:paraId="062AC49B">
                  <w:pPr>
                    <w:pStyle w:val="92"/>
                    <w:keepNext w:val="0"/>
                    <w:keepLines w:val="0"/>
                    <w:suppressLineNumbers w:val="0"/>
                    <w:spacing w:before="0" w:beforeAutospacing="0" w:after="0" w:afterAutospacing="0"/>
                    <w:ind w:left="0" w:right="0"/>
                    <w:rPr>
                      <w:rFonts w:hint="default" w:ascii="Times New Roman" w:hAnsi="Times New Roman" w:eastAsia="宋体" w:cs="Times New Roman"/>
                      <w:bCs w:val="0"/>
                      <w:lang w:val="en-US" w:eastAsia="zh-CN"/>
                    </w:rPr>
                  </w:pPr>
                  <w:r>
                    <w:rPr>
                      <w:rFonts w:hint="eastAsia" w:ascii="Times New Roman" w:hAnsi="Times New Roman" w:eastAsia="宋体" w:cs="Times New Roman"/>
                      <w:bCs w:val="0"/>
                      <w:lang w:val="en-US" w:eastAsia="zh-CN"/>
                    </w:rPr>
                    <w:t>SS</w:t>
                  </w:r>
                </w:p>
              </w:tc>
            </w:tr>
            <w:tr w14:paraId="105E9C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5" w:type="pct"/>
                  <w:vMerge w:val="continue"/>
                  <w:noWrap w:val="0"/>
                  <w:vAlign w:val="center"/>
                </w:tcPr>
                <w:p w14:paraId="5D8E75E3">
                  <w:pPr>
                    <w:pStyle w:val="91"/>
                    <w:keepNext w:val="0"/>
                    <w:keepLines w:val="0"/>
                    <w:suppressLineNumbers w:val="0"/>
                    <w:spacing w:before="0" w:beforeLines="0" w:beforeAutospacing="0" w:after="0" w:afterAutospacing="0"/>
                    <w:ind w:left="0" w:right="0"/>
                    <w:rPr>
                      <w:rFonts w:hint="default" w:ascii="Times New Roman" w:hAnsi="Times New Roman" w:eastAsia="宋体" w:cs="Times New Roman"/>
                      <w:b w:val="0"/>
                      <w:bCs w:val="0"/>
                    </w:rPr>
                  </w:pPr>
                </w:p>
              </w:tc>
              <w:tc>
                <w:tcPr>
                  <w:tcW w:w="672" w:type="pct"/>
                  <w:vMerge w:val="continue"/>
                  <w:noWrap w:val="0"/>
                  <w:vAlign w:val="center"/>
                </w:tcPr>
                <w:p w14:paraId="7A6AC7C4">
                  <w:pPr>
                    <w:pStyle w:val="91"/>
                    <w:keepNext w:val="0"/>
                    <w:keepLines w:val="0"/>
                    <w:suppressLineNumbers w:val="0"/>
                    <w:spacing w:before="0" w:beforeLines="0" w:beforeAutospacing="0" w:after="0" w:afterAutospacing="0"/>
                    <w:ind w:left="0" w:right="0"/>
                    <w:rPr>
                      <w:rFonts w:hint="default" w:ascii="Times New Roman" w:hAnsi="Times New Roman" w:eastAsia="宋体" w:cs="Times New Roman"/>
                      <w:b w:val="0"/>
                      <w:bCs w:val="0"/>
                    </w:rPr>
                  </w:pPr>
                </w:p>
              </w:tc>
              <w:tc>
                <w:tcPr>
                  <w:tcW w:w="1283" w:type="pct"/>
                  <w:noWrap w:val="0"/>
                  <w:vAlign w:val="center"/>
                </w:tcPr>
                <w:p w14:paraId="375D177E">
                  <w:pPr>
                    <w:pStyle w:val="92"/>
                    <w:keepNext w:val="0"/>
                    <w:keepLines w:val="0"/>
                    <w:suppressLineNumbers w:val="0"/>
                    <w:spacing w:before="0" w:beforeAutospacing="0" w:after="0" w:afterAutospacing="0"/>
                    <w:ind w:left="0" w:right="0"/>
                    <w:rPr>
                      <w:rFonts w:hint="default" w:cs="Times New Roman"/>
                      <w:bCs w:val="0"/>
                      <w:lang w:val="en-US" w:eastAsia="zh-CN"/>
                    </w:rPr>
                  </w:pPr>
                  <w:r>
                    <w:rPr>
                      <w:rFonts w:hint="eastAsia" w:cs="Times New Roman"/>
                      <w:bCs w:val="0"/>
                      <w:lang w:val="en-US" w:eastAsia="zh-CN"/>
                    </w:rPr>
                    <w:t>车辆冲洗</w:t>
                  </w:r>
                </w:p>
              </w:tc>
              <w:tc>
                <w:tcPr>
                  <w:tcW w:w="1042" w:type="pct"/>
                  <w:noWrap w:val="0"/>
                  <w:vAlign w:val="center"/>
                </w:tcPr>
                <w:p w14:paraId="22185CDE">
                  <w:pPr>
                    <w:pStyle w:val="92"/>
                    <w:keepNext w:val="0"/>
                    <w:keepLines w:val="0"/>
                    <w:suppressLineNumbers w:val="0"/>
                    <w:spacing w:before="0" w:beforeAutospacing="0" w:after="0" w:afterAutospacing="0"/>
                    <w:ind w:left="0" w:right="0"/>
                    <w:rPr>
                      <w:rFonts w:hint="default" w:cs="Times New Roman"/>
                      <w:bCs w:val="0"/>
                      <w:lang w:val="en-US" w:eastAsia="zh-CN"/>
                    </w:rPr>
                  </w:pPr>
                  <w:r>
                    <w:rPr>
                      <w:rFonts w:hint="eastAsia" w:cs="Times New Roman"/>
                      <w:bCs w:val="0"/>
                      <w:lang w:val="en-US" w:eastAsia="zh-CN"/>
                    </w:rPr>
                    <w:t>车辆冲洗废水</w:t>
                  </w:r>
                </w:p>
              </w:tc>
              <w:tc>
                <w:tcPr>
                  <w:tcW w:w="1385" w:type="pct"/>
                  <w:noWrap w:val="0"/>
                  <w:vAlign w:val="center"/>
                </w:tcPr>
                <w:p w14:paraId="4DBED940">
                  <w:pPr>
                    <w:pStyle w:val="92"/>
                    <w:keepNext w:val="0"/>
                    <w:keepLines w:val="0"/>
                    <w:suppressLineNumbers w:val="0"/>
                    <w:spacing w:before="0" w:beforeAutospacing="0" w:after="0" w:afterAutospacing="0"/>
                    <w:ind w:left="0" w:right="0"/>
                    <w:rPr>
                      <w:rFonts w:hint="default" w:ascii="Times New Roman" w:hAnsi="Times New Roman" w:eastAsia="宋体" w:cs="Times New Roman"/>
                      <w:bCs w:val="0"/>
                      <w:lang w:val="en-US" w:eastAsia="zh-CN"/>
                    </w:rPr>
                  </w:pPr>
                  <w:r>
                    <w:rPr>
                      <w:rFonts w:hint="eastAsia" w:cs="Times New Roman"/>
                      <w:bCs w:val="0"/>
                      <w:lang w:val="en-US" w:eastAsia="zh-CN"/>
                    </w:rPr>
                    <w:t>SS</w:t>
                  </w:r>
                  <w:r>
                    <w:rPr>
                      <w:rFonts w:hint="eastAsia"/>
                      <w:lang w:eastAsia="zh-CN"/>
                    </w:rPr>
                    <w:t>、</w:t>
                  </w:r>
                  <w:r>
                    <w:rPr>
                      <w:rFonts w:hint="eastAsia"/>
                      <w:lang w:val="en-US" w:eastAsia="zh-CN"/>
                    </w:rPr>
                    <w:t>石油类</w:t>
                  </w:r>
                </w:p>
              </w:tc>
            </w:tr>
            <w:tr w14:paraId="3152B0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5" w:type="pct"/>
                  <w:vMerge w:val="continue"/>
                  <w:noWrap w:val="0"/>
                  <w:vAlign w:val="center"/>
                </w:tcPr>
                <w:p w14:paraId="463C7117">
                  <w:pPr>
                    <w:pStyle w:val="91"/>
                    <w:keepNext w:val="0"/>
                    <w:keepLines w:val="0"/>
                    <w:suppressLineNumbers w:val="0"/>
                    <w:spacing w:before="0" w:beforeLines="0" w:beforeAutospacing="0" w:after="0" w:afterAutospacing="0"/>
                    <w:ind w:left="0" w:right="0"/>
                    <w:rPr>
                      <w:rFonts w:hint="default" w:ascii="Times New Roman" w:hAnsi="Times New Roman" w:eastAsia="宋体" w:cs="Times New Roman"/>
                      <w:b w:val="0"/>
                      <w:bCs w:val="0"/>
                    </w:rPr>
                  </w:pPr>
                </w:p>
              </w:tc>
              <w:tc>
                <w:tcPr>
                  <w:tcW w:w="672" w:type="pct"/>
                  <w:vMerge w:val="continue"/>
                  <w:noWrap w:val="0"/>
                  <w:vAlign w:val="center"/>
                </w:tcPr>
                <w:p w14:paraId="062BA3DE">
                  <w:pPr>
                    <w:pStyle w:val="91"/>
                    <w:keepNext w:val="0"/>
                    <w:keepLines w:val="0"/>
                    <w:suppressLineNumbers w:val="0"/>
                    <w:spacing w:before="0" w:beforeLines="0" w:beforeAutospacing="0" w:after="0" w:afterAutospacing="0"/>
                    <w:ind w:left="0" w:right="0"/>
                    <w:rPr>
                      <w:rFonts w:hint="default" w:ascii="Times New Roman" w:hAnsi="Times New Roman" w:eastAsia="宋体" w:cs="Times New Roman"/>
                      <w:b w:val="0"/>
                      <w:bCs w:val="0"/>
                    </w:rPr>
                  </w:pPr>
                </w:p>
              </w:tc>
              <w:tc>
                <w:tcPr>
                  <w:tcW w:w="1283" w:type="pct"/>
                  <w:noWrap w:val="0"/>
                  <w:vAlign w:val="center"/>
                </w:tcPr>
                <w:p w14:paraId="713ECDF2">
                  <w:pPr>
                    <w:pStyle w:val="92"/>
                    <w:keepNext w:val="0"/>
                    <w:keepLines w:val="0"/>
                    <w:suppressLineNumbers w:val="0"/>
                    <w:spacing w:before="0" w:beforeAutospacing="0" w:after="0" w:afterAutospacing="0"/>
                    <w:ind w:left="0" w:right="0"/>
                    <w:rPr>
                      <w:rFonts w:hint="default" w:cs="Times New Roman"/>
                      <w:bCs w:val="0"/>
                      <w:lang w:val="en-US" w:eastAsia="zh-CN"/>
                    </w:rPr>
                  </w:pPr>
                  <w:r>
                    <w:rPr>
                      <w:rFonts w:hint="default" w:ascii="Times New Roman" w:hAnsi="Times New Roman" w:cs="Times New Roman"/>
                      <w:bCs/>
                      <w:szCs w:val="21"/>
                    </w:rPr>
                    <w:t>场地</w:t>
                  </w:r>
                </w:p>
              </w:tc>
              <w:tc>
                <w:tcPr>
                  <w:tcW w:w="1042" w:type="pct"/>
                  <w:noWrap w:val="0"/>
                  <w:vAlign w:val="center"/>
                </w:tcPr>
                <w:p w14:paraId="66DC2E25">
                  <w:pPr>
                    <w:pStyle w:val="92"/>
                    <w:keepNext w:val="0"/>
                    <w:keepLines w:val="0"/>
                    <w:suppressLineNumbers w:val="0"/>
                    <w:spacing w:before="0" w:beforeAutospacing="0" w:after="0" w:afterAutospacing="0"/>
                    <w:ind w:left="0" w:right="0"/>
                    <w:rPr>
                      <w:rFonts w:hint="eastAsia" w:cs="Times New Roman"/>
                      <w:bCs w:val="0"/>
                      <w:lang w:val="en-US" w:eastAsia="zh-CN"/>
                    </w:rPr>
                  </w:pPr>
                  <w:r>
                    <w:rPr>
                      <w:rFonts w:hint="eastAsia" w:cs="Times New Roman"/>
                      <w:bCs w:val="0"/>
                      <w:lang w:val="en-US" w:eastAsia="zh-CN"/>
                    </w:rPr>
                    <w:t>初期雨水</w:t>
                  </w:r>
                </w:p>
              </w:tc>
              <w:tc>
                <w:tcPr>
                  <w:tcW w:w="1385" w:type="pct"/>
                  <w:noWrap w:val="0"/>
                  <w:vAlign w:val="center"/>
                </w:tcPr>
                <w:p w14:paraId="1A86457B">
                  <w:pPr>
                    <w:pStyle w:val="92"/>
                    <w:keepNext w:val="0"/>
                    <w:keepLines w:val="0"/>
                    <w:suppressLineNumbers w:val="0"/>
                    <w:spacing w:before="0" w:beforeAutospacing="0" w:after="0" w:afterAutospacing="0"/>
                    <w:ind w:left="0" w:right="0"/>
                    <w:rPr>
                      <w:rFonts w:hint="default" w:ascii="Times New Roman" w:hAnsi="Times New Roman" w:eastAsia="宋体" w:cs="Times New Roman"/>
                      <w:bCs w:val="0"/>
                      <w:lang w:val="en-US" w:eastAsia="zh-CN"/>
                    </w:rPr>
                  </w:pPr>
                  <w:r>
                    <w:rPr>
                      <w:rFonts w:hint="eastAsia" w:cs="Times New Roman"/>
                      <w:bCs w:val="0"/>
                      <w:lang w:val="en-US" w:eastAsia="zh-CN"/>
                    </w:rPr>
                    <w:t>SS</w:t>
                  </w:r>
                </w:p>
              </w:tc>
            </w:tr>
            <w:tr w14:paraId="7F5727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5" w:type="pct"/>
                  <w:vMerge w:val="continue"/>
                  <w:noWrap w:val="0"/>
                  <w:vAlign w:val="center"/>
                </w:tcPr>
                <w:p w14:paraId="4A71CEE7">
                  <w:pPr>
                    <w:pStyle w:val="91"/>
                    <w:keepNext w:val="0"/>
                    <w:keepLines w:val="0"/>
                    <w:suppressLineNumbers w:val="0"/>
                    <w:spacing w:before="0" w:beforeLines="0" w:beforeAutospacing="0" w:after="0" w:afterAutospacing="0"/>
                    <w:ind w:left="0" w:right="0"/>
                    <w:rPr>
                      <w:rFonts w:hint="default" w:ascii="Times New Roman" w:hAnsi="Times New Roman" w:eastAsia="宋体" w:cs="Times New Roman"/>
                      <w:b w:val="0"/>
                      <w:bCs w:val="0"/>
                    </w:rPr>
                  </w:pPr>
                </w:p>
              </w:tc>
              <w:tc>
                <w:tcPr>
                  <w:tcW w:w="672" w:type="pct"/>
                  <w:noWrap w:val="0"/>
                  <w:vAlign w:val="center"/>
                </w:tcPr>
                <w:p w14:paraId="14540B39">
                  <w:pPr>
                    <w:pStyle w:val="91"/>
                    <w:keepNext w:val="0"/>
                    <w:keepLines w:val="0"/>
                    <w:suppressLineNumbers w:val="0"/>
                    <w:spacing w:before="0" w:beforeLines="0" w:beforeAutospacing="0" w:after="0" w:afterAutospacing="0"/>
                    <w:ind w:left="0" w:right="0"/>
                    <w:rPr>
                      <w:rFonts w:hint="default" w:ascii="Times New Roman" w:hAnsi="Times New Roman" w:eastAsia="宋体" w:cs="Times New Roman"/>
                      <w:b w:val="0"/>
                      <w:bCs w:val="0"/>
                    </w:rPr>
                  </w:pPr>
                  <w:r>
                    <w:rPr>
                      <w:rFonts w:hint="default" w:ascii="Times New Roman" w:hAnsi="Times New Roman" w:eastAsia="宋体" w:cs="Times New Roman"/>
                      <w:b w:val="0"/>
                      <w:bCs w:val="0"/>
                    </w:rPr>
                    <w:t>噪声</w:t>
                  </w:r>
                </w:p>
              </w:tc>
              <w:tc>
                <w:tcPr>
                  <w:tcW w:w="1283" w:type="pct"/>
                  <w:noWrap w:val="0"/>
                  <w:vAlign w:val="center"/>
                </w:tcPr>
                <w:p w14:paraId="0455E80D">
                  <w:pPr>
                    <w:pStyle w:val="92"/>
                    <w:keepNext w:val="0"/>
                    <w:keepLines w:val="0"/>
                    <w:suppressLineNumbers w:val="0"/>
                    <w:spacing w:before="0" w:beforeAutospacing="0" w:after="0" w:afterAutospacing="0"/>
                    <w:ind w:left="0" w:right="0"/>
                    <w:rPr>
                      <w:rFonts w:hint="default" w:ascii="Times New Roman" w:hAnsi="Times New Roman" w:eastAsia="宋体" w:cs="Times New Roman"/>
                      <w:bCs w:val="0"/>
                    </w:rPr>
                  </w:pPr>
                  <w:r>
                    <w:rPr>
                      <w:rFonts w:hint="eastAsia" w:ascii="Times New Roman" w:hAnsi="Times New Roman" w:eastAsia="宋体" w:cs="Times New Roman"/>
                      <w:bCs w:val="0"/>
                    </w:rPr>
                    <w:t>生产设备、</w:t>
                  </w:r>
                  <w:r>
                    <w:rPr>
                      <w:rFonts w:hint="eastAsia" w:cs="Times New Roman"/>
                      <w:bCs w:val="0"/>
                      <w:lang w:val="en-US" w:eastAsia="zh-CN"/>
                    </w:rPr>
                    <w:t>水泵</w:t>
                  </w:r>
                  <w:r>
                    <w:rPr>
                      <w:rFonts w:hint="eastAsia" w:ascii="Times New Roman" w:hAnsi="Times New Roman" w:eastAsia="宋体" w:cs="Times New Roman"/>
                      <w:bCs w:val="0"/>
                    </w:rPr>
                    <w:t>等</w:t>
                  </w:r>
                </w:p>
              </w:tc>
              <w:tc>
                <w:tcPr>
                  <w:tcW w:w="1042" w:type="pct"/>
                  <w:noWrap w:val="0"/>
                  <w:vAlign w:val="center"/>
                </w:tcPr>
                <w:p w14:paraId="247F6359">
                  <w:pPr>
                    <w:pStyle w:val="92"/>
                    <w:keepNext w:val="0"/>
                    <w:keepLines w:val="0"/>
                    <w:suppressLineNumbers w:val="0"/>
                    <w:spacing w:before="0" w:beforeAutospacing="0" w:after="0" w:afterAutospacing="0"/>
                    <w:ind w:left="0" w:right="0"/>
                    <w:rPr>
                      <w:rFonts w:hint="default" w:ascii="Times New Roman" w:hAnsi="Times New Roman" w:eastAsia="宋体" w:cs="Times New Roman"/>
                      <w:bCs w:val="0"/>
                    </w:rPr>
                  </w:pPr>
                  <w:r>
                    <w:rPr>
                      <w:rFonts w:hint="default" w:ascii="Times New Roman" w:hAnsi="Times New Roman" w:eastAsia="宋体" w:cs="Times New Roman"/>
                      <w:bCs w:val="0"/>
                    </w:rPr>
                    <w:t>设备噪声</w:t>
                  </w:r>
                </w:p>
              </w:tc>
              <w:tc>
                <w:tcPr>
                  <w:tcW w:w="1385" w:type="pct"/>
                  <w:noWrap w:val="0"/>
                  <w:vAlign w:val="center"/>
                </w:tcPr>
                <w:p w14:paraId="55A2B79F">
                  <w:pPr>
                    <w:pStyle w:val="92"/>
                    <w:keepNext w:val="0"/>
                    <w:keepLines w:val="0"/>
                    <w:suppressLineNumbers w:val="0"/>
                    <w:spacing w:before="0" w:beforeAutospacing="0" w:after="0" w:afterAutospacing="0"/>
                    <w:ind w:left="0" w:right="0"/>
                    <w:rPr>
                      <w:rFonts w:hint="default" w:ascii="Times New Roman" w:hAnsi="Times New Roman" w:eastAsia="宋体" w:cs="Times New Roman"/>
                      <w:bCs w:val="0"/>
                    </w:rPr>
                  </w:pPr>
                  <w:r>
                    <w:rPr>
                      <w:rFonts w:hint="eastAsia" w:ascii="Times New Roman" w:hAnsi="Times New Roman" w:eastAsia="宋体" w:cs="Times New Roman"/>
                      <w:bCs/>
                      <w:color w:val="auto"/>
                      <w:kern w:val="0"/>
                      <w:szCs w:val="21"/>
                    </w:rPr>
                    <w:t>等效连续A声级</w:t>
                  </w:r>
                </w:p>
              </w:tc>
            </w:tr>
            <w:tr w14:paraId="48300B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5" w:type="pct"/>
                  <w:vMerge w:val="continue"/>
                  <w:noWrap w:val="0"/>
                  <w:vAlign w:val="center"/>
                </w:tcPr>
                <w:p w14:paraId="33F90E7C">
                  <w:pPr>
                    <w:pStyle w:val="91"/>
                    <w:keepNext w:val="0"/>
                    <w:keepLines w:val="0"/>
                    <w:suppressLineNumbers w:val="0"/>
                    <w:spacing w:before="0" w:beforeLines="0" w:beforeAutospacing="0" w:after="0" w:afterAutospacing="0"/>
                    <w:ind w:left="0" w:right="0"/>
                    <w:rPr>
                      <w:rFonts w:hint="default" w:ascii="Times New Roman" w:hAnsi="Times New Roman" w:eastAsia="宋体" w:cs="Times New Roman"/>
                      <w:b w:val="0"/>
                      <w:bCs w:val="0"/>
                    </w:rPr>
                  </w:pPr>
                </w:p>
              </w:tc>
              <w:tc>
                <w:tcPr>
                  <w:tcW w:w="672" w:type="pct"/>
                  <w:vMerge w:val="restart"/>
                  <w:noWrap w:val="0"/>
                  <w:vAlign w:val="center"/>
                </w:tcPr>
                <w:p w14:paraId="79E863B2">
                  <w:pPr>
                    <w:pStyle w:val="91"/>
                    <w:keepNext w:val="0"/>
                    <w:keepLines w:val="0"/>
                    <w:suppressLineNumbers w:val="0"/>
                    <w:spacing w:before="0" w:beforeLines="0" w:beforeAutospacing="0" w:after="0" w:afterAutospacing="0"/>
                    <w:ind w:left="0" w:right="0"/>
                    <w:rPr>
                      <w:rFonts w:hint="default" w:ascii="Times New Roman" w:hAnsi="Times New Roman" w:eastAsia="宋体" w:cs="Times New Roman"/>
                      <w:b w:val="0"/>
                      <w:bCs w:val="0"/>
                    </w:rPr>
                  </w:pPr>
                  <w:r>
                    <w:rPr>
                      <w:rFonts w:hint="default" w:ascii="Times New Roman" w:hAnsi="Times New Roman" w:eastAsia="宋体" w:cs="Times New Roman"/>
                      <w:b w:val="0"/>
                      <w:bCs w:val="0"/>
                    </w:rPr>
                    <w:t>固体废物</w:t>
                  </w:r>
                </w:p>
              </w:tc>
              <w:tc>
                <w:tcPr>
                  <w:tcW w:w="1283" w:type="pct"/>
                  <w:noWrap w:val="0"/>
                  <w:vAlign w:val="center"/>
                </w:tcPr>
                <w:p w14:paraId="14BBABD0">
                  <w:pPr>
                    <w:pStyle w:val="92"/>
                    <w:keepNext w:val="0"/>
                    <w:keepLines w:val="0"/>
                    <w:suppressLineNumbers w:val="0"/>
                    <w:spacing w:before="0" w:beforeAutospacing="0" w:after="0" w:afterAutospacing="0"/>
                    <w:ind w:left="0" w:right="0"/>
                    <w:rPr>
                      <w:rFonts w:hint="default" w:ascii="Times New Roman" w:hAnsi="Times New Roman" w:eastAsia="宋体" w:cs="Times New Roman"/>
                      <w:bCs w:val="0"/>
                      <w:lang w:val="en-US" w:eastAsia="zh-CN"/>
                    </w:rPr>
                  </w:pPr>
                  <w:r>
                    <w:rPr>
                      <w:rFonts w:hint="eastAsia" w:ascii="Times New Roman" w:hAnsi="Times New Roman" w:eastAsia="宋体" w:cs="Times New Roman"/>
                      <w:bCs w:val="0"/>
                      <w:lang w:val="en-US" w:eastAsia="zh-CN"/>
                    </w:rPr>
                    <w:t>办公、生活</w:t>
                  </w:r>
                </w:p>
              </w:tc>
              <w:tc>
                <w:tcPr>
                  <w:tcW w:w="1042" w:type="pct"/>
                  <w:noWrap w:val="0"/>
                  <w:vAlign w:val="center"/>
                </w:tcPr>
                <w:p w14:paraId="4F191503">
                  <w:pPr>
                    <w:pStyle w:val="92"/>
                    <w:keepNext w:val="0"/>
                    <w:keepLines w:val="0"/>
                    <w:suppressLineNumbers w:val="0"/>
                    <w:spacing w:before="0" w:beforeAutospacing="0" w:after="0" w:afterAutospacing="0"/>
                    <w:ind w:left="0" w:right="0"/>
                    <w:rPr>
                      <w:rFonts w:hint="default" w:ascii="Times New Roman" w:hAnsi="Times New Roman" w:eastAsia="宋体" w:cs="Times New Roman"/>
                      <w:bCs w:val="0"/>
                    </w:rPr>
                  </w:pPr>
                  <w:r>
                    <w:rPr>
                      <w:rFonts w:hint="default" w:ascii="Times New Roman" w:hAnsi="Times New Roman" w:eastAsia="宋体" w:cs="Times New Roman"/>
                      <w:bCs w:val="0"/>
                    </w:rPr>
                    <w:t>生活垃圾</w:t>
                  </w:r>
                </w:p>
              </w:tc>
              <w:tc>
                <w:tcPr>
                  <w:tcW w:w="1385" w:type="pct"/>
                  <w:noWrap w:val="0"/>
                  <w:vAlign w:val="center"/>
                </w:tcPr>
                <w:p w14:paraId="70B3FC9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val="0"/>
                    </w:rPr>
                    <w:t>生活垃圾</w:t>
                  </w:r>
                </w:p>
              </w:tc>
            </w:tr>
            <w:tr w14:paraId="7C72A9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15" w:type="pct"/>
                  <w:vMerge w:val="continue"/>
                  <w:noWrap w:val="0"/>
                  <w:vAlign w:val="center"/>
                </w:tcPr>
                <w:p w14:paraId="5B3AF476">
                  <w:pPr>
                    <w:pStyle w:val="91"/>
                    <w:keepNext w:val="0"/>
                    <w:keepLines w:val="0"/>
                    <w:suppressLineNumbers w:val="0"/>
                    <w:spacing w:before="0" w:beforeLines="0" w:beforeAutospacing="0" w:after="0" w:afterAutospacing="0"/>
                    <w:ind w:left="0" w:right="0"/>
                    <w:rPr>
                      <w:rFonts w:hint="default" w:ascii="Times New Roman" w:hAnsi="Times New Roman" w:eastAsia="宋体" w:cs="Times New Roman"/>
                      <w:b w:val="0"/>
                      <w:bCs w:val="0"/>
                    </w:rPr>
                  </w:pPr>
                </w:p>
              </w:tc>
              <w:tc>
                <w:tcPr>
                  <w:tcW w:w="672" w:type="pct"/>
                  <w:vMerge w:val="continue"/>
                  <w:noWrap w:val="0"/>
                  <w:vAlign w:val="center"/>
                </w:tcPr>
                <w:p w14:paraId="7D560D7D">
                  <w:pPr>
                    <w:pStyle w:val="91"/>
                    <w:keepNext w:val="0"/>
                    <w:keepLines w:val="0"/>
                    <w:suppressLineNumbers w:val="0"/>
                    <w:spacing w:before="0" w:beforeLines="0" w:beforeAutospacing="0" w:after="0" w:afterAutospacing="0"/>
                    <w:ind w:left="0" w:right="0"/>
                    <w:rPr>
                      <w:rFonts w:hint="default" w:ascii="Times New Roman" w:hAnsi="Times New Roman" w:eastAsia="宋体" w:cs="Times New Roman"/>
                      <w:b w:val="0"/>
                      <w:bCs w:val="0"/>
                    </w:rPr>
                  </w:pPr>
                </w:p>
              </w:tc>
              <w:tc>
                <w:tcPr>
                  <w:tcW w:w="1283" w:type="pct"/>
                  <w:noWrap w:val="0"/>
                  <w:vAlign w:val="center"/>
                </w:tcPr>
                <w:p w14:paraId="44B4B477">
                  <w:pPr>
                    <w:pStyle w:val="92"/>
                    <w:keepNext w:val="0"/>
                    <w:keepLines w:val="0"/>
                    <w:suppressLineNumbers w:val="0"/>
                    <w:spacing w:before="0" w:beforeAutospacing="0" w:after="0" w:afterAutospacing="0"/>
                    <w:ind w:left="0" w:right="0"/>
                    <w:rPr>
                      <w:rFonts w:hint="default" w:ascii="Times New Roman" w:hAnsi="Times New Roman" w:eastAsia="宋体" w:cs="Times New Roman"/>
                      <w:bCs w:val="0"/>
                      <w:lang w:val="en-US" w:eastAsia="zh-CN"/>
                    </w:rPr>
                  </w:pPr>
                  <w:r>
                    <w:rPr>
                      <w:rFonts w:hint="eastAsia" w:cs="Times New Roman"/>
                      <w:bCs w:val="0"/>
                      <w:lang w:val="en-US" w:eastAsia="zh-CN"/>
                    </w:rPr>
                    <w:t>预处理池</w:t>
                  </w:r>
                </w:p>
              </w:tc>
              <w:tc>
                <w:tcPr>
                  <w:tcW w:w="1042" w:type="pct"/>
                  <w:noWrap w:val="0"/>
                  <w:vAlign w:val="center"/>
                </w:tcPr>
                <w:p w14:paraId="1CF245E3">
                  <w:pPr>
                    <w:pStyle w:val="92"/>
                    <w:keepNext w:val="0"/>
                    <w:keepLines w:val="0"/>
                    <w:suppressLineNumbers w:val="0"/>
                    <w:spacing w:before="0" w:beforeAutospacing="0" w:after="0" w:afterAutospacing="0"/>
                    <w:ind w:left="0" w:right="0"/>
                    <w:rPr>
                      <w:rFonts w:hint="default" w:ascii="Times New Roman" w:hAnsi="Times New Roman" w:eastAsia="宋体" w:cs="Times New Roman"/>
                      <w:bCs w:val="0"/>
                      <w:lang w:val="en-US" w:eastAsia="zh-CN"/>
                    </w:rPr>
                  </w:pPr>
                  <w:r>
                    <w:rPr>
                      <w:rFonts w:hint="eastAsia" w:cs="Times New Roman"/>
                      <w:bCs w:val="0"/>
                      <w:lang w:val="en-US" w:eastAsia="zh-CN"/>
                    </w:rPr>
                    <w:t>污泥</w:t>
                  </w:r>
                </w:p>
              </w:tc>
              <w:tc>
                <w:tcPr>
                  <w:tcW w:w="1385" w:type="pct"/>
                  <w:noWrap w:val="0"/>
                  <w:vAlign w:val="center"/>
                </w:tcPr>
                <w:p w14:paraId="64DB839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一般废物</w:t>
                  </w:r>
                </w:p>
              </w:tc>
            </w:tr>
            <w:tr w14:paraId="30BEE0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15" w:type="pct"/>
                  <w:vMerge w:val="continue"/>
                  <w:noWrap w:val="0"/>
                  <w:vAlign w:val="center"/>
                </w:tcPr>
                <w:p w14:paraId="65B4260C">
                  <w:pPr>
                    <w:pStyle w:val="91"/>
                    <w:keepNext w:val="0"/>
                    <w:keepLines w:val="0"/>
                    <w:suppressLineNumbers w:val="0"/>
                    <w:spacing w:before="0" w:beforeLines="0" w:beforeAutospacing="0" w:after="0" w:afterAutospacing="0"/>
                    <w:ind w:left="0" w:right="0"/>
                    <w:rPr>
                      <w:rFonts w:hint="default" w:ascii="Times New Roman" w:hAnsi="Times New Roman" w:eastAsia="宋体" w:cs="Times New Roman"/>
                      <w:b w:val="0"/>
                      <w:bCs w:val="0"/>
                    </w:rPr>
                  </w:pPr>
                </w:p>
              </w:tc>
              <w:tc>
                <w:tcPr>
                  <w:tcW w:w="672" w:type="pct"/>
                  <w:vMerge w:val="continue"/>
                  <w:noWrap w:val="0"/>
                  <w:vAlign w:val="center"/>
                </w:tcPr>
                <w:p w14:paraId="38076156">
                  <w:pPr>
                    <w:pStyle w:val="91"/>
                    <w:keepNext w:val="0"/>
                    <w:keepLines w:val="0"/>
                    <w:suppressLineNumbers w:val="0"/>
                    <w:spacing w:before="0" w:beforeLines="0" w:beforeAutospacing="0" w:after="0" w:afterAutospacing="0"/>
                    <w:ind w:left="0" w:right="0"/>
                    <w:rPr>
                      <w:rFonts w:hint="default" w:ascii="Times New Roman" w:hAnsi="Times New Roman" w:eastAsia="宋体" w:cs="Times New Roman"/>
                      <w:b w:val="0"/>
                      <w:bCs w:val="0"/>
                    </w:rPr>
                  </w:pPr>
                </w:p>
              </w:tc>
              <w:tc>
                <w:tcPr>
                  <w:tcW w:w="1283" w:type="pct"/>
                  <w:noWrap w:val="0"/>
                  <w:vAlign w:val="center"/>
                </w:tcPr>
                <w:p w14:paraId="3A972E81">
                  <w:pPr>
                    <w:pStyle w:val="92"/>
                    <w:keepNext w:val="0"/>
                    <w:keepLines w:val="0"/>
                    <w:suppressLineNumbers w:val="0"/>
                    <w:spacing w:before="0" w:beforeAutospacing="0" w:after="0" w:afterAutospacing="0"/>
                    <w:ind w:left="0" w:right="0"/>
                    <w:rPr>
                      <w:rFonts w:hint="default" w:ascii="Times New Roman" w:hAnsi="Times New Roman" w:eastAsia="宋体" w:cs="Times New Roman"/>
                      <w:bCs w:val="0"/>
                      <w:lang w:val="en-US" w:eastAsia="zh-CN"/>
                    </w:rPr>
                  </w:pPr>
                  <w:r>
                    <w:rPr>
                      <w:rFonts w:hint="eastAsia" w:cs="Times New Roman"/>
                      <w:bCs w:val="0"/>
                      <w:lang w:val="en-US" w:eastAsia="zh-CN"/>
                    </w:rPr>
                    <w:t>压滤机</w:t>
                  </w:r>
                </w:p>
              </w:tc>
              <w:tc>
                <w:tcPr>
                  <w:tcW w:w="1042" w:type="pct"/>
                  <w:noWrap w:val="0"/>
                  <w:vAlign w:val="center"/>
                </w:tcPr>
                <w:p w14:paraId="047C900C">
                  <w:pPr>
                    <w:pStyle w:val="92"/>
                    <w:keepNext w:val="0"/>
                    <w:keepLines w:val="0"/>
                    <w:suppressLineNumbers w:val="0"/>
                    <w:spacing w:before="0" w:beforeAutospacing="0" w:after="0" w:afterAutospacing="0"/>
                    <w:ind w:left="0" w:right="0"/>
                    <w:rPr>
                      <w:rFonts w:hint="default" w:ascii="Times New Roman" w:hAnsi="Times New Roman" w:eastAsia="宋体" w:cs="Times New Roman"/>
                      <w:bCs w:val="0"/>
                      <w:lang w:val="en-US" w:eastAsia="zh-CN"/>
                    </w:rPr>
                  </w:pPr>
                  <w:r>
                    <w:rPr>
                      <w:rFonts w:hint="eastAsia" w:cs="Times New Roman"/>
                      <w:bCs/>
                      <w:color w:val="auto"/>
                      <w:kern w:val="0"/>
                      <w:szCs w:val="21"/>
                      <w:lang w:val="en-US" w:eastAsia="zh-CN"/>
                    </w:rPr>
                    <w:t>泥饼</w:t>
                  </w:r>
                </w:p>
              </w:tc>
              <w:tc>
                <w:tcPr>
                  <w:tcW w:w="1385" w:type="pct"/>
                  <w:noWrap w:val="0"/>
                  <w:vAlign w:val="center"/>
                </w:tcPr>
                <w:p w14:paraId="00785DC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一般废物</w:t>
                  </w:r>
                </w:p>
              </w:tc>
            </w:tr>
            <w:tr w14:paraId="34FEAB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5" w:type="pct"/>
                  <w:vMerge w:val="continue"/>
                  <w:noWrap w:val="0"/>
                  <w:vAlign w:val="center"/>
                </w:tcPr>
                <w:p w14:paraId="21CF9882">
                  <w:pPr>
                    <w:pStyle w:val="91"/>
                    <w:keepNext w:val="0"/>
                    <w:keepLines w:val="0"/>
                    <w:suppressLineNumbers w:val="0"/>
                    <w:spacing w:before="0" w:beforeLines="0" w:beforeAutospacing="0" w:after="0" w:afterAutospacing="0"/>
                    <w:ind w:left="0" w:right="0"/>
                    <w:rPr>
                      <w:rFonts w:hint="default" w:ascii="Times New Roman" w:hAnsi="Times New Roman" w:eastAsia="宋体" w:cs="Times New Roman"/>
                      <w:b w:val="0"/>
                      <w:bCs w:val="0"/>
                    </w:rPr>
                  </w:pPr>
                </w:p>
              </w:tc>
              <w:tc>
                <w:tcPr>
                  <w:tcW w:w="672" w:type="pct"/>
                  <w:vMerge w:val="continue"/>
                  <w:noWrap w:val="0"/>
                  <w:vAlign w:val="center"/>
                </w:tcPr>
                <w:p w14:paraId="7FD066FC">
                  <w:pPr>
                    <w:pStyle w:val="91"/>
                    <w:keepNext w:val="0"/>
                    <w:keepLines w:val="0"/>
                    <w:suppressLineNumbers w:val="0"/>
                    <w:spacing w:before="0" w:beforeLines="0" w:beforeAutospacing="0" w:after="0" w:afterAutospacing="0"/>
                    <w:ind w:left="0" w:right="0"/>
                    <w:rPr>
                      <w:rFonts w:hint="default" w:ascii="Times New Roman" w:hAnsi="Times New Roman" w:eastAsia="宋体" w:cs="Times New Roman"/>
                      <w:b w:val="0"/>
                      <w:bCs w:val="0"/>
                    </w:rPr>
                  </w:pPr>
                </w:p>
              </w:tc>
              <w:tc>
                <w:tcPr>
                  <w:tcW w:w="1283" w:type="pct"/>
                  <w:vMerge w:val="restart"/>
                  <w:noWrap w:val="0"/>
                  <w:vAlign w:val="center"/>
                </w:tcPr>
                <w:p w14:paraId="38C2542F">
                  <w:pPr>
                    <w:pStyle w:val="92"/>
                    <w:keepNext w:val="0"/>
                    <w:keepLines w:val="0"/>
                    <w:suppressLineNumbers w:val="0"/>
                    <w:spacing w:before="0" w:beforeAutospacing="0" w:after="0" w:afterAutospacing="0"/>
                    <w:ind w:left="0" w:right="0"/>
                    <w:rPr>
                      <w:rFonts w:hint="default" w:ascii="Times New Roman" w:hAnsi="Times New Roman" w:eastAsia="宋体" w:cs="Times New Roman"/>
                      <w:bCs w:val="0"/>
                      <w:lang w:val="en-US" w:eastAsia="zh-CN"/>
                    </w:rPr>
                  </w:pPr>
                  <w:r>
                    <w:rPr>
                      <w:rFonts w:hint="eastAsia" w:ascii="Times New Roman" w:hAnsi="Times New Roman" w:eastAsia="宋体" w:cs="Times New Roman"/>
                      <w:bCs w:val="0"/>
                      <w:lang w:val="en-US" w:eastAsia="zh-CN"/>
                    </w:rPr>
                    <w:t>设备维护</w:t>
                  </w:r>
                </w:p>
              </w:tc>
              <w:tc>
                <w:tcPr>
                  <w:tcW w:w="1042" w:type="pct"/>
                  <w:noWrap w:val="0"/>
                  <w:vAlign w:val="center"/>
                </w:tcPr>
                <w:p w14:paraId="0CB6D4B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lang w:val="en-US" w:eastAsia="zh-CN" w:bidi="ar-SA"/>
                    </w:rPr>
                  </w:pPr>
                  <w:r>
                    <w:rPr>
                      <w:rFonts w:hint="eastAsia" w:ascii="Times New Roman" w:hAnsi="Times New Roman" w:eastAsia="宋体" w:cs="Times New Roman"/>
                      <w:bCs/>
                      <w:color w:val="auto"/>
                      <w:kern w:val="0"/>
                      <w:szCs w:val="21"/>
                    </w:rPr>
                    <w:t>废</w:t>
                  </w:r>
                  <w:r>
                    <w:rPr>
                      <w:rFonts w:hint="eastAsia" w:ascii="Times New Roman" w:hAnsi="Times New Roman" w:eastAsia="宋体" w:cs="Times New Roman"/>
                      <w:bCs/>
                      <w:color w:val="auto"/>
                      <w:kern w:val="0"/>
                      <w:szCs w:val="21"/>
                      <w:lang w:val="en-US" w:eastAsia="zh-CN"/>
                    </w:rPr>
                    <w:t>矿物油及油桶</w:t>
                  </w:r>
                </w:p>
              </w:tc>
              <w:tc>
                <w:tcPr>
                  <w:tcW w:w="1385" w:type="pct"/>
                  <w:noWrap w:val="0"/>
                  <w:vAlign w:val="center"/>
                </w:tcPr>
                <w:p w14:paraId="07FD98EB">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Cs/>
                      <w:color w:val="auto"/>
                      <w:kern w:val="0"/>
                      <w:sz w:val="21"/>
                      <w:szCs w:val="21"/>
                      <w:lang w:val="en-US" w:eastAsia="zh-CN" w:bidi="ar-SA"/>
                    </w:rPr>
                  </w:pPr>
                  <w:r>
                    <w:rPr>
                      <w:rFonts w:hint="eastAsia" w:ascii="Times New Roman" w:hAnsi="Times New Roman" w:eastAsia="宋体" w:cs="Times New Roman"/>
                      <w:bCs/>
                      <w:color w:val="auto"/>
                      <w:kern w:val="0"/>
                      <w:szCs w:val="21"/>
                    </w:rPr>
                    <w:t>危险废物</w:t>
                  </w:r>
                </w:p>
              </w:tc>
            </w:tr>
            <w:tr w14:paraId="40D1F3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5" w:type="pct"/>
                  <w:vMerge w:val="continue"/>
                  <w:noWrap w:val="0"/>
                  <w:vAlign w:val="center"/>
                </w:tcPr>
                <w:p w14:paraId="56EFE2BA">
                  <w:pPr>
                    <w:pStyle w:val="91"/>
                    <w:keepNext w:val="0"/>
                    <w:keepLines w:val="0"/>
                    <w:suppressLineNumbers w:val="0"/>
                    <w:spacing w:before="0" w:beforeLines="0" w:beforeAutospacing="0" w:after="0" w:afterAutospacing="0"/>
                    <w:ind w:left="0" w:right="0"/>
                    <w:rPr>
                      <w:rFonts w:hint="default" w:ascii="Times New Roman" w:hAnsi="Times New Roman" w:eastAsia="宋体" w:cs="Times New Roman"/>
                      <w:b w:val="0"/>
                      <w:bCs w:val="0"/>
                    </w:rPr>
                  </w:pPr>
                </w:p>
              </w:tc>
              <w:tc>
                <w:tcPr>
                  <w:tcW w:w="672" w:type="pct"/>
                  <w:vMerge w:val="continue"/>
                  <w:noWrap w:val="0"/>
                  <w:vAlign w:val="center"/>
                </w:tcPr>
                <w:p w14:paraId="6C2F41F5">
                  <w:pPr>
                    <w:pStyle w:val="91"/>
                    <w:keepNext w:val="0"/>
                    <w:keepLines w:val="0"/>
                    <w:suppressLineNumbers w:val="0"/>
                    <w:spacing w:before="0" w:beforeLines="0" w:beforeAutospacing="0" w:after="0" w:afterAutospacing="0"/>
                    <w:ind w:left="0" w:right="0"/>
                    <w:rPr>
                      <w:rFonts w:hint="default" w:ascii="Times New Roman" w:hAnsi="Times New Roman" w:eastAsia="宋体" w:cs="Times New Roman"/>
                      <w:b w:val="0"/>
                      <w:bCs w:val="0"/>
                    </w:rPr>
                  </w:pPr>
                </w:p>
              </w:tc>
              <w:tc>
                <w:tcPr>
                  <w:tcW w:w="1283" w:type="pct"/>
                  <w:vMerge w:val="continue"/>
                  <w:noWrap w:val="0"/>
                  <w:vAlign w:val="center"/>
                </w:tcPr>
                <w:p w14:paraId="732F9B5B">
                  <w:pPr>
                    <w:pStyle w:val="92"/>
                    <w:keepNext w:val="0"/>
                    <w:keepLines w:val="0"/>
                    <w:suppressLineNumbers w:val="0"/>
                    <w:spacing w:before="0" w:beforeAutospacing="0" w:after="0" w:afterAutospacing="0"/>
                    <w:ind w:left="0" w:right="0"/>
                    <w:rPr>
                      <w:rFonts w:hint="eastAsia" w:ascii="Times New Roman" w:hAnsi="Times New Roman" w:eastAsia="宋体" w:cs="Times New Roman"/>
                      <w:bCs w:val="0"/>
                    </w:rPr>
                  </w:pPr>
                </w:p>
              </w:tc>
              <w:tc>
                <w:tcPr>
                  <w:tcW w:w="1042" w:type="pct"/>
                  <w:noWrap w:val="0"/>
                  <w:vAlign w:val="center"/>
                </w:tcPr>
                <w:p w14:paraId="6D69F949">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Cs/>
                      <w:color w:val="auto"/>
                      <w:kern w:val="0"/>
                      <w:sz w:val="21"/>
                      <w:szCs w:val="21"/>
                      <w:lang w:val="en-US" w:eastAsia="zh-CN" w:bidi="ar-SA"/>
                    </w:rPr>
                  </w:pPr>
                  <w:r>
                    <w:rPr>
                      <w:rFonts w:hint="eastAsia" w:ascii="Times New Roman" w:hAnsi="Times New Roman" w:eastAsia="宋体" w:cs="Times New Roman"/>
                      <w:bCs/>
                      <w:color w:val="auto"/>
                      <w:kern w:val="0"/>
                      <w:szCs w:val="21"/>
                    </w:rPr>
                    <w:t>废</w:t>
                  </w:r>
                  <w:r>
                    <w:rPr>
                      <w:rFonts w:hint="eastAsia" w:ascii="Times New Roman" w:hAnsi="Times New Roman" w:eastAsia="宋体" w:cs="Times New Roman"/>
                      <w:bCs/>
                      <w:color w:val="auto"/>
                      <w:kern w:val="0"/>
                      <w:szCs w:val="21"/>
                      <w:lang w:val="en-US" w:eastAsia="zh-CN"/>
                    </w:rPr>
                    <w:t>含油</w:t>
                  </w:r>
                  <w:r>
                    <w:rPr>
                      <w:rFonts w:hint="eastAsia" w:ascii="Times New Roman" w:hAnsi="Times New Roman" w:eastAsia="宋体" w:cs="Times New Roman"/>
                      <w:bCs/>
                      <w:color w:val="auto"/>
                      <w:kern w:val="0"/>
                      <w:szCs w:val="21"/>
                    </w:rPr>
                    <w:t>棉纱及手套</w:t>
                  </w:r>
                </w:p>
              </w:tc>
              <w:tc>
                <w:tcPr>
                  <w:tcW w:w="1385" w:type="pct"/>
                  <w:noWrap w:val="0"/>
                  <w:vAlign w:val="center"/>
                </w:tcPr>
                <w:p w14:paraId="6784D330">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Cs/>
                      <w:color w:val="auto"/>
                      <w:kern w:val="0"/>
                      <w:sz w:val="21"/>
                      <w:szCs w:val="21"/>
                      <w:lang w:val="en-US" w:eastAsia="zh-CN" w:bidi="ar-SA"/>
                    </w:rPr>
                  </w:pPr>
                  <w:r>
                    <w:rPr>
                      <w:rFonts w:hint="eastAsia" w:ascii="Times New Roman" w:hAnsi="Times New Roman" w:eastAsia="宋体" w:cs="Times New Roman"/>
                      <w:bCs/>
                      <w:color w:val="auto"/>
                      <w:kern w:val="0"/>
                      <w:szCs w:val="21"/>
                    </w:rPr>
                    <w:t>危险废物</w:t>
                  </w:r>
                </w:p>
              </w:tc>
            </w:tr>
          </w:tbl>
          <w:p w14:paraId="2A4CD6B2">
            <w:pPr>
              <w:keepNext w:val="0"/>
              <w:keepLines w:val="0"/>
              <w:suppressLineNumbers w:val="0"/>
              <w:spacing w:before="0" w:beforeAutospacing="0" w:after="0" w:afterAutospacing="0" w:line="360" w:lineRule="auto"/>
              <w:ind w:left="0" w:right="0"/>
              <w:jc w:val="left"/>
              <w:rPr>
                <w:rFonts w:hint="eastAsia" w:ascii="Times New Roman" w:hAnsi="Times New Roman" w:eastAsia="宋体" w:cs="Times New Roman"/>
                <w:bCs/>
                <w:szCs w:val="21"/>
              </w:rPr>
            </w:pPr>
          </w:p>
        </w:tc>
      </w:tr>
      <w:tr w14:paraId="7C35DA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54" w:hRule="atLeast"/>
          <w:jc w:val="center"/>
        </w:trPr>
        <w:tc>
          <w:tcPr>
            <w:tcW w:w="823" w:type="dxa"/>
            <w:noWrap w:val="0"/>
            <w:vAlign w:val="center"/>
          </w:tcPr>
          <w:p w14:paraId="7F893816">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sz w:val="21"/>
                <w:szCs w:val="21"/>
              </w:rPr>
            </w:pPr>
            <w:r>
              <w:rPr>
                <w:rFonts w:hint="eastAsia" w:ascii="Times New Roman" w:hAnsi="Times New Roman" w:eastAsia="宋体" w:cs="宋体"/>
                <w:bCs/>
                <w:kern w:val="2"/>
                <w:szCs w:val="24"/>
              </w:rPr>
              <w:t>与项目有关的原有环境污染问题</w:t>
            </w:r>
          </w:p>
        </w:tc>
        <w:tc>
          <w:tcPr>
            <w:tcW w:w="8161" w:type="dxa"/>
            <w:noWrap w:val="0"/>
            <w:vAlign w:val="top"/>
          </w:tcPr>
          <w:p w14:paraId="6F4F7EE5">
            <w:pPr>
              <w:keepNext w:val="0"/>
              <w:keepLines w:val="0"/>
              <w:widowControl/>
              <w:suppressLineNumbers w:val="0"/>
              <w:spacing w:before="0" w:beforeAutospacing="0" w:after="0" w:afterAutospacing="0" w:line="360" w:lineRule="auto"/>
              <w:ind w:left="0" w:right="0"/>
              <w:rPr>
                <w:rFonts w:hint="default" w:ascii="Times New Roman" w:hAnsi="Times New Roman" w:eastAsia="宋体" w:cs="Times New Roman"/>
                <w:bCs/>
                <w:sz w:val="24"/>
              </w:rPr>
            </w:pPr>
            <w:r>
              <w:rPr>
                <w:rFonts w:hint="eastAsia" w:ascii="Times New Roman" w:hAnsi="Times New Roman" w:eastAsia="宋体"/>
                <w:b/>
                <w:bCs/>
                <w:sz w:val="24"/>
              </w:rPr>
              <w:t>一、原项目概况</w:t>
            </w:r>
          </w:p>
          <w:p w14:paraId="11E35EA1">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sz w:val="24"/>
                <w:lang w:val="en-US" w:eastAsia="zh-CN"/>
              </w:rPr>
            </w:pPr>
            <w:r>
              <w:rPr>
                <w:rFonts w:hint="eastAsia" w:cs="Times New Roman"/>
                <w:bCs/>
                <w:sz w:val="24"/>
                <w:lang w:eastAsia="zh-CN"/>
              </w:rPr>
              <w:t>邻水县筑成建材有限公司</w:t>
            </w:r>
            <w:r>
              <w:rPr>
                <w:rFonts w:hint="eastAsia" w:ascii="Times New Roman" w:hAnsi="Times New Roman" w:eastAsia="宋体" w:cs="Times New Roman"/>
                <w:bCs/>
                <w:sz w:val="24"/>
              </w:rPr>
              <w:t>于</w:t>
            </w:r>
            <w:r>
              <w:rPr>
                <w:rFonts w:hint="eastAsia" w:cs="Times New Roman"/>
                <w:bCs/>
                <w:sz w:val="24"/>
                <w:lang w:val="en-US" w:eastAsia="zh-CN"/>
              </w:rPr>
              <w:t>2020</w:t>
            </w:r>
            <w:r>
              <w:rPr>
                <w:rFonts w:hint="eastAsia" w:ascii="Times New Roman" w:hAnsi="Times New Roman" w:eastAsia="宋体" w:cs="Times New Roman"/>
                <w:bCs/>
                <w:sz w:val="24"/>
              </w:rPr>
              <w:t>年</w:t>
            </w:r>
            <w:r>
              <w:rPr>
                <w:rFonts w:hint="eastAsia" w:cs="Times New Roman"/>
                <w:bCs/>
                <w:sz w:val="24"/>
                <w:lang w:val="en-US" w:eastAsia="zh-CN"/>
              </w:rPr>
              <w:t>在邻水县石滓镇朱家寨村7组建设并投运了“</w:t>
            </w:r>
            <w:r>
              <w:rPr>
                <w:rFonts w:hint="eastAsia" w:cs="Times New Roman"/>
                <w:bCs/>
                <w:sz w:val="24"/>
                <w:lang w:eastAsia="zh-CN"/>
              </w:rPr>
              <w:t>筑成建材</w:t>
            </w:r>
            <w:r>
              <w:rPr>
                <w:rFonts w:hint="eastAsia" w:cs="Times New Roman"/>
                <w:bCs/>
                <w:sz w:val="24"/>
                <w:lang w:val="en-US" w:eastAsia="zh-CN"/>
              </w:rPr>
              <w:t>砂石加工项目”</w:t>
            </w:r>
            <w:r>
              <w:rPr>
                <w:rFonts w:hint="eastAsia" w:ascii="Times New Roman" w:hAnsi="Times New Roman" w:eastAsia="宋体" w:cs="Times New Roman"/>
                <w:bCs/>
                <w:sz w:val="24"/>
              </w:rPr>
              <w:t>（以下称“原有项目”）。原有项目</w:t>
            </w:r>
            <w:r>
              <w:rPr>
                <w:rFonts w:hint="eastAsia" w:ascii="Times New Roman" w:hAnsi="Times New Roman" w:cs="Times New Roman"/>
                <w:bCs/>
                <w:sz w:val="24"/>
                <w:lang w:val="en-US" w:eastAsia="zh-CN"/>
              </w:rPr>
              <w:t>于2019年10月取得环评批复（邻环建函〔2019〕40号）并于2020年12月通过项目竣工环境保护自主验收。</w:t>
            </w:r>
          </w:p>
          <w:p w14:paraId="3678F9DD">
            <w:pPr>
              <w:keepNext w:val="0"/>
              <w:keepLines w:val="0"/>
              <w:suppressLineNumbers w:val="0"/>
              <w:adjustRightInd w:val="0"/>
              <w:snapToGrid w:val="0"/>
              <w:spacing w:before="0" w:beforeAutospacing="0" w:after="0" w:afterAutospacing="0" w:line="360" w:lineRule="auto"/>
              <w:ind w:left="0" w:right="0" w:firstLine="480" w:firstLineChars="200"/>
              <w:rPr>
                <w:rFonts w:hint="eastAsia" w:cs="Times New Roman"/>
                <w:bCs/>
                <w:sz w:val="24"/>
                <w:lang w:val="en-US" w:eastAsia="zh-CN"/>
              </w:rPr>
            </w:pPr>
            <w:r>
              <w:rPr>
                <w:rFonts w:hint="eastAsia" w:cs="Times New Roman"/>
                <w:bCs/>
                <w:sz w:val="24"/>
                <w:lang w:val="en-US" w:eastAsia="zh-CN"/>
              </w:rPr>
              <w:t>根据现场踏勘，原有项目已经拆除，原有生产设备转移至本项目拟建设地块进行堆放。原有项目建设地块涉及荒地及林地，目前处于土地平整及生态恢复阶段。原有项目地块现状如下：</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81"/>
              <w:gridCol w:w="4181"/>
            </w:tblGrid>
            <w:tr w14:paraId="4A418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81" w:type="dxa"/>
                </w:tcPr>
                <w:p w14:paraId="3D85ABAF">
                  <w:pPr>
                    <w:pStyle w:val="2"/>
                    <w:keepNext w:val="0"/>
                    <w:keepLines w:val="0"/>
                    <w:suppressLineNumbers w:val="0"/>
                    <w:spacing w:before="0" w:beforeAutospacing="0" w:afterAutospacing="0"/>
                    <w:ind w:left="0" w:leftChars="0" w:right="0" w:firstLine="0" w:firstLineChars="0"/>
                    <w:rPr>
                      <w:rFonts w:hint="default"/>
                      <w:vertAlign w:val="baseline"/>
                      <w:lang w:val="en-US" w:eastAsia="zh-CN"/>
                    </w:rPr>
                  </w:pPr>
                  <w:r>
                    <w:rPr>
                      <w:rFonts w:hint="default" w:ascii="宋体" w:hAnsi="宋体" w:eastAsia="宋体" w:cs="宋体"/>
                      <w:sz w:val="24"/>
                      <w:szCs w:val="24"/>
                    </w:rPr>
                    <w:drawing>
                      <wp:inline distT="0" distB="0" distL="114300" distR="114300">
                        <wp:extent cx="2447925" cy="1835785"/>
                        <wp:effectExtent l="0" t="0" r="9525" b="12065"/>
                        <wp:docPr id="8" name="图片 3" descr="IMG_256"/>
                        <wp:cNvGraphicFramePr/>
                        <a:graphic xmlns:a="http://schemas.openxmlformats.org/drawingml/2006/main">
                          <a:graphicData uri="http://schemas.openxmlformats.org/drawingml/2006/picture">
                            <pic:pic xmlns:pic="http://schemas.openxmlformats.org/drawingml/2006/picture">
                              <pic:nvPicPr>
                                <pic:cNvPr id="8" name="图片 3" descr="IMG_256"/>
                                <pic:cNvPicPr/>
                              </pic:nvPicPr>
                              <pic:blipFill>
                                <a:blip r:embed="rId18"/>
                                <a:stretch>
                                  <a:fillRect/>
                                </a:stretch>
                              </pic:blipFill>
                              <pic:spPr>
                                <a:xfrm>
                                  <a:off x="0" y="0"/>
                                  <a:ext cx="2447925" cy="1835785"/>
                                </a:xfrm>
                                <a:prstGeom prst="rect">
                                  <a:avLst/>
                                </a:prstGeom>
                                <a:noFill/>
                                <a:ln w="9525">
                                  <a:noFill/>
                                </a:ln>
                              </pic:spPr>
                            </pic:pic>
                          </a:graphicData>
                        </a:graphic>
                      </wp:inline>
                    </w:drawing>
                  </w:r>
                </w:p>
              </w:tc>
              <w:tc>
                <w:tcPr>
                  <w:tcW w:w="4181" w:type="dxa"/>
                </w:tcPr>
                <w:p w14:paraId="458D1AEE">
                  <w:pPr>
                    <w:pStyle w:val="2"/>
                    <w:keepNext w:val="0"/>
                    <w:keepLines w:val="0"/>
                    <w:suppressLineNumbers w:val="0"/>
                    <w:spacing w:before="0" w:beforeAutospacing="0" w:afterAutospacing="0"/>
                    <w:ind w:left="0" w:leftChars="0" w:right="0" w:firstLine="0" w:firstLineChars="0"/>
                    <w:rPr>
                      <w:rFonts w:hint="default"/>
                      <w:vertAlign w:val="baseline"/>
                      <w:lang w:val="en-US" w:eastAsia="zh-CN"/>
                    </w:rPr>
                  </w:pPr>
                  <w:r>
                    <w:rPr>
                      <w:rFonts w:hint="default" w:ascii="宋体" w:hAnsi="宋体" w:eastAsia="宋体" w:cs="宋体"/>
                      <w:sz w:val="24"/>
                      <w:szCs w:val="24"/>
                    </w:rPr>
                    <w:drawing>
                      <wp:inline distT="0" distB="0" distL="114300" distR="114300">
                        <wp:extent cx="2449830" cy="1837690"/>
                        <wp:effectExtent l="0" t="0" r="7620" b="10160"/>
                        <wp:docPr id="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256"/>
                                <pic:cNvPicPr>
                                  <a:picLocks noChangeAspect="1"/>
                                </pic:cNvPicPr>
                              </pic:nvPicPr>
                              <pic:blipFill>
                                <a:blip r:embed="rId19"/>
                                <a:stretch>
                                  <a:fillRect/>
                                </a:stretch>
                              </pic:blipFill>
                              <pic:spPr>
                                <a:xfrm>
                                  <a:off x="0" y="0"/>
                                  <a:ext cx="2449830" cy="1837690"/>
                                </a:xfrm>
                                <a:prstGeom prst="rect">
                                  <a:avLst/>
                                </a:prstGeom>
                                <a:noFill/>
                                <a:ln w="9525">
                                  <a:noFill/>
                                </a:ln>
                              </pic:spPr>
                            </pic:pic>
                          </a:graphicData>
                        </a:graphic>
                      </wp:inline>
                    </w:drawing>
                  </w:r>
                </w:p>
              </w:tc>
            </w:tr>
          </w:tbl>
          <w:p w14:paraId="3A1E8702">
            <w:pPr>
              <w:pStyle w:val="2"/>
              <w:keepNext w:val="0"/>
              <w:keepLines w:val="0"/>
              <w:suppressLineNumbers w:val="0"/>
              <w:spacing w:before="0" w:beforeAutospacing="0" w:afterAutospacing="0"/>
              <w:ind w:left="0" w:leftChars="0" w:right="0" w:rightChars="0" w:firstLine="0" w:firstLineChars="0"/>
              <w:jc w:val="center"/>
              <w:rPr>
                <w:rFonts w:hint="default"/>
                <w:b/>
                <w:bCs/>
                <w:lang w:val="en-US" w:eastAsia="zh-CN"/>
              </w:rPr>
            </w:pPr>
            <w:r>
              <w:rPr>
                <w:rFonts w:hint="eastAsia"/>
                <w:b/>
                <w:bCs/>
                <w:lang w:val="en-US" w:eastAsia="zh-CN"/>
              </w:rPr>
              <w:t>图2-4  原有项目建设地块现状图</w:t>
            </w:r>
          </w:p>
          <w:p w14:paraId="57666571">
            <w:pPr>
              <w:pStyle w:val="62"/>
              <w:keepNext w:val="0"/>
              <w:keepLines w:val="0"/>
              <w:suppressLineNumbers w:val="0"/>
              <w:spacing w:before="0" w:beforeAutospacing="0" w:after="0" w:afterAutospacing="0" w:line="360" w:lineRule="auto"/>
              <w:ind w:left="0" w:right="0"/>
              <w:rPr>
                <w:rFonts w:hint="default"/>
                <w:b/>
                <w:bCs/>
                <w:sz w:val="24"/>
                <w:szCs w:val="24"/>
                <w:lang w:val="en-US" w:eastAsia="zh-CN"/>
              </w:rPr>
            </w:pPr>
            <w:r>
              <w:rPr>
                <w:rFonts w:hint="eastAsia"/>
                <w:b/>
                <w:bCs/>
                <w:sz w:val="24"/>
                <w:szCs w:val="24"/>
                <w:lang w:val="en-US" w:eastAsia="zh-CN"/>
              </w:rPr>
              <w:t>二、原有项目污染治理情况</w:t>
            </w:r>
          </w:p>
          <w:p w14:paraId="4C2E0C38">
            <w:pPr>
              <w:keepNext w:val="0"/>
              <w:keepLines w:val="0"/>
              <w:widowControl/>
              <w:suppressLineNumbers w:val="0"/>
              <w:spacing w:before="0" w:beforeAutospacing="0" w:after="0" w:afterAutospacing="0" w:line="360" w:lineRule="auto"/>
              <w:ind w:left="0" w:right="0" w:firstLine="480" w:firstLineChars="200"/>
              <w:rPr>
                <w:rFonts w:hint="default"/>
                <w:sz w:val="24"/>
                <w:szCs w:val="24"/>
                <w:lang w:val="en-US" w:eastAsia="zh-CN"/>
              </w:rPr>
            </w:pPr>
            <w:r>
              <w:rPr>
                <w:rFonts w:hint="eastAsia"/>
                <w:sz w:val="24"/>
                <w:szCs w:val="24"/>
                <w:lang w:val="en-US" w:eastAsia="zh-CN"/>
              </w:rPr>
              <w:t>根据现场踏勘，</w:t>
            </w:r>
            <w:r>
              <w:rPr>
                <w:rFonts w:hint="eastAsia" w:cs="Times New Roman"/>
                <w:bCs/>
                <w:sz w:val="24"/>
                <w:lang w:val="en-US" w:eastAsia="zh-CN"/>
              </w:rPr>
              <w:t>原有项目已经拆除，本次评价</w:t>
            </w:r>
            <w:r>
              <w:rPr>
                <w:rFonts w:hint="eastAsia"/>
                <w:sz w:val="24"/>
                <w:szCs w:val="24"/>
                <w:lang w:val="en-US" w:eastAsia="zh-CN"/>
              </w:rPr>
              <w:t>根据原有项目环评报告及批复、竣工环保验收报告及企业实际运营情况对原有项目污染治理情况作简单介绍。</w:t>
            </w:r>
          </w:p>
          <w:p w14:paraId="5A22BBFC">
            <w:pPr>
              <w:keepNext w:val="0"/>
              <w:keepLines w:val="0"/>
              <w:widowControl/>
              <w:suppressLineNumbers w:val="0"/>
              <w:spacing w:before="0" w:beforeAutospacing="0" w:after="0" w:afterAutospacing="0" w:line="360" w:lineRule="auto"/>
              <w:ind w:left="0" w:right="0" w:firstLine="482" w:firstLineChars="200"/>
              <w:rPr>
                <w:rFonts w:hint="eastAsia" w:ascii="Times New Roman" w:hAnsi="Times New Roman" w:eastAsia="宋体"/>
                <w:b/>
                <w:bCs/>
                <w:sz w:val="24"/>
                <w:lang w:val="en-US" w:eastAsia="zh-CN"/>
              </w:rPr>
            </w:pPr>
            <w:r>
              <w:rPr>
                <w:rFonts w:hint="eastAsia"/>
                <w:b/>
                <w:bCs/>
                <w:sz w:val="24"/>
                <w:szCs w:val="24"/>
                <w:lang w:val="en-US" w:eastAsia="zh-CN"/>
              </w:rPr>
              <w:t>1、废气治理设施</w:t>
            </w:r>
          </w:p>
          <w:p w14:paraId="6F3D866E">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表2-8  原有项目废气治理设施一览表</w:t>
            </w:r>
          </w:p>
          <w:tbl>
            <w:tblPr>
              <w:tblStyle w:val="26"/>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33"/>
              <w:gridCol w:w="1923"/>
              <w:gridCol w:w="1936"/>
              <w:gridCol w:w="3484"/>
            </w:tblGrid>
            <w:tr w14:paraId="64966D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33" w:type="dxa"/>
                  <w:tcBorders>
                    <w:tl2br w:val="nil"/>
                    <w:tr2bl w:val="nil"/>
                  </w:tcBorders>
                </w:tcPr>
                <w:p w14:paraId="4F3E0ECB">
                  <w:pPr>
                    <w:keepNext w:val="0"/>
                    <w:keepLines w:val="0"/>
                    <w:widowControl/>
                    <w:suppressLineNumbers w:val="0"/>
                    <w:spacing w:before="0" w:beforeAutospacing="0" w:after="0" w:afterAutospacing="0" w:line="360" w:lineRule="auto"/>
                    <w:ind w:left="0" w:leftChars="0" w:right="0" w:rightChars="0" w:firstLine="0" w:firstLineChars="0"/>
                    <w:jc w:val="center"/>
                    <w:rPr>
                      <w:rFonts w:hint="default" w:ascii="Times New Roman" w:hAnsi="Times New Roman"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t>序号</w:t>
                  </w:r>
                </w:p>
              </w:tc>
              <w:tc>
                <w:tcPr>
                  <w:tcW w:w="1923" w:type="dxa"/>
                  <w:tcBorders>
                    <w:tl2br w:val="nil"/>
                    <w:tr2bl w:val="nil"/>
                  </w:tcBorders>
                  <w:vAlign w:val="center"/>
                </w:tcPr>
                <w:p w14:paraId="2AFB4671">
                  <w:pPr>
                    <w:keepNext w:val="0"/>
                    <w:keepLines w:val="0"/>
                    <w:suppressLineNumbers w:val="0"/>
                    <w:spacing w:before="0" w:beforeAutospacing="0" w:after="0" w:afterAutospacing="0"/>
                    <w:ind w:left="0" w:leftChars="0" w:right="0" w:rightChars="0" w:firstLine="0" w:firstLineChars="0"/>
                    <w:jc w:val="center"/>
                    <w:outlineLvl w:val="0"/>
                    <w:rPr>
                      <w:rFonts w:hint="eastAsia" w:ascii="Times New Roman" w:hAnsi="Times New Roman" w:cs="Times New Roman"/>
                      <w:b/>
                      <w:bCs/>
                      <w:sz w:val="21"/>
                      <w:szCs w:val="21"/>
                      <w:vertAlign w:val="baseline"/>
                      <w:lang w:val="en-US" w:eastAsia="zh-CN"/>
                    </w:rPr>
                  </w:pPr>
                  <w:r>
                    <w:rPr>
                      <w:rFonts w:hint="eastAsia" w:ascii="Times New Roman" w:hAnsi="Times New Roman" w:eastAsia="宋体"/>
                      <w:b/>
                      <w:bCs/>
                      <w:color w:val="auto"/>
                      <w:sz w:val="21"/>
                      <w:szCs w:val="21"/>
                    </w:rPr>
                    <w:t>产污工序/位置</w:t>
                  </w:r>
                </w:p>
              </w:tc>
              <w:tc>
                <w:tcPr>
                  <w:tcW w:w="1936" w:type="dxa"/>
                  <w:tcBorders>
                    <w:tl2br w:val="nil"/>
                    <w:tr2bl w:val="nil"/>
                  </w:tcBorders>
                  <w:vAlign w:val="center"/>
                </w:tcPr>
                <w:p w14:paraId="5D28FB81">
                  <w:pPr>
                    <w:keepNext w:val="0"/>
                    <w:keepLines w:val="0"/>
                    <w:suppressLineNumbers w:val="0"/>
                    <w:spacing w:before="0" w:beforeAutospacing="0" w:after="0" w:afterAutospacing="0"/>
                    <w:ind w:left="0" w:leftChars="0" w:right="0" w:rightChars="0" w:firstLine="0" w:firstLineChars="0"/>
                    <w:jc w:val="center"/>
                    <w:outlineLvl w:val="0"/>
                    <w:rPr>
                      <w:rFonts w:hint="eastAsia" w:ascii="Times New Roman" w:hAnsi="Times New Roman" w:cs="Times New Roman"/>
                      <w:b/>
                      <w:bCs/>
                      <w:sz w:val="21"/>
                      <w:szCs w:val="21"/>
                      <w:vertAlign w:val="baseline"/>
                      <w:lang w:val="en-US" w:eastAsia="zh-CN"/>
                    </w:rPr>
                  </w:pPr>
                  <w:r>
                    <w:rPr>
                      <w:rFonts w:hint="eastAsia" w:ascii="Times New Roman" w:hAnsi="Times New Roman" w:eastAsia="宋体"/>
                      <w:b/>
                      <w:bCs/>
                      <w:color w:val="auto"/>
                      <w:sz w:val="21"/>
                      <w:szCs w:val="21"/>
                    </w:rPr>
                    <w:t>污染源名称</w:t>
                  </w:r>
                </w:p>
              </w:tc>
              <w:tc>
                <w:tcPr>
                  <w:tcW w:w="3484" w:type="dxa"/>
                  <w:tcBorders>
                    <w:tl2br w:val="nil"/>
                    <w:tr2bl w:val="nil"/>
                  </w:tcBorders>
                  <w:vAlign w:val="center"/>
                </w:tcPr>
                <w:p w14:paraId="7BFBEADE">
                  <w:pPr>
                    <w:keepNext w:val="0"/>
                    <w:keepLines w:val="0"/>
                    <w:suppressLineNumbers w:val="0"/>
                    <w:spacing w:before="0" w:beforeAutospacing="0" w:after="0" w:afterAutospacing="0"/>
                    <w:ind w:left="0" w:leftChars="0" w:right="0" w:rightChars="0" w:firstLine="0" w:firstLineChars="0"/>
                    <w:jc w:val="center"/>
                    <w:outlineLvl w:val="0"/>
                    <w:rPr>
                      <w:rFonts w:hint="eastAsia" w:ascii="Times New Roman" w:hAnsi="Times New Roman" w:cs="Times New Roman"/>
                      <w:b/>
                      <w:bCs/>
                      <w:sz w:val="21"/>
                      <w:szCs w:val="21"/>
                      <w:vertAlign w:val="baseline"/>
                      <w:lang w:val="en-US" w:eastAsia="zh-CN"/>
                    </w:rPr>
                  </w:pPr>
                  <w:r>
                    <w:rPr>
                      <w:rFonts w:hint="eastAsia" w:ascii="Times New Roman" w:hAnsi="Times New Roman" w:eastAsia="宋体"/>
                      <w:b/>
                      <w:bCs/>
                      <w:color w:val="auto"/>
                      <w:sz w:val="21"/>
                      <w:szCs w:val="21"/>
                    </w:rPr>
                    <w:t>污染物治理设施</w:t>
                  </w:r>
                </w:p>
              </w:tc>
            </w:tr>
            <w:tr w14:paraId="1A4C8A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33" w:type="dxa"/>
                  <w:tcBorders>
                    <w:tl2br w:val="nil"/>
                    <w:tr2bl w:val="nil"/>
                  </w:tcBorders>
                  <w:vAlign w:val="center"/>
                </w:tcPr>
                <w:p w14:paraId="58C1A677">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1923" w:type="dxa"/>
                  <w:tcBorders>
                    <w:tl2br w:val="nil"/>
                    <w:tr2bl w:val="nil"/>
                  </w:tcBorders>
                  <w:vAlign w:val="center"/>
                </w:tcPr>
                <w:p w14:paraId="14FA8E97">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生产车间</w:t>
                  </w:r>
                </w:p>
              </w:tc>
              <w:tc>
                <w:tcPr>
                  <w:tcW w:w="1936" w:type="dxa"/>
                  <w:tcBorders>
                    <w:tl2br w:val="nil"/>
                    <w:tr2bl w:val="nil"/>
                  </w:tcBorders>
                  <w:vAlign w:val="center"/>
                </w:tcPr>
                <w:p w14:paraId="6863FA3D">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车间粉尘废气</w:t>
                  </w:r>
                </w:p>
              </w:tc>
              <w:tc>
                <w:tcPr>
                  <w:tcW w:w="3484" w:type="dxa"/>
                  <w:tcBorders>
                    <w:tl2br w:val="nil"/>
                    <w:tr2bl w:val="nil"/>
                  </w:tcBorders>
                  <w:vAlign w:val="center"/>
                </w:tcPr>
                <w:p w14:paraId="1E7556A3">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lang w:val="en-US" w:eastAsia="zh-CN"/>
                    </w:rPr>
                    <w:t>采取水洗砂生产工艺，对生产车间进行密闭</w:t>
                  </w:r>
                </w:p>
              </w:tc>
            </w:tr>
            <w:tr w14:paraId="55A28F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33" w:type="dxa"/>
                  <w:tcBorders>
                    <w:tl2br w:val="nil"/>
                    <w:tr2bl w:val="nil"/>
                  </w:tcBorders>
                  <w:vAlign w:val="center"/>
                </w:tcPr>
                <w:p w14:paraId="0EBBCB8F">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2</w:t>
                  </w:r>
                </w:p>
              </w:tc>
              <w:tc>
                <w:tcPr>
                  <w:tcW w:w="1923" w:type="dxa"/>
                  <w:tcBorders>
                    <w:tl2br w:val="nil"/>
                    <w:tr2bl w:val="nil"/>
                  </w:tcBorders>
                  <w:vAlign w:val="center"/>
                </w:tcPr>
                <w:p w14:paraId="662B17DC">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堆场</w:t>
                  </w:r>
                </w:p>
              </w:tc>
              <w:tc>
                <w:tcPr>
                  <w:tcW w:w="1936" w:type="dxa"/>
                  <w:tcBorders>
                    <w:tl2br w:val="nil"/>
                    <w:tr2bl w:val="nil"/>
                  </w:tcBorders>
                  <w:vAlign w:val="center"/>
                </w:tcPr>
                <w:p w14:paraId="4996DC16">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堆存粉尘</w:t>
                  </w:r>
                </w:p>
              </w:tc>
              <w:tc>
                <w:tcPr>
                  <w:tcW w:w="3484" w:type="dxa"/>
                  <w:tcBorders>
                    <w:tl2br w:val="nil"/>
                    <w:tr2bl w:val="nil"/>
                  </w:tcBorders>
                  <w:vAlign w:val="center"/>
                </w:tcPr>
                <w:p w14:paraId="60F1C54C">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原料堆场和成品堆场设置围挡，物料表面铺设防尘网，同时设置两台雾炮机进行喷淋降尘</w:t>
                  </w:r>
                </w:p>
              </w:tc>
            </w:tr>
            <w:tr w14:paraId="0CD851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33" w:type="dxa"/>
                  <w:tcBorders>
                    <w:tl2br w:val="nil"/>
                    <w:tr2bl w:val="nil"/>
                  </w:tcBorders>
                  <w:vAlign w:val="center"/>
                </w:tcPr>
                <w:p w14:paraId="095C3BA4">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3</w:t>
                  </w:r>
                </w:p>
              </w:tc>
              <w:tc>
                <w:tcPr>
                  <w:tcW w:w="1923" w:type="dxa"/>
                  <w:tcBorders>
                    <w:tl2br w:val="nil"/>
                    <w:tr2bl w:val="nil"/>
                  </w:tcBorders>
                  <w:vAlign w:val="center"/>
                </w:tcPr>
                <w:p w14:paraId="77264433">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物料装卸及运输</w:t>
                  </w:r>
                </w:p>
              </w:tc>
              <w:tc>
                <w:tcPr>
                  <w:tcW w:w="1936" w:type="dxa"/>
                  <w:tcBorders>
                    <w:tl2br w:val="nil"/>
                    <w:tr2bl w:val="nil"/>
                  </w:tcBorders>
                  <w:vAlign w:val="center"/>
                </w:tcPr>
                <w:p w14:paraId="47F91C10">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装载粉尘和车辆运输扬尘</w:t>
                  </w:r>
                </w:p>
              </w:tc>
              <w:tc>
                <w:tcPr>
                  <w:tcW w:w="3484" w:type="dxa"/>
                  <w:tcBorders>
                    <w:tl2br w:val="nil"/>
                    <w:tr2bl w:val="nil"/>
                  </w:tcBorders>
                  <w:vAlign w:val="center"/>
                </w:tcPr>
                <w:p w14:paraId="4BBB9D37">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厂区设置洗车池，物料装卸过程采取喷淋降尘。加强日产管理，严禁超载，控制车速，装载物料的车用覆盖，防止</w:t>
                  </w:r>
                  <w:r>
                    <w:rPr>
                      <w:rFonts w:hint="eastAsia" w:cs="Times New Roman"/>
                      <w:sz w:val="21"/>
                      <w:szCs w:val="21"/>
                      <w:vertAlign w:val="baseline"/>
                      <w:lang w:val="en-US" w:eastAsia="zh-CN"/>
                    </w:rPr>
                    <w:t>洒落</w:t>
                  </w:r>
                  <w:r>
                    <w:rPr>
                      <w:rFonts w:hint="eastAsia" w:ascii="Times New Roman" w:hAnsi="Times New Roman" w:cs="Times New Roman"/>
                      <w:sz w:val="21"/>
                      <w:szCs w:val="21"/>
                      <w:vertAlign w:val="baseline"/>
                      <w:lang w:val="en-US" w:eastAsia="zh-CN"/>
                    </w:rPr>
                    <w:t>，并对道路进行人工洒水防尘</w:t>
                  </w:r>
                </w:p>
              </w:tc>
            </w:tr>
          </w:tbl>
          <w:p w14:paraId="49D1FA6A">
            <w:pPr>
              <w:keepNext w:val="0"/>
              <w:keepLines w:val="0"/>
              <w:pageBreakBefore w:val="0"/>
              <w:widowControl/>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2" w:firstLineChars="200"/>
              <w:textAlignment w:val="auto"/>
              <w:rPr>
                <w:rFonts w:hint="default"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2、废水治理设施</w:t>
            </w:r>
          </w:p>
          <w:p w14:paraId="76661486">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imes New Roman" w:hAnsi="Times New Roman" w:cs="Times New Roman"/>
                <w:b/>
                <w:bCs/>
                <w:sz w:val="21"/>
                <w:szCs w:val="21"/>
                <w:lang w:val="en-US" w:eastAsia="zh-CN"/>
              </w:rPr>
            </w:pPr>
          </w:p>
          <w:p w14:paraId="5B7252B3">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imes New Roman" w:hAnsi="Times New Roman" w:cs="Times New Roman"/>
                <w:b/>
                <w:bCs/>
                <w:sz w:val="21"/>
                <w:szCs w:val="21"/>
                <w:lang w:val="en-US" w:eastAsia="zh-CN"/>
              </w:rPr>
            </w:pPr>
          </w:p>
          <w:p w14:paraId="1FE053E7">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表2-9  原有项目废水治理设施一览表</w:t>
            </w:r>
          </w:p>
          <w:tbl>
            <w:tblPr>
              <w:tblStyle w:val="26"/>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33"/>
              <w:gridCol w:w="1923"/>
              <w:gridCol w:w="1936"/>
              <w:gridCol w:w="3484"/>
            </w:tblGrid>
            <w:tr w14:paraId="25F684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33" w:type="dxa"/>
                  <w:tcBorders>
                    <w:tl2br w:val="nil"/>
                    <w:tr2bl w:val="nil"/>
                  </w:tcBorders>
                </w:tcPr>
                <w:p w14:paraId="799606E0">
                  <w:pPr>
                    <w:keepNext w:val="0"/>
                    <w:keepLines w:val="0"/>
                    <w:widowControl/>
                    <w:suppressLineNumbers w:val="0"/>
                    <w:spacing w:before="0" w:beforeAutospacing="0" w:after="0" w:afterAutospacing="0" w:line="360" w:lineRule="auto"/>
                    <w:ind w:left="0" w:leftChars="0" w:right="0" w:rightChars="0" w:firstLine="0" w:firstLineChars="0"/>
                    <w:jc w:val="center"/>
                    <w:rPr>
                      <w:rFonts w:hint="default" w:ascii="Times New Roman" w:hAnsi="Times New Roman"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t>序号</w:t>
                  </w:r>
                </w:p>
              </w:tc>
              <w:tc>
                <w:tcPr>
                  <w:tcW w:w="1923" w:type="dxa"/>
                  <w:tcBorders>
                    <w:tl2br w:val="nil"/>
                    <w:tr2bl w:val="nil"/>
                  </w:tcBorders>
                  <w:vAlign w:val="center"/>
                </w:tcPr>
                <w:p w14:paraId="37E601AF">
                  <w:pPr>
                    <w:keepNext w:val="0"/>
                    <w:keepLines w:val="0"/>
                    <w:suppressLineNumbers w:val="0"/>
                    <w:spacing w:before="0" w:beforeAutospacing="0" w:after="0" w:afterAutospacing="0"/>
                    <w:ind w:left="0" w:leftChars="0" w:right="0" w:rightChars="0" w:firstLine="0" w:firstLineChars="0"/>
                    <w:jc w:val="center"/>
                    <w:outlineLvl w:val="0"/>
                    <w:rPr>
                      <w:rFonts w:hint="eastAsia" w:ascii="Times New Roman" w:hAnsi="Times New Roman" w:cs="Times New Roman"/>
                      <w:b/>
                      <w:bCs/>
                      <w:sz w:val="21"/>
                      <w:szCs w:val="21"/>
                      <w:vertAlign w:val="baseline"/>
                      <w:lang w:val="en-US" w:eastAsia="zh-CN"/>
                    </w:rPr>
                  </w:pPr>
                  <w:r>
                    <w:rPr>
                      <w:rFonts w:hint="eastAsia" w:ascii="Times New Roman" w:hAnsi="Times New Roman" w:eastAsia="宋体"/>
                      <w:b/>
                      <w:bCs/>
                      <w:color w:val="auto"/>
                      <w:sz w:val="21"/>
                      <w:szCs w:val="21"/>
                    </w:rPr>
                    <w:t>产污工序/位置</w:t>
                  </w:r>
                </w:p>
              </w:tc>
              <w:tc>
                <w:tcPr>
                  <w:tcW w:w="1936" w:type="dxa"/>
                  <w:tcBorders>
                    <w:tl2br w:val="nil"/>
                    <w:tr2bl w:val="nil"/>
                  </w:tcBorders>
                  <w:vAlign w:val="center"/>
                </w:tcPr>
                <w:p w14:paraId="3797362B">
                  <w:pPr>
                    <w:keepNext w:val="0"/>
                    <w:keepLines w:val="0"/>
                    <w:suppressLineNumbers w:val="0"/>
                    <w:spacing w:before="0" w:beforeAutospacing="0" w:after="0" w:afterAutospacing="0"/>
                    <w:ind w:left="0" w:leftChars="0" w:right="0" w:rightChars="0" w:firstLine="0" w:firstLineChars="0"/>
                    <w:jc w:val="center"/>
                    <w:outlineLvl w:val="0"/>
                    <w:rPr>
                      <w:rFonts w:hint="eastAsia" w:ascii="Times New Roman" w:hAnsi="Times New Roman" w:cs="Times New Roman"/>
                      <w:b/>
                      <w:bCs/>
                      <w:sz w:val="21"/>
                      <w:szCs w:val="21"/>
                      <w:vertAlign w:val="baseline"/>
                      <w:lang w:val="en-US" w:eastAsia="zh-CN"/>
                    </w:rPr>
                  </w:pPr>
                  <w:r>
                    <w:rPr>
                      <w:rFonts w:hint="eastAsia" w:ascii="Times New Roman" w:hAnsi="Times New Roman" w:eastAsia="宋体"/>
                      <w:b/>
                      <w:bCs/>
                      <w:color w:val="auto"/>
                      <w:sz w:val="21"/>
                      <w:szCs w:val="21"/>
                    </w:rPr>
                    <w:t>污染源名称</w:t>
                  </w:r>
                </w:p>
              </w:tc>
              <w:tc>
                <w:tcPr>
                  <w:tcW w:w="3484" w:type="dxa"/>
                  <w:tcBorders>
                    <w:tl2br w:val="nil"/>
                    <w:tr2bl w:val="nil"/>
                  </w:tcBorders>
                  <w:vAlign w:val="center"/>
                </w:tcPr>
                <w:p w14:paraId="2519D52E">
                  <w:pPr>
                    <w:keepNext w:val="0"/>
                    <w:keepLines w:val="0"/>
                    <w:suppressLineNumbers w:val="0"/>
                    <w:spacing w:before="0" w:beforeAutospacing="0" w:after="0" w:afterAutospacing="0"/>
                    <w:ind w:left="0" w:leftChars="0" w:right="0" w:rightChars="0" w:firstLine="0" w:firstLineChars="0"/>
                    <w:jc w:val="center"/>
                    <w:outlineLvl w:val="0"/>
                    <w:rPr>
                      <w:rFonts w:hint="eastAsia" w:ascii="Times New Roman" w:hAnsi="Times New Roman" w:cs="Times New Roman"/>
                      <w:b/>
                      <w:bCs/>
                      <w:sz w:val="21"/>
                      <w:szCs w:val="21"/>
                      <w:vertAlign w:val="baseline"/>
                      <w:lang w:val="en-US" w:eastAsia="zh-CN"/>
                    </w:rPr>
                  </w:pPr>
                  <w:r>
                    <w:rPr>
                      <w:rFonts w:hint="eastAsia" w:ascii="Times New Roman" w:hAnsi="Times New Roman" w:eastAsia="宋体"/>
                      <w:b/>
                      <w:bCs/>
                      <w:color w:val="auto"/>
                      <w:sz w:val="21"/>
                      <w:szCs w:val="21"/>
                    </w:rPr>
                    <w:t>污染物治理设施</w:t>
                  </w:r>
                </w:p>
              </w:tc>
            </w:tr>
            <w:tr w14:paraId="3D5729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33" w:type="dxa"/>
                  <w:tcBorders>
                    <w:tl2br w:val="nil"/>
                    <w:tr2bl w:val="nil"/>
                  </w:tcBorders>
                  <w:vAlign w:val="center"/>
                </w:tcPr>
                <w:p w14:paraId="220D6AE6">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1923" w:type="dxa"/>
                  <w:tcBorders>
                    <w:tl2br w:val="nil"/>
                    <w:tr2bl w:val="nil"/>
                  </w:tcBorders>
                  <w:vAlign w:val="center"/>
                </w:tcPr>
                <w:p w14:paraId="5930BA15">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生产车间</w:t>
                  </w:r>
                </w:p>
              </w:tc>
              <w:tc>
                <w:tcPr>
                  <w:tcW w:w="1936" w:type="dxa"/>
                  <w:tcBorders>
                    <w:tl2br w:val="nil"/>
                    <w:tr2bl w:val="nil"/>
                  </w:tcBorders>
                  <w:vAlign w:val="center"/>
                </w:tcPr>
                <w:p w14:paraId="0F3E16AF">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洗砂废水</w:t>
                  </w:r>
                </w:p>
              </w:tc>
              <w:tc>
                <w:tcPr>
                  <w:tcW w:w="3484" w:type="dxa"/>
                  <w:tcBorders>
                    <w:tl2br w:val="nil"/>
                    <w:tr2bl w:val="nil"/>
                  </w:tcBorders>
                  <w:vAlign w:val="center"/>
                </w:tcPr>
                <w:p w14:paraId="61EFCE95">
                  <w:pPr>
                    <w:keepNext w:val="0"/>
                    <w:keepLines w:val="0"/>
                    <w:widowControl/>
                    <w:suppressLineNumbers w:val="0"/>
                    <w:spacing w:before="0" w:beforeAutospacing="0" w:after="0" w:afterAutospacing="0" w:line="240" w:lineRule="auto"/>
                    <w:ind w:left="0" w:leftChars="0" w:right="0" w:rightChars="0" w:firstLine="0" w:firstLineChars="0"/>
                    <w:jc w:val="both"/>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lang w:val="en-US" w:eastAsia="zh-CN"/>
                    </w:rPr>
                    <w:t>设置了300m</w:t>
                  </w:r>
                  <w:r>
                    <w:rPr>
                      <w:rFonts w:hint="eastAsia" w:cs="Times New Roman"/>
                      <w:sz w:val="21"/>
                      <w:szCs w:val="21"/>
                      <w:vertAlign w:val="superscript"/>
                      <w:lang w:val="en-US" w:eastAsia="zh-CN"/>
                    </w:rPr>
                    <w:t>3</w:t>
                  </w:r>
                  <w:r>
                    <w:rPr>
                      <w:rFonts w:hint="eastAsia" w:ascii="Times New Roman" w:hAnsi="Times New Roman" w:cs="Times New Roman"/>
                      <w:sz w:val="21"/>
                      <w:szCs w:val="21"/>
                      <w:lang w:val="en-US" w:eastAsia="zh-CN"/>
                    </w:rPr>
                    <w:t>的三级沉淀池和1500m</w:t>
                  </w:r>
                  <w:r>
                    <w:rPr>
                      <w:rFonts w:hint="eastAsia" w:cs="Times New Roman"/>
                      <w:sz w:val="21"/>
                      <w:szCs w:val="21"/>
                      <w:vertAlign w:val="superscript"/>
                      <w:lang w:val="en-US" w:eastAsia="zh-CN"/>
                    </w:rPr>
                    <w:t>3</w:t>
                  </w:r>
                  <w:r>
                    <w:rPr>
                      <w:rFonts w:hint="eastAsia" w:ascii="Times New Roman" w:hAnsi="Times New Roman" w:cs="Times New Roman"/>
                      <w:sz w:val="21"/>
                      <w:szCs w:val="21"/>
                      <w:lang w:val="en-US" w:eastAsia="zh-CN"/>
                    </w:rPr>
                    <w:t>的清水池，项目洗砂废水通过排水管道进入三级沉淀池，废水经三级沉淀池沉淀处理后流入清水池，回用于生产，不外排</w:t>
                  </w:r>
                </w:p>
              </w:tc>
            </w:tr>
            <w:tr w14:paraId="51D3F0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33" w:type="dxa"/>
                  <w:tcBorders>
                    <w:tl2br w:val="nil"/>
                    <w:tr2bl w:val="nil"/>
                  </w:tcBorders>
                  <w:vAlign w:val="center"/>
                </w:tcPr>
                <w:p w14:paraId="38C3AC0A">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2</w:t>
                  </w:r>
                </w:p>
              </w:tc>
              <w:tc>
                <w:tcPr>
                  <w:tcW w:w="1923" w:type="dxa"/>
                  <w:tcBorders>
                    <w:tl2br w:val="nil"/>
                    <w:tr2bl w:val="nil"/>
                  </w:tcBorders>
                  <w:vAlign w:val="center"/>
                </w:tcPr>
                <w:p w14:paraId="739A031F">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车辆冲洗</w:t>
                  </w:r>
                </w:p>
              </w:tc>
              <w:tc>
                <w:tcPr>
                  <w:tcW w:w="1936" w:type="dxa"/>
                  <w:tcBorders>
                    <w:tl2br w:val="nil"/>
                    <w:tr2bl w:val="nil"/>
                  </w:tcBorders>
                  <w:vAlign w:val="center"/>
                </w:tcPr>
                <w:p w14:paraId="5F716072">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车辆冲洗废水</w:t>
                  </w:r>
                </w:p>
              </w:tc>
              <w:tc>
                <w:tcPr>
                  <w:tcW w:w="3484" w:type="dxa"/>
                  <w:vMerge w:val="restart"/>
                  <w:tcBorders>
                    <w:tl2br w:val="nil"/>
                    <w:tr2bl w:val="nil"/>
                  </w:tcBorders>
                  <w:vAlign w:val="center"/>
                </w:tcPr>
                <w:p w14:paraId="3BCB0400">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lang w:val="en-US" w:eastAsia="zh-CN"/>
                    </w:rPr>
                    <w:t>厂区出口设置U形槽、沉淀池，车辆冲洗废水和</w:t>
                  </w:r>
                  <w:r>
                    <w:rPr>
                      <w:rFonts w:hint="eastAsia" w:ascii="Times New Roman" w:hAnsi="Times New Roman" w:cs="Times New Roman"/>
                      <w:sz w:val="21"/>
                      <w:szCs w:val="21"/>
                      <w:vertAlign w:val="baseline"/>
                      <w:lang w:val="en-US" w:eastAsia="zh-CN"/>
                    </w:rPr>
                    <w:t>喷淋降尘废水</w:t>
                  </w:r>
                  <w:r>
                    <w:rPr>
                      <w:rFonts w:hint="eastAsia" w:ascii="Times New Roman" w:hAnsi="Times New Roman" w:cs="Times New Roman"/>
                      <w:sz w:val="21"/>
                      <w:szCs w:val="21"/>
                      <w:lang w:val="en-US" w:eastAsia="zh-CN"/>
                    </w:rPr>
                    <w:t>经沉淀处理后循环使用，不外排</w:t>
                  </w:r>
                </w:p>
              </w:tc>
            </w:tr>
            <w:tr w14:paraId="5D7AEC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33" w:type="dxa"/>
                  <w:tcBorders>
                    <w:tl2br w:val="nil"/>
                    <w:tr2bl w:val="nil"/>
                  </w:tcBorders>
                  <w:vAlign w:val="center"/>
                </w:tcPr>
                <w:p w14:paraId="003DF990">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sz w:val="21"/>
                      <w:szCs w:val="21"/>
                      <w:vertAlign w:val="baseline"/>
                      <w:lang w:val="en-US" w:eastAsia="zh-CN"/>
                    </w:rPr>
                  </w:pPr>
                  <w:r>
                    <w:rPr>
                      <w:rFonts w:hint="eastAsia" w:cs="Times New Roman"/>
                      <w:sz w:val="21"/>
                      <w:szCs w:val="21"/>
                      <w:vertAlign w:val="baseline"/>
                      <w:lang w:val="en-US" w:eastAsia="zh-CN"/>
                    </w:rPr>
                    <w:t>3</w:t>
                  </w:r>
                </w:p>
              </w:tc>
              <w:tc>
                <w:tcPr>
                  <w:tcW w:w="1923" w:type="dxa"/>
                  <w:tcBorders>
                    <w:tl2br w:val="nil"/>
                    <w:tr2bl w:val="nil"/>
                  </w:tcBorders>
                  <w:vAlign w:val="center"/>
                </w:tcPr>
                <w:p w14:paraId="37AB8637">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喷淋降尘</w:t>
                  </w:r>
                </w:p>
              </w:tc>
              <w:tc>
                <w:tcPr>
                  <w:tcW w:w="1936" w:type="dxa"/>
                  <w:tcBorders>
                    <w:tl2br w:val="nil"/>
                    <w:tr2bl w:val="nil"/>
                  </w:tcBorders>
                  <w:vAlign w:val="center"/>
                </w:tcPr>
                <w:p w14:paraId="4C70AD3B">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喷淋降尘废水</w:t>
                  </w:r>
                </w:p>
              </w:tc>
              <w:tc>
                <w:tcPr>
                  <w:tcW w:w="3484" w:type="dxa"/>
                  <w:vMerge w:val="continue"/>
                  <w:tcBorders>
                    <w:tl2br w:val="nil"/>
                    <w:tr2bl w:val="nil"/>
                  </w:tcBorders>
                  <w:vAlign w:val="center"/>
                </w:tcPr>
                <w:p w14:paraId="3CCFE3D7">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imes New Roman" w:hAnsi="Times New Roman" w:cs="Times New Roman"/>
                      <w:sz w:val="21"/>
                      <w:szCs w:val="21"/>
                      <w:vertAlign w:val="baseline"/>
                      <w:lang w:val="en-US" w:eastAsia="zh-CN"/>
                    </w:rPr>
                  </w:pPr>
                </w:p>
              </w:tc>
            </w:tr>
            <w:tr w14:paraId="464F42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33" w:type="dxa"/>
                  <w:tcBorders>
                    <w:tl2br w:val="nil"/>
                    <w:tr2bl w:val="nil"/>
                  </w:tcBorders>
                  <w:vAlign w:val="center"/>
                </w:tcPr>
                <w:p w14:paraId="16FC40A7">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sz w:val="21"/>
                      <w:szCs w:val="21"/>
                      <w:vertAlign w:val="baseline"/>
                      <w:lang w:val="en-US" w:eastAsia="zh-CN"/>
                    </w:rPr>
                  </w:pPr>
                  <w:r>
                    <w:rPr>
                      <w:rFonts w:hint="eastAsia" w:cs="Times New Roman"/>
                      <w:sz w:val="21"/>
                      <w:szCs w:val="21"/>
                      <w:vertAlign w:val="baseline"/>
                      <w:lang w:val="en-US" w:eastAsia="zh-CN"/>
                    </w:rPr>
                    <w:t>4</w:t>
                  </w:r>
                </w:p>
              </w:tc>
              <w:tc>
                <w:tcPr>
                  <w:tcW w:w="1923" w:type="dxa"/>
                  <w:tcBorders>
                    <w:tl2br w:val="nil"/>
                    <w:tr2bl w:val="nil"/>
                  </w:tcBorders>
                  <w:vAlign w:val="center"/>
                </w:tcPr>
                <w:p w14:paraId="5EDE8E54">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办公生活</w:t>
                  </w:r>
                </w:p>
              </w:tc>
              <w:tc>
                <w:tcPr>
                  <w:tcW w:w="1936" w:type="dxa"/>
                  <w:tcBorders>
                    <w:tl2br w:val="nil"/>
                    <w:tr2bl w:val="nil"/>
                  </w:tcBorders>
                  <w:vAlign w:val="center"/>
                </w:tcPr>
                <w:p w14:paraId="3FC42C69">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生活污水</w:t>
                  </w:r>
                </w:p>
              </w:tc>
              <w:tc>
                <w:tcPr>
                  <w:tcW w:w="3484" w:type="dxa"/>
                  <w:tcBorders>
                    <w:tl2br w:val="nil"/>
                    <w:tr2bl w:val="nil"/>
                  </w:tcBorders>
                  <w:vAlign w:val="center"/>
                </w:tcPr>
                <w:p w14:paraId="5726E539">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sz w:val="21"/>
                      <w:szCs w:val="21"/>
                      <w:vertAlign w:val="baseline"/>
                      <w:lang w:val="en-US" w:eastAsia="zh-CN"/>
                    </w:rPr>
                  </w:pPr>
                  <w:r>
                    <w:rPr>
                      <w:rFonts w:hint="eastAsia" w:cs="Times New Roman"/>
                      <w:sz w:val="21"/>
                      <w:szCs w:val="21"/>
                      <w:lang w:val="en-US" w:eastAsia="zh-CN"/>
                    </w:rPr>
                    <w:t>生活污水</w:t>
                  </w:r>
                  <w:r>
                    <w:rPr>
                      <w:rFonts w:hint="eastAsia" w:ascii="Times New Roman" w:hAnsi="Times New Roman" w:cs="Times New Roman"/>
                      <w:sz w:val="21"/>
                      <w:szCs w:val="21"/>
                      <w:lang w:val="en-US" w:eastAsia="zh-CN"/>
                    </w:rPr>
                    <w:t>经</w:t>
                  </w:r>
                  <w:r>
                    <w:rPr>
                      <w:rFonts w:hint="eastAsia" w:cs="Times New Roman"/>
                      <w:sz w:val="21"/>
                      <w:szCs w:val="21"/>
                      <w:lang w:val="en-US" w:eastAsia="zh-CN"/>
                    </w:rPr>
                    <w:t>预处理池</w:t>
                  </w:r>
                  <w:r>
                    <w:rPr>
                      <w:rFonts w:hint="eastAsia" w:ascii="Times New Roman" w:hAnsi="Times New Roman" w:cs="Times New Roman"/>
                      <w:sz w:val="21"/>
                      <w:szCs w:val="21"/>
                      <w:lang w:val="en-US" w:eastAsia="zh-CN"/>
                    </w:rPr>
                    <w:t>处理后</w:t>
                  </w:r>
                  <w:r>
                    <w:rPr>
                      <w:rFonts w:hint="eastAsia" w:cs="Times New Roman"/>
                      <w:sz w:val="21"/>
                      <w:szCs w:val="21"/>
                      <w:lang w:val="en-US" w:eastAsia="zh-CN"/>
                    </w:rPr>
                    <w:t>用于农灌</w:t>
                  </w:r>
                </w:p>
              </w:tc>
            </w:tr>
          </w:tbl>
          <w:p w14:paraId="1F7FE346">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120" w:beforeLines="50" w:beforeAutospacing="0" w:after="0" w:afterAutospacing="0" w:line="360" w:lineRule="auto"/>
              <w:ind w:left="0" w:right="0" w:firstLine="482" w:firstLineChars="200"/>
              <w:textAlignment w:val="auto"/>
              <w:rPr>
                <w:rFonts w:hint="default"/>
                <w:b/>
                <w:bCs/>
                <w:sz w:val="24"/>
                <w:lang w:val="en-US" w:eastAsia="zh-CN"/>
              </w:rPr>
            </w:pPr>
            <w:r>
              <w:rPr>
                <w:rFonts w:hint="eastAsia"/>
                <w:b/>
                <w:bCs/>
                <w:sz w:val="24"/>
                <w:lang w:val="en-US" w:eastAsia="zh-CN"/>
              </w:rPr>
              <w:t>3、噪声治理设施</w:t>
            </w:r>
          </w:p>
          <w:p w14:paraId="5CBAC719">
            <w:pPr>
              <w:keepNext w:val="0"/>
              <w:keepLines w:val="0"/>
              <w:suppressLineNumbers w:val="0"/>
              <w:autoSpaceDE w:val="0"/>
              <w:autoSpaceDN w:val="0"/>
              <w:spacing w:before="0" w:beforeAutospacing="0" w:after="0" w:afterAutospacing="0" w:line="360" w:lineRule="auto"/>
              <w:ind w:left="0" w:right="0"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项目选用低噪声设备；生产厂区北、东、西三面及顶部采用彩钢棚封闭，并将污泥泵、板框压滤机等高噪声设备布置在厂区中央，安装时对设备基础安装减振垫进行减振。加强车辆运输和物料装卸过程管理，尽量降低车辆运输和物料在装卸过程中产生的噪声，厂区周围种植绿化</w:t>
            </w:r>
            <w:r>
              <w:rPr>
                <w:rFonts w:hint="eastAsia" w:cs="Times New Roman"/>
                <w:sz w:val="24"/>
                <w:lang w:val="en-US" w:eastAsia="zh-CN"/>
              </w:rPr>
              <w:t>；</w:t>
            </w:r>
            <w:r>
              <w:rPr>
                <w:rFonts w:hint="eastAsia" w:ascii="Times New Roman" w:hAnsi="Times New Roman" w:eastAsia="宋体" w:cs="Times New Roman"/>
                <w:sz w:val="24"/>
                <w:lang w:val="en-US" w:eastAsia="zh-CN"/>
              </w:rPr>
              <w:t>合理安排生产时间，夜间不生产。</w:t>
            </w:r>
          </w:p>
          <w:p w14:paraId="1710A821">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120" w:beforeLines="50" w:beforeAutospacing="0" w:after="0" w:afterAutospacing="0" w:line="360" w:lineRule="auto"/>
              <w:ind w:left="0" w:right="0" w:firstLine="482" w:firstLineChars="200"/>
              <w:textAlignment w:val="auto"/>
              <w:rPr>
                <w:rFonts w:hint="eastAsia" w:ascii="Times New Roman" w:hAnsi="Times New Roman" w:eastAsia="宋体" w:cs="Times New Roman"/>
                <w:b/>
                <w:bCs/>
                <w:sz w:val="24"/>
                <w:lang w:val="en-US" w:eastAsia="zh-CN"/>
              </w:rPr>
            </w:pPr>
            <w:r>
              <w:rPr>
                <w:rFonts w:hint="eastAsia" w:ascii="Times New Roman" w:hAnsi="Times New Roman" w:eastAsia="宋体" w:cs="Times New Roman"/>
                <w:b/>
                <w:bCs/>
                <w:sz w:val="24"/>
                <w:lang w:val="en-US" w:eastAsia="zh-CN"/>
              </w:rPr>
              <w:t>4、固废处置措施</w:t>
            </w:r>
          </w:p>
          <w:p w14:paraId="3EEFBA83">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生活垃圾由环卫统一清运。污泥经板框压滤机脱水后暂存于污泥临时堆场，交邻水县石滓大字红砖厂作制砖原料。废含油棉纱手套和废油桶暂存于危险废物暂存间，定期交有相应资质的单位进行处置。</w:t>
            </w:r>
          </w:p>
          <w:p w14:paraId="5AF1D4C3">
            <w:pPr>
              <w:keepNext w:val="0"/>
              <w:keepLines w:val="0"/>
              <w:numPr>
                <w:ilvl w:val="0"/>
                <w:numId w:val="0"/>
              </w:numPr>
              <w:suppressLineNumbers w:val="0"/>
              <w:autoSpaceDE w:val="0"/>
              <w:autoSpaceDN w:val="0"/>
              <w:spacing w:before="120" w:beforeLines="50" w:beforeAutospacing="0" w:after="0" w:afterAutospacing="0" w:line="360" w:lineRule="auto"/>
              <w:ind w:left="0" w:right="0"/>
              <w:rPr>
                <w:rFonts w:hint="default" w:ascii="Times New Roman" w:hAnsi="Times New Roman" w:eastAsia="宋体"/>
                <w:b/>
                <w:bCs/>
                <w:sz w:val="24"/>
                <w:lang w:val="en-US" w:eastAsia="zh-CN"/>
              </w:rPr>
            </w:pPr>
            <w:r>
              <w:rPr>
                <w:rFonts w:hint="eastAsia"/>
                <w:b/>
                <w:bCs/>
                <w:sz w:val="24"/>
                <w:lang w:val="en-US" w:eastAsia="zh-CN"/>
              </w:rPr>
              <w:t>三</w:t>
            </w:r>
            <w:r>
              <w:rPr>
                <w:rFonts w:hint="eastAsia" w:ascii="Times New Roman" w:hAnsi="Times New Roman" w:eastAsia="宋体"/>
                <w:b/>
                <w:bCs/>
                <w:sz w:val="24"/>
                <w:lang w:val="en-US" w:eastAsia="zh-CN"/>
              </w:rPr>
              <w:t>、</w:t>
            </w:r>
            <w:r>
              <w:rPr>
                <w:rFonts w:hint="eastAsia" w:ascii="Times New Roman" w:hAnsi="Times New Roman" w:eastAsia="宋体"/>
                <w:b/>
                <w:bCs/>
                <w:sz w:val="24"/>
              </w:rPr>
              <w:t>原有项目</w:t>
            </w:r>
            <w:r>
              <w:rPr>
                <w:rFonts w:hint="default" w:ascii="Times New Roman" w:hAnsi="Times New Roman" w:eastAsia="宋体"/>
                <w:b/>
                <w:bCs/>
                <w:sz w:val="24"/>
              </w:rPr>
              <w:t>存在的主要环境问题</w:t>
            </w:r>
            <w:r>
              <w:rPr>
                <w:rFonts w:hint="eastAsia" w:ascii="Times New Roman" w:hAnsi="Times New Roman" w:eastAsia="宋体"/>
                <w:b/>
                <w:bCs/>
                <w:sz w:val="24"/>
                <w:lang w:val="en-US" w:eastAsia="zh-CN"/>
              </w:rPr>
              <w:t>及整改措施</w:t>
            </w:r>
          </w:p>
          <w:p w14:paraId="0DEEDC08">
            <w:pPr>
              <w:pStyle w:val="11"/>
              <w:keepNext w:val="0"/>
              <w:keepLines w:val="0"/>
              <w:suppressLineNumbers w:val="0"/>
              <w:spacing w:before="120" w:beforeLines="50" w:beforeAutospacing="0" w:after="0" w:afterAutospacing="0"/>
              <w:ind w:left="0"/>
              <w:jc w:val="center"/>
              <w:rPr>
                <w:rFonts w:hint="default" w:ascii="Times New Roman" w:hAnsi="Times New Roman" w:eastAsia="宋体"/>
                <w:b/>
                <w:bCs/>
                <w:color w:val="auto"/>
                <w:sz w:val="21"/>
                <w:szCs w:val="21"/>
              </w:rPr>
            </w:pPr>
            <w:r>
              <w:rPr>
                <w:rFonts w:hint="eastAsia" w:ascii="Times New Roman" w:hAnsi="Times New Roman" w:eastAsia="宋体"/>
                <w:b/>
                <w:bCs/>
                <w:color w:val="auto"/>
                <w:sz w:val="21"/>
                <w:szCs w:val="21"/>
              </w:rPr>
              <w:t>表2-</w:t>
            </w:r>
            <w:r>
              <w:rPr>
                <w:rFonts w:hint="eastAsia"/>
                <w:b/>
                <w:bCs/>
                <w:color w:val="auto"/>
                <w:sz w:val="21"/>
                <w:szCs w:val="21"/>
                <w:lang w:val="en-US" w:eastAsia="zh-CN"/>
              </w:rPr>
              <w:t>10</w:t>
            </w:r>
            <w:r>
              <w:rPr>
                <w:rFonts w:hint="eastAsia" w:ascii="Times New Roman" w:hAnsi="Times New Roman" w:eastAsia="宋体"/>
                <w:b/>
                <w:bCs/>
                <w:color w:val="auto"/>
                <w:sz w:val="21"/>
                <w:szCs w:val="21"/>
              </w:rPr>
              <w:t xml:space="preserve">  </w:t>
            </w:r>
            <w:r>
              <w:rPr>
                <w:rFonts w:hint="eastAsia" w:eastAsia="宋体"/>
                <w:b/>
                <w:bCs/>
                <w:color w:val="auto"/>
                <w:sz w:val="21"/>
                <w:szCs w:val="21"/>
                <w:lang w:val="en-US" w:eastAsia="zh-CN"/>
              </w:rPr>
              <w:t>原有项目</w:t>
            </w:r>
            <w:r>
              <w:rPr>
                <w:rFonts w:hint="eastAsia" w:ascii="Times New Roman" w:hAnsi="Times New Roman" w:eastAsia="宋体"/>
                <w:b/>
                <w:bCs/>
                <w:color w:val="auto"/>
                <w:sz w:val="21"/>
                <w:szCs w:val="21"/>
              </w:rPr>
              <w:t>存在的主要环境问题及“以新带老”措施一览表</w:t>
            </w:r>
          </w:p>
          <w:tbl>
            <w:tblPr>
              <w:tblStyle w:val="25"/>
              <w:tblW w:w="499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73"/>
              <w:gridCol w:w="4068"/>
              <w:gridCol w:w="3541"/>
            </w:tblGrid>
            <w:tr w14:paraId="6B567B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1" w:type="pct"/>
                  <w:tcBorders>
                    <w:tl2br w:val="nil"/>
                    <w:tr2bl w:val="nil"/>
                  </w:tcBorders>
                  <w:vAlign w:val="center"/>
                </w:tcPr>
                <w:p w14:paraId="49E4438E">
                  <w:pPr>
                    <w:pStyle w:val="11"/>
                    <w:keepNext w:val="0"/>
                    <w:keepLines w:val="0"/>
                    <w:suppressLineNumbers w:val="0"/>
                    <w:spacing w:beforeAutospacing="0" w:after="0" w:afterAutospacing="0"/>
                    <w:ind w:left="0"/>
                    <w:jc w:val="center"/>
                    <w:rPr>
                      <w:rFonts w:hint="default" w:ascii="Times New Roman" w:hAnsi="Times New Roman" w:eastAsia="宋体"/>
                      <w:b/>
                      <w:bCs/>
                      <w:color w:val="auto"/>
                      <w:szCs w:val="21"/>
                    </w:rPr>
                  </w:pPr>
                  <w:r>
                    <w:rPr>
                      <w:rFonts w:hint="eastAsia" w:ascii="Times New Roman" w:hAnsi="Times New Roman" w:eastAsia="宋体"/>
                      <w:b/>
                      <w:bCs/>
                      <w:color w:val="auto"/>
                      <w:szCs w:val="21"/>
                    </w:rPr>
                    <w:t>序号</w:t>
                  </w:r>
                </w:p>
              </w:tc>
              <w:tc>
                <w:tcPr>
                  <w:tcW w:w="2426" w:type="pct"/>
                  <w:tcBorders>
                    <w:tl2br w:val="nil"/>
                    <w:tr2bl w:val="nil"/>
                  </w:tcBorders>
                  <w:vAlign w:val="center"/>
                </w:tcPr>
                <w:p w14:paraId="7BA97367">
                  <w:pPr>
                    <w:pStyle w:val="11"/>
                    <w:keepNext w:val="0"/>
                    <w:keepLines w:val="0"/>
                    <w:suppressLineNumbers w:val="0"/>
                    <w:spacing w:beforeAutospacing="0" w:after="0" w:afterAutospacing="0"/>
                    <w:ind w:left="0"/>
                    <w:jc w:val="center"/>
                    <w:rPr>
                      <w:rFonts w:hint="default" w:ascii="Times New Roman" w:hAnsi="Times New Roman" w:eastAsia="宋体"/>
                      <w:b/>
                      <w:bCs/>
                      <w:color w:val="auto"/>
                      <w:szCs w:val="21"/>
                    </w:rPr>
                  </w:pPr>
                  <w:r>
                    <w:rPr>
                      <w:rFonts w:hint="eastAsia" w:eastAsia="宋体"/>
                      <w:b/>
                      <w:bCs/>
                      <w:color w:val="auto"/>
                      <w:szCs w:val="21"/>
                      <w:lang w:val="en-US" w:eastAsia="zh-CN"/>
                    </w:rPr>
                    <w:t>原有项目</w:t>
                  </w:r>
                  <w:r>
                    <w:rPr>
                      <w:rFonts w:hint="eastAsia" w:ascii="Times New Roman" w:hAnsi="Times New Roman" w:eastAsia="宋体"/>
                      <w:b/>
                      <w:bCs/>
                      <w:color w:val="auto"/>
                      <w:szCs w:val="21"/>
                    </w:rPr>
                    <w:t>存在的</w:t>
                  </w:r>
                  <w:r>
                    <w:rPr>
                      <w:rFonts w:hint="eastAsia" w:eastAsia="宋体"/>
                      <w:b/>
                      <w:bCs/>
                      <w:color w:val="auto"/>
                      <w:szCs w:val="21"/>
                      <w:lang w:val="en-US" w:eastAsia="zh-CN"/>
                    </w:rPr>
                    <w:t>环境</w:t>
                  </w:r>
                  <w:r>
                    <w:rPr>
                      <w:rFonts w:hint="eastAsia" w:ascii="Times New Roman" w:hAnsi="Times New Roman" w:eastAsia="宋体"/>
                      <w:b/>
                      <w:bCs/>
                      <w:color w:val="auto"/>
                      <w:szCs w:val="21"/>
                    </w:rPr>
                    <w:t>问题</w:t>
                  </w:r>
                </w:p>
              </w:tc>
              <w:tc>
                <w:tcPr>
                  <w:tcW w:w="2111" w:type="pct"/>
                  <w:tcBorders>
                    <w:tl2br w:val="nil"/>
                    <w:tr2bl w:val="nil"/>
                  </w:tcBorders>
                  <w:vAlign w:val="center"/>
                </w:tcPr>
                <w:p w14:paraId="44C5E499">
                  <w:pPr>
                    <w:pStyle w:val="11"/>
                    <w:keepNext w:val="0"/>
                    <w:keepLines w:val="0"/>
                    <w:suppressLineNumbers w:val="0"/>
                    <w:spacing w:beforeAutospacing="0" w:after="0" w:afterAutospacing="0"/>
                    <w:ind w:left="0"/>
                    <w:jc w:val="center"/>
                    <w:rPr>
                      <w:rFonts w:hint="default" w:ascii="Times New Roman" w:hAnsi="Times New Roman" w:eastAsia="宋体"/>
                      <w:b/>
                      <w:bCs/>
                      <w:color w:val="auto"/>
                      <w:szCs w:val="21"/>
                    </w:rPr>
                  </w:pPr>
                  <w:r>
                    <w:rPr>
                      <w:rFonts w:hint="eastAsia" w:ascii="Times New Roman" w:hAnsi="Times New Roman" w:eastAsia="宋体"/>
                      <w:b/>
                      <w:bCs/>
                      <w:color w:val="auto"/>
                      <w:szCs w:val="21"/>
                    </w:rPr>
                    <w:t>“以新带老”措施</w:t>
                  </w:r>
                </w:p>
              </w:tc>
            </w:tr>
            <w:tr w14:paraId="7F0A63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1" w:type="pct"/>
                  <w:tcBorders>
                    <w:tl2br w:val="nil"/>
                    <w:tr2bl w:val="nil"/>
                  </w:tcBorders>
                  <w:vAlign w:val="center"/>
                </w:tcPr>
                <w:p w14:paraId="17BC61C1">
                  <w:pPr>
                    <w:pStyle w:val="11"/>
                    <w:keepNext w:val="0"/>
                    <w:keepLines w:val="0"/>
                    <w:suppressLineNumbers w:val="0"/>
                    <w:spacing w:beforeAutospacing="0" w:after="0" w:afterAutospacing="0"/>
                    <w:ind w:left="0" w:leftChars="0" w:right="0" w:rightChars="0" w:firstLine="0" w:firstLineChars="0"/>
                    <w:jc w:val="center"/>
                    <w:rPr>
                      <w:rFonts w:hint="default" w:ascii="Times New Roman" w:hAnsi="Times New Roman" w:eastAsia="宋体"/>
                      <w:color w:val="auto"/>
                      <w:szCs w:val="21"/>
                    </w:rPr>
                  </w:pPr>
                  <w:r>
                    <w:rPr>
                      <w:rFonts w:hint="eastAsia" w:ascii="Times New Roman" w:hAnsi="Times New Roman" w:eastAsia="宋体"/>
                      <w:color w:val="auto"/>
                      <w:szCs w:val="21"/>
                    </w:rPr>
                    <w:t>1</w:t>
                  </w:r>
                </w:p>
              </w:tc>
              <w:tc>
                <w:tcPr>
                  <w:tcW w:w="2426" w:type="pct"/>
                  <w:tcBorders>
                    <w:tl2br w:val="nil"/>
                    <w:tr2bl w:val="nil"/>
                  </w:tcBorders>
                  <w:vAlign w:val="center"/>
                </w:tcPr>
                <w:p w14:paraId="1EC3B0E0">
                  <w:pPr>
                    <w:pStyle w:val="14"/>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olor w:val="auto"/>
                      <w:sz w:val="21"/>
                      <w:szCs w:val="21"/>
                      <w:lang w:val="en-US"/>
                    </w:rPr>
                  </w:pPr>
                  <w:r>
                    <w:rPr>
                      <w:rFonts w:hint="eastAsia" w:ascii="Times New Roman" w:hAnsi="Times New Roman" w:eastAsia="宋体" w:cs="Times New Roman"/>
                      <w:color w:val="auto"/>
                      <w:sz w:val="21"/>
                      <w:szCs w:val="21"/>
                      <w:lang w:val="en-US" w:eastAsia="zh-CN"/>
                    </w:rPr>
                    <w:t>原有项目建设地块涉及荒地及林地，目前该地块还遗留有部分建筑设施</w:t>
                  </w:r>
                </w:p>
              </w:tc>
              <w:tc>
                <w:tcPr>
                  <w:tcW w:w="2111" w:type="pct"/>
                  <w:tcBorders>
                    <w:tl2br w:val="nil"/>
                    <w:tr2bl w:val="nil"/>
                  </w:tcBorders>
                  <w:vAlign w:val="center"/>
                </w:tcPr>
                <w:p w14:paraId="03D3DBD6">
                  <w:pPr>
                    <w:pStyle w:val="11"/>
                    <w:keepNext w:val="0"/>
                    <w:keepLines w:val="0"/>
                    <w:suppressLineNumbers w:val="0"/>
                    <w:spacing w:beforeAutospacing="0" w:after="0" w:afterAutospacing="0"/>
                    <w:ind w:left="0" w:leftChars="0" w:right="0" w:rightChars="0" w:firstLine="0" w:firstLineChars="0"/>
                    <w:jc w:val="center"/>
                    <w:rPr>
                      <w:rFonts w:hint="default" w:ascii="Times New Roman" w:hAnsi="Times New Roman" w:eastAsia="宋体"/>
                      <w:color w:val="auto"/>
                      <w:sz w:val="21"/>
                      <w:szCs w:val="21"/>
                      <w:lang w:val="en-US" w:eastAsia="zh-CN"/>
                    </w:rPr>
                  </w:pPr>
                  <w:r>
                    <w:rPr>
                      <w:rFonts w:hint="eastAsia" w:eastAsia="宋体"/>
                      <w:color w:val="auto"/>
                      <w:sz w:val="21"/>
                      <w:szCs w:val="21"/>
                      <w:lang w:val="en-US" w:eastAsia="zh-CN"/>
                    </w:rPr>
                    <w:t>本项目投产前完成原有项目地块的生态恢复工作</w:t>
                  </w:r>
                </w:p>
              </w:tc>
            </w:tr>
          </w:tbl>
          <w:p w14:paraId="68276C34">
            <w:pPr>
              <w:keepNext w:val="0"/>
              <w:keepLines w:val="0"/>
              <w:pageBreakBefore w:val="0"/>
              <w:widowControl w:val="0"/>
              <w:suppressLineNumbers w:val="0"/>
              <w:kinsoku/>
              <w:wordWrap/>
              <w:overflowPunct/>
              <w:topLinePunct w:val="0"/>
              <w:autoSpaceDE w:val="0"/>
              <w:autoSpaceDN w:val="0"/>
              <w:bidi w:val="0"/>
              <w:adjustRightInd/>
              <w:snapToGrid/>
              <w:spacing w:before="157" w:beforeLines="50" w:beforeAutospacing="0" w:after="0" w:afterAutospacing="0" w:line="360" w:lineRule="auto"/>
              <w:ind w:left="0" w:right="0"/>
              <w:textAlignment w:val="auto"/>
              <w:rPr>
                <w:rFonts w:hint="default" w:ascii="Times New Roman" w:hAnsi="Times New Roman" w:eastAsia="宋体"/>
                <w:b/>
                <w:bCs/>
                <w:sz w:val="24"/>
              </w:rPr>
            </w:pPr>
            <w:r>
              <w:rPr>
                <w:rFonts w:hint="eastAsia"/>
                <w:b/>
                <w:bCs/>
                <w:sz w:val="24"/>
                <w:lang w:val="en-US" w:eastAsia="zh-CN"/>
              </w:rPr>
              <w:t>四</w:t>
            </w:r>
            <w:r>
              <w:rPr>
                <w:rFonts w:hint="eastAsia" w:ascii="Times New Roman" w:hAnsi="Times New Roman" w:eastAsia="宋体"/>
                <w:b/>
                <w:bCs/>
                <w:sz w:val="24"/>
              </w:rPr>
              <w:t>、本</w:t>
            </w:r>
            <w:r>
              <w:rPr>
                <w:rFonts w:hint="default" w:ascii="Times New Roman" w:hAnsi="Times New Roman" w:eastAsia="宋体"/>
                <w:b/>
                <w:bCs/>
                <w:sz w:val="24"/>
              </w:rPr>
              <w:t>项目拟租</w:t>
            </w:r>
            <w:r>
              <w:rPr>
                <w:rFonts w:hint="eastAsia"/>
                <w:b/>
                <w:bCs/>
                <w:sz w:val="24"/>
                <w:lang w:val="en-US" w:eastAsia="zh-CN"/>
              </w:rPr>
              <w:t>地块</w:t>
            </w:r>
            <w:r>
              <w:rPr>
                <w:rFonts w:hint="eastAsia" w:ascii="Times New Roman" w:hAnsi="Times New Roman" w:eastAsia="宋体"/>
                <w:b/>
                <w:bCs/>
                <w:sz w:val="24"/>
              </w:rPr>
              <w:t>存在的原有环境污染问题</w:t>
            </w:r>
          </w:p>
          <w:p w14:paraId="0014A9F9">
            <w:pPr>
              <w:keepNext w:val="0"/>
              <w:keepLines w:val="0"/>
              <w:suppressLineNumbers w:val="0"/>
              <w:autoSpaceDE w:val="0"/>
              <w:autoSpaceDN w:val="0"/>
              <w:spacing w:before="0" w:beforeAutospacing="0" w:after="0" w:afterAutospacing="0" w:line="360" w:lineRule="auto"/>
              <w:ind w:left="0" w:right="0" w:firstLine="480" w:firstLineChars="200"/>
              <w:rPr>
                <w:rFonts w:hint="default" w:ascii="Times New Roman" w:hAnsi="Times New Roman" w:eastAsia="宋体"/>
                <w:sz w:val="21"/>
                <w:szCs w:val="21"/>
              </w:rPr>
            </w:pPr>
            <w:r>
              <w:rPr>
                <w:rFonts w:hint="eastAsia" w:ascii="Times New Roman" w:hAnsi="Times New Roman" w:eastAsia="宋体"/>
                <w:sz w:val="24"/>
              </w:rPr>
              <w:t>本</w:t>
            </w:r>
            <w:r>
              <w:rPr>
                <w:rFonts w:hint="default" w:ascii="Times New Roman" w:hAnsi="Times New Roman" w:eastAsia="宋体"/>
                <w:sz w:val="24"/>
              </w:rPr>
              <w:t>项目拟租赁</w:t>
            </w:r>
            <w:r>
              <w:rPr>
                <w:rFonts w:hint="eastAsia" w:cs="Times New Roman"/>
                <w:sz w:val="24"/>
                <w:lang w:val="en-US" w:eastAsia="zh-CN"/>
              </w:rPr>
              <w:t>大宇红砖厂闲置的工矿用地进行建设，目前该地块已完成土地平整工作</w:t>
            </w:r>
            <w:r>
              <w:rPr>
                <w:rFonts w:hint="eastAsia" w:ascii="Times New Roman" w:hAnsi="Times New Roman" w:eastAsia="宋体"/>
                <w:sz w:val="24"/>
              </w:rPr>
              <w:t>。根据现场踏勘，</w:t>
            </w:r>
            <w:r>
              <w:rPr>
                <w:rFonts w:hint="eastAsia" w:ascii="Times New Roman" w:hAnsi="Times New Roman" w:eastAsia="宋体"/>
                <w:sz w:val="21"/>
                <w:szCs w:val="21"/>
              </w:rPr>
              <w:t>本项目新址未遗留环境污染，不存在原有污染情况</w:t>
            </w:r>
            <w:r>
              <w:rPr>
                <w:rFonts w:hint="eastAsia" w:ascii="Times New Roman" w:hAnsi="Times New Roman" w:eastAsia="宋体"/>
                <w:sz w:val="21"/>
                <w:szCs w:val="21"/>
                <w:lang w:eastAsia="zh-CN"/>
              </w:rPr>
              <w:t>，</w:t>
            </w:r>
            <w:r>
              <w:rPr>
                <w:rFonts w:hint="eastAsia" w:ascii="Times New Roman" w:hAnsi="Times New Roman" w:eastAsia="宋体"/>
                <w:sz w:val="21"/>
                <w:szCs w:val="21"/>
              </w:rPr>
              <w:t>本项目租赁</w:t>
            </w:r>
            <w:r>
              <w:rPr>
                <w:rFonts w:hint="eastAsia" w:ascii="Times New Roman" w:hAnsi="Times New Roman" w:eastAsia="宋体"/>
                <w:sz w:val="21"/>
                <w:szCs w:val="21"/>
                <w:lang w:val="en-US" w:eastAsia="zh-CN"/>
              </w:rPr>
              <w:t>地块</w:t>
            </w:r>
            <w:r>
              <w:rPr>
                <w:rFonts w:hint="eastAsia" w:ascii="Times New Roman" w:hAnsi="Times New Roman" w:eastAsia="宋体"/>
                <w:sz w:val="21"/>
                <w:szCs w:val="21"/>
              </w:rPr>
              <w:t>现状如下图所示。</w:t>
            </w:r>
          </w:p>
          <w:tbl>
            <w:tblPr>
              <w:tblStyle w:val="26"/>
              <w:tblW w:w="83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75"/>
              <w:gridCol w:w="4205"/>
            </w:tblGrid>
            <w:tr w14:paraId="3974B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0" w:type="dxa"/>
                </w:tcPr>
                <w:p w14:paraId="4AA590A3">
                  <w:pPr>
                    <w:keepNext w:val="0"/>
                    <w:keepLines w:val="0"/>
                    <w:widowControl/>
                    <w:suppressLineNumbers w:val="0"/>
                    <w:snapToGrid w:val="0"/>
                    <w:spacing w:before="0" w:beforeAutospacing="0" w:after="0" w:afterAutospacing="0"/>
                    <w:ind w:left="0" w:right="0"/>
                    <w:jc w:val="center"/>
                    <w:rPr>
                      <w:rFonts w:hint="eastAsia" w:ascii="Times New Roman" w:hAnsi="Times New Roman" w:eastAsia="宋体"/>
                      <w:lang w:eastAsia="zh-CN"/>
                    </w:rPr>
                  </w:pPr>
                  <w:r>
                    <w:rPr>
                      <w:rFonts w:hint="eastAsia" w:ascii="Times New Roman" w:hAnsi="Times New Roman" w:eastAsia="宋体"/>
                      <w:lang w:eastAsia="zh-CN"/>
                    </w:rPr>
                    <w:drawing>
                      <wp:inline distT="0" distB="0" distL="114300" distR="114300">
                        <wp:extent cx="2509520" cy="2593975"/>
                        <wp:effectExtent l="0" t="0" r="5080" b="15875"/>
                        <wp:docPr id="11" name="图片 11" descr="c250074caaed12bc2d1be2475f7e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250074caaed12bc2d1be2475f7e1f0"/>
                                <pic:cNvPicPr>
                                  <a:picLocks noChangeAspect="1"/>
                                </pic:cNvPicPr>
                              </pic:nvPicPr>
                              <pic:blipFill>
                                <a:blip r:embed="rId20"/>
                                <a:stretch>
                                  <a:fillRect/>
                                </a:stretch>
                              </pic:blipFill>
                              <pic:spPr>
                                <a:xfrm>
                                  <a:off x="0" y="0"/>
                                  <a:ext cx="2509520" cy="2593975"/>
                                </a:xfrm>
                                <a:prstGeom prst="rect">
                                  <a:avLst/>
                                </a:prstGeom>
                              </pic:spPr>
                            </pic:pic>
                          </a:graphicData>
                        </a:graphic>
                      </wp:inline>
                    </w:drawing>
                  </w:r>
                </w:p>
              </w:tc>
              <w:tc>
                <w:tcPr>
                  <w:tcW w:w="4191" w:type="dxa"/>
                </w:tcPr>
                <w:p w14:paraId="159FEB2C">
                  <w:pPr>
                    <w:keepNext w:val="0"/>
                    <w:keepLines w:val="0"/>
                    <w:widowControl/>
                    <w:suppressLineNumbers w:val="0"/>
                    <w:snapToGrid w:val="0"/>
                    <w:spacing w:before="0" w:beforeAutospacing="0" w:after="0" w:afterAutospacing="0"/>
                    <w:ind w:left="0" w:right="0"/>
                    <w:jc w:val="center"/>
                    <w:rPr>
                      <w:rFonts w:hint="eastAsia" w:ascii="Times New Roman" w:hAnsi="Times New Roman" w:eastAsia="宋体"/>
                      <w:lang w:eastAsia="zh-CN"/>
                    </w:rPr>
                  </w:pPr>
                  <w:r>
                    <w:rPr>
                      <w:rFonts w:hint="eastAsia" w:ascii="Times New Roman" w:hAnsi="Times New Roman" w:eastAsia="宋体"/>
                      <w:lang w:eastAsia="zh-CN"/>
                    </w:rPr>
                    <w:drawing>
                      <wp:inline distT="0" distB="0" distL="114300" distR="114300">
                        <wp:extent cx="2521585" cy="2562225"/>
                        <wp:effectExtent l="0" t="0" r="12065" b="9525"/>
                        <wp:docPr id="12" name="图片 12" descr="c78ea11d56a3f55e2f777e5a8cac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78ea11d56a3f55e2f777e5a8cac629"/>
                                <pic:cNvPicPr>
                                  <a:picLocks noChangeAspect="1"/>
                                </pic:cNvPicPr>
                              </pic:nvPicPr>
                              <pic:blipFill>
                                <a:blip r:embed="rId21"/>
                                <a:stretch>
                                  <a:fillRect/>
                                </a:stretch>
                              </pic:blipFill>
                              <pic:spPr>
                                <a:xfrm>
                                  <a:off x="0" y="0"/>
                                  <a:ext cx="2521585" cy="2562225"/>
                                </a:xfrm>
                                <a:prstGeom prst="rect">
                                  <a:avLst/>
                                </a:prstGeom>
                              </pic:spPr>
                            </pic:pic>
                          </a:graphicData>
                        </a:graphic>
                      </wp:inline>
                    </w:drawing>
                  </w:r>
                </w:p>
              </w:tc>
            </w:tr>
          </w:tbl>
          <w:p w14:paraId="382C8390">
            <w:pPr>
              <w:keepNext w:val="0"/>
              <w:keepLines w:val="0"/>
              <w:suppressLineNumbers w:val="0"/>
              <w:autoSpaceDE w:val="0"/>
              <w:autoSpaceDN w:val="0"/>
              <w:spacing w:before="0" w:beforeAutospacing="0" w:after="0" w:afterAutospacing="0" w:line="360" w:lineRule="auto"/>
              <w:ind w:left="0" w:leftChars="0" w:right="0" w:rightChars="0" w:firstLine="0" w:firstLineChars="0"/>
              <w:jc w:val="center"/>
              <w:rPr>
                <w:rFonts w:hint="eastAsia" w:ascii="Times New Roman" w:hAnsi="Times New Roman" w:eastAsia="宋体"/>
                <w:color w:val="0000FF"/>
                <w:sz w:val="24"/>
                <w:lang w:val="en-US" w:eastAsia="zh-CN"/>
              </w:rPr>
            </w:pPr>
            <w:r>
              <w:rPr>
                <w:rFonts w:hint="default" w:ascii="Times New Roman" w:hAnsi="Times New Roman" w:eastAsia="宋体"/>
                <w:b/>
                <w:bCs/>
              </w:rPr>
              <w:t>图</w:t>
            </w:r>
            <w:r>
              <w:rPr>
                <w:rFonts w:hint="eastAsia" w:ascii="Times New Roman" w:hAnsi="Times New Roman" w:eastAsia="宋体"/>
                <w:b/>
                <w:bCs/>
              </w:rPr>
              <w:t>2-</w:t>
            </w:r>
            <w:r>
              <w:rPr>
                <w:rFonts w:hint="eastAsia"/>
                <w:b/>
                <w:bCs/>
                <w:lang w:val="en-US" w:eastAsia="zh-CN"/>
              </w:rPr>
              <w:t>5</w:t>
            </w:r>
            <w:r>
              <w:rPr>
                <w:rFonts w:hint="eastAsia" w:ascii="Times New Roman" w:hAnsi="Times New Roman" w:eastAsia="宋体"/>
                <w:b/>
                <w:bCs/>
              </w:rPr>
              <w:t xml:space="preserve">  本项目租赁</w:t>
            </w:r>
            <w:r>
              <w:rPr>
                <w:rFonts w:hint="eastAsia" w:ascii="Times New Roman" w:hAnsi="Times New Roman" w:eastAsia="宋体"/>
                <w:b/>
                <w:bCs/>
                <w:lang w:val="en-US" w:eastAsia="zh-CN"/>
              </w:rPr>
              <w:t>地块</w:t>
            </w:r>
            <w:r>
              <w:rPr>
                <w:rFonts w:hint="eastAsia" w:ascii="Times New Roman" w:hAnsi="Times New Roman" w:eastAsia="宋体"/>
                <w:b/>
                <w:bCs/>
              </w:rPr>
              <w:t>现状图</w:t>
            </w:r>
          </w:p>
          <w:p w14:paraId="26FAE541">
            <w:pPr>
              <w:keepNext w:val="0"/>
              <w:keepLines w:val="0"/>
              <w:suppressLineNumbers w:val="0"/>
              <w:autoSpaceDE w:val="0"/>
              <w:autoSpaceDN w:val="0"/>
              <w:spacing w:before="0" w:beforeAutospacing="0" w:after="0" w:afterAutospacing="0" w:line="360" w:lineRule="auto"/>
              <w:ind w:left="0" w:right="0"/>
              <w:rPr>
                <w:rFonts w:hint="eastAsia" w:ascii="Times New Roman" w:hAnsi="Times New Roman" w:eastAsia="宋体"/>
                <w:color w:val="0000FF"/>
                <w:sz w:val="24"/>
                <w:lang w:val="en-US" w:eastAsia="zh-CN"/>
              </w:rPr>
            </w:pPr>
          </w:p>
          <w:p w14:paraId="6D00AA2B">
            <w:pPr>
              <w:pStyle w:val="32"/>
              <w:keepNext w:val="0"/>
              <w:keepLines w:val="0"/>
              <w:suppressLineNumbers w:val="0"/>
              <w:spacing w:before="0" w:beforeAutospacing="0" w:afterAutospacing="0"/>
              <w:ind w:right="0"/>
              <w:rPr>
                <w:rFonts w:hint="eastAsia" w:ascii="Times New Roman" w:hAnsi="Times New Roman" w:eastAsia="宋体" w:cs="Times New Roman"/>
              </w:rPr>
            </w:pPr>
          </w:p>
        </w:tc>
      </w:tr>
    </w:tbl>
    <w:p w14:paraId="1FF9768A">
      <w:pPr>
        <w:pStyle w:val="22"/>
        <w:jc w:val="center"/>
        <w:rPr>
          <w:rFonts w:ascii="Times New Roman" w:hAnsi="Times New Roman" w:eastAsia="宋体"/>
          <w:snapToGrid w:val="0"/>
          <w:sz w:val="36"/>
          <w:szCs w:val="36"/>
        </w:rPr>
        <w:sectPr>
          <w:footerReference r:id="rId6" w:type="default"/>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43530098">
      <w:pPr>
        <w:pStyle w:val="6"/>
        <w:keepNext/>
        <w:keepLines w:val="0"/>
        <w:pageBreakBefore w:val="0"/>
        <w:widowControl w:val="0"/>
        <w:kinsoku/>
        <w:wordWrap/>
        <w:overflowPunct w:val="0"/>
        <w:topLinePunct w:val="0"/>
        <w:autoSpaceDE/>
        <w:autoSpaceDN/>
        <w:bidi w:val="0"/>
        <w:adjustRightInd/>
        <w:snapToGrid w:val="0"/>
        <w:spacing w:before="0" w:after="0" w:line="240" w:lineRule="auto"/>
        <w:ind w:left="0" w:firstLine="0"/>
        <w:textAlignment w:val="auto"/>
        <w:rPr>
          <w:rFonts w:hint="eastAsia" w:ascii="Times New Roman" w:hAnsi="Times New Roman" w:eastAsia="宋体"/>
          <w:color w:val="auto"/>
        </w:rPr>
      </w:pPr>
      <w:bookmarkStart w:id="6" w:name="_Toc10881"/>
      <w:r>
        <w:rPr>
          <w:rFonts w:hint="eastAsia" w:ascii="Times New Roman" w:hAnsi="Times New Roman" w:eastAsia="宋体"/>
          <w:color w:val="auto"/>
        </w:rPr>
        <w:t>三、区域环境质量现状、环境保护目标及评价标准</w:t>
      </w:r>
      <w:bookmarkEnd w:id="6"/>
    </w:p>
    <w:tbl>
      <w:tblPr>
        <w:tblStyle w:val="25"/>
        <w:tblpPr w:leftFromText="180" w:rightFromText="180" w:vertAnchor="text" w:horzAnchor="page" w:tblpX="1510" w:tblpY="576"/>
        <w:tblOverlap w:val="never"/>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2"/>
        <w:gridCol w:w="8609"/>
      </w:tblGrid>
      <w:tr w14:paraId="35A8FF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21" w:hRule="atLeast"/>
        </w:trPr>
        <w:tc>
          <w:tcPr>
            <w:tcW w:w="404" w:type="dxa"/>
            <w:noWrap w:val="0"/>
            <w:vAlign w:val="center"/>
          </w:tcPr>
          <w:p w14:paraId="086CF680">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kern w:val="0"/>
                <w:sz w:val="24"/>
              </w:rPr>
            </w:pPr>
            <w:r>
              <w:rPr>
                <w:rFonts w:hint="eastAsia" w:ascii="Times New Roman" w:hAnsi="Times New Roman" w:eastAsia="宋体" w:cs="宋体"/>
                <w:kern w:val="0"/>
                <w:sz w:val="24"/>
              </w:rPr>
              <w:t>区域</w:t>
            </w:r>
          </w:p>
          <w:p w14:paraId="138D99BC">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kern w:val="0"/>
                <w:sz w:val="24"/>
              </w:rPr>
            </w:pPr>
            <w:r>
              <w:rPr>
                <w:rFonts w:hint="eastAsia" w:ascii="Times New Roman" w:hAnsi="Times New Roman" w:eastAsia="宋体" w:cs="宋体"/>
                <w:kern w:val="0"/>
                <w:sz w:val="24"/>
              </w:rPr>
              <w:t>环境</w:t>
            </w:r>
          </w:p>
          <w:p w14:paraId="693A7B09">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kern w:val="0"/>
                <w:sz w:val="24"/>
              </w:rPr>
            </w:pPr>
            <w:r>
              <w:rPr>
                <w:rFonts w:hint="eastAsia" w:ascii="Times New Roman" w:hAnsi="Times New Roman" w:eastAsia="宋体" w:cs="宋体"/>
                <w:kern w:val="0"/>
                <w:sz w:val="24"/>
              </w:rPr>
              <w:t>质量</w:t>
            </w:r>
          </w:p>
          <w:p w14:paraId="20C9EDC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kern w:val="0"/>
                <w:szCs w:val="21"/>
              </w:rPr>
            </w:pPr>
            <w:r>
              <w:rPr>
                <w:rFonts w:hint="eastAsia" w:ascii="Times New Roman" w:hAnsi="Times New Roman" w:eastAsia="宋体" w:cs="宋体"/>
                <w:kern w:val="0"/>
                <w:sz w:val="24"/>
              </w:rPr>
              <w:t>现状</w:t>
            </w:r>
          </w:p>
        </w:tc>
        <w:tc>
          <w:tcPr>
            <w:tcW w:w="8657" w:type="dxa"/>
            <w:noWrap w:val="0"/>
            <w:vAlign w:val="center"/>
          </w:tcPr>
          <w:p w14:paraId="15C55024">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sz w:val="24"/>
              </w:rPr>
            </w:pPr>
            <w:r>
              <w:rPr>
                <w:rFonts w:hint="default" w:ascii="Times New Roman" w:hAnsi="Times New Roman" w:eastAsia="宋体" w:cs="Times New Roman"/>
                <w:b/>
                <w:bCs/>
                <w:sz w:val="24"/>
              </w:rPr>
              <w:t>一</w:t>
            </w:r>
            <w:r>
              <w:rPr>
                <w:rFonts w:hint="eastAsia" w:ascii="Times New Roman" w:hAnsi="Times New Roman" w:eastAsia="宋体" w:cs="Times New Roman"/>
                <w:b/>
                <w:bCs/>
                <w:sz w:val="24"/>
              </w:rPr>
              <w:t>、大气环境</w:t>
            </w:r>
            <w:r>
              <w:rPr>
                <w:rFonts w:hint="default" w:ascii="Times New Roman" w:hAnsi="Times New Roman" w:eastAsia="宋体" w:cs="Times New Roman"/>
                <w:b/>
                <w:bCs/>
                <w:sz w:val="24"/>
              </w:rPr>
              <w:t>质量</w:t>
            </w:r>
          </w:p>
          <w:p w14:paraId="0E9DF399">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sz w:val="24"/>
              </w:rPr>
            </w:pPr>
            <w:r>
              <w:rPr>
                <w:rFonts w:hint="default" w:ascii="Times New Roman" w:hAnsi="Times New Roman" w:eastAsia="宋体" w:cs="Times New Roman"/>
                <w:kern w:val="0"/>
                <w:sz w:val="24"/>
                <w:lang w:bidi="ar"/>
              </w:rPr>
              <w:t>本项目位于</w:t>
            </w:r>
            <w:r>
              <w:rPr>
                <w:rFonts w:hint="eastAsia" w:ascii="Times New Roman" w:hAnsi="Times New Roman" w:eastAsia="宋体" w:cs="Times New Roman"/>
                <w:kern w:val="0"/>
                <w:sz w:val="24"/>
                <w:lang w:bidi="ar"/>
              </w:rPr>
              <w:t>广安市邻水县</w:t>
            </w:r>
            <w:r>
              <w:rPr>
                <w:rFonts w:hint="default" w:ascii="Times New Roman" w:hAnsi="Times New Roman" w:eastAsia="宋体" w:cs="Times New Roman"/>
                <w:kern w:val="0"/>
                <w:sz w:val="24"/>
                <w:lang w:bidi="ar"/>
              </w:rPr>
              <w:t>，为了解本项目所在区域大气环境质量现状，本次评价引用生态环境主管部门公开发布的质量数据，符合《建设项目环境影响报告表编制技术指南（污染影响类）（试行）》中数据引用要求（常规污染物可引用与建设项目距离近的有效数据，包括近3年的规划环境影响评价的监测数据，国家、地方环境空气质量监测网数据或生态环境主管部门公开发布的质量数据等），引用具有代表性和有效性。</w:t>
            </w:r>
            <w:r>
              <w:rPr>
                <w:rFonts w:hint="eastAsia" w:ascii="Times New Roman" w:hAnsi="Times New Roman" w:eastAsia="宋体" w:cs="Times New Roman"/>
                <w:kern w:val="0"/>
                <w:sz w:val="24"/>
                <w:lang w:val="en-US" w:eastAsia="zh-CN" w:bidi="ar"/>
              </w:rPr>
              <w:t>污</w:t>
            </w:r>
            <w:r>
              <w:rPr>
                <w:rFonts w:hint="eastAsia" w:ascii="Times New Roman" w:hAnsi="Times New Roman" w:eastAsia="宋体" w:cs="Times New Roman"/>
                <w:sz w:val="24"/>
              </w:rPr>
              <w:t>染物全部达标即为城市环境空气质量达标。</w:t>
            </w:r>
          </w:p>
          <w:p w14:paraId="43C72C0A">
            <w:pPr>
              <w:pStyle w:val="1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default" w:ascii="Times New Roman" w:hAnsi="Times New Roman" w:eastAsia="宋体"/>
                <w:sz w:val="24"/>
              </w:rPr>
            </w:pPr>
            <w:r>
              <w:rPr>
                <w:rFonts w:hint="eastAsia"/>
                <w:sz w:val="24"/>
                <w:lang w:val="en-US" w:eastAsia="zh-CN"/>
              </w:rPr>
              <w:t>邻水县为广安市下属区县，</w:t>
            </w:r>
            <w:r>
              <w:rPr>
                <w:rFonts w:hint="default" w:ascii="Times New Roman" w:hAnsi="Times New Roman" w:eastAsia="宋体"/>
                <w:sz w:val="24"/>
              </w:rPr>
              <w:t>根据生态环境部环境工程评估中心官方网站环境影响评价网</w:t>
            </w:r>
            <w:r>
              <w:rPr>
                <w:rFonts w:hint="eastAsia"/>
                <w:sz w:val="24"/>
                <w:lang w:eastAsia="zh-CN"/>
              </w:rPr>
              <w:t>（http://data.lem.org.cn/eamds/apply/tostepone.html）</w:t>
            </w:r>
            <w:r>
              <w:rPr>
                <w:rFonts w:hint="default" w:ascii="Times New Roman" w:hAnsi="Times New Roman" w:eastAsia="宋体"/>
                <w:sz w:val="24"/>
              </w:rPr>
              <w:t>查询可知，广安市2024年SO</w:t>
            </w:r>
            <w:r>
              <w:rPr>
                <w:rFonts w:hint="default" w:ascii="Times New Roman" w:hAnsi="Times New Roman" w:eastAsia="宋体"/>
                <w:sz w:val="24"/>
                <w:vertAlign w:val="subscript"/>
              </w:rPr>
              <w:t>2</w:t>
            </w:r>
            <w:r>
              <w:rPr>
                <w:rFonts w:hint="default" w:ascii="Times New Roman" w:hAnsi="Times New Roman" w:eastAsia="宋体"/>
                <w:sz w:val="24"/>
              </w:rPr>
              <w:t>、NO</w:t>
            </w:r>
            <w:r>
              <w:rPr>
                <w:rFonts w:hint="default" w:ascii="Times New Roman" w:hAnsi="Times New Roman" w:eastAsia="宋体"/>
                <w:sz w:val="24"/>
                <w:vertAlign w:val="subscript"/>
              </w:rPr>
              <w:t>2</w:t>
            </w:r>
            <w:r>
              <w:rPr>
                <w:rFonts w:hint="default" w:ascii="Times New Roman" w:hAnsi="Times New Roman" w:eastAsia="宋体"/>
                <w:sz w:val="24"/>
              </w:rPr>
              <w:t>、PM</w:t>
            </w:r>
            <w:r>
              <w:rPr>
                <w:rFonts w:hint="default" w:ascii="Times New Roman" w:hAnsi="Times New Roman" w:eastAsia="宋体"/>
                <w:sz w:val="24"/>
                <w:vertAlign w:val="subscript"/>
              </w:rPr>
              <w:t>10</w:t>
            </w:r>
            <w:r>
              <w:rPr>
                <w:rFonts w:hint="default" w:ascii="Times New Roman" w:hAnsi="Times New Roman" w:eastAsia="宋体"/>
                <w:sz w:val="24"/>
              </w:rPr>
              <w:t>、PM</w:t>
            </w:r>
            <w:r>
              <w:rPr>
                <w:rFonts w:hint="default" w:ascii="Times New Roman" w:hAnsi="Times New Roman" w:eastAsia="宋体"/>
                <w:sz w:val="24"/>
                <w:vertAlign w:val="subscript"/>
              </w:rPr>
              <w:t>2.5</w:t>
            </w:r>
            <w:r>
              <w:rPr>
                <w:rFonts w:hint="default" w:ascii="Times New Roman" w:hAnsi="Times New Roman" w:eastAsia="宋体"/>
                <w:sz w:val="24"/>
              </w:rPr>
              <w:t>年均浓度分别为6</w:t>
            </w:r>
            <w:r>
              <w:rPr>
                <w:rFonts w:hint="eastAsia"/>
                <w:sz w:val="24"/>
                <w:lang w:eastAsia="zh-CN"/>
              </w:rPr>
              <w:t>μg/m</w:t>
            </w:r>
            <w:r>
              <w:rPr>
                <w:rFonts w:hint="eastAsia"/>
                <w:sz w:val="24"/>
                <w:vertAlign w:val="superscript"/>
                <w:lang w:eastAsia="zh-CN"/>
              </w:rPr>
              <w:t>3</w:t>
            </w:r>
            <w:r>
              <w:rPr>
                <w:rFonts w:hint="default" w:ascii="Times New Roman" w:hAnsi="Times New Roman" w:eastAsia="宋体"/>
                <w:sz w:val="24"/>
              </w:rPr>
              <w:t>、19</w:t>
            </w:r>
            <w:r>
              <w:rPr>
                <w:rFonts w:hint="eastAsia"/>
                <w:sz w:val="24"/>
                <w:lang w:eastAsia="zh-CN"/>
              </w:rPr>
              <w:t>μg/m</w:t>
            </w:r>
            <w:r>
              <w:rPr>
                <w:rFonts w:hint="eastAsia"/>
                <w:sz w:val="24"/>
                <w:vertAlign w:val="superscript"/>
                <w:lang w:eastAsia="zh-CN"/>
              </w:rPr>
              <w:t>3</w:t>
            </w:r>
            <w:r>
              <w:rPr>
                <w:rFonts w:hint="default" w:ascii="Times New Roman" w:hAnsi="Times New Roman" w:eastAsia="宋体"/>
                <w:sz w:val="24"/>
              </w:rPr>
              <w:t>、48</w:t>
            </w:r>
            <w:r>
              <w:rPr>
                <w:rFonts w:hint="eastAsia"/>
                <w:sz w:val="24"/>
                <w:lang w:eastAsia="zh-CN"/>
              </w:rPr>
              <w:t>μg/m</w:t>
            </w:r>
            <w:r>
              <w:rPr>
                <w:rFonts w:hint="eastAsia"/>
                <w:sz w:val="24"/>
                <w:vertAlign w:val="superscript"/>
                <w:lang w:eastAsia="zh-CN"/>
              </w:rPr>
              <w:t>3</w:t>
            </w:r>
            <w:r>
              <w:rPr>
                <w:rFonts w:hint="default" w:ascii="Times New Roman" w:hAnsi="Times New Roman" w:eastAsia="宋体"/>
                <w:sz w:val="24"/>
              </w:rPr>
              <w:t>、35</w:t>
            </w:r>
            <w:r>
              <w:rPr>
                <w:rFonts w:hint="eastAsia"/>
                <w:sz w:val="24"/>
                <w:lang w:eastAsia="zh-CN"/>
              </w:rPr>
              <w:t>μg/m</w:t>
            </w:r>
            <w:r>
              <w:rPr>
                <w:rFonts w:hint="eastAsia"/>
                <w:sz w:val="24"/>
                <w:vertAlign w:val="superscript"/>
                <w:lang w:eastAsia="zh-CN"/>
              </w:rPr>
              <w:t>3</w:t>
            </w:r>
            <w:r>
              <w:rPr>
                <w:rFonts w:hint="default" w:ascii="Times New Roman" w:hAnsi="Times New Roman" w:eastAsia="宋体"/>
                <w:sz w:val="24"/>
              </w:rPr>
              <w:t>；CO24小时平均第95百分位数为1.1mg/m</w:t>
            </w:r>
            <w:r>
              <w:rPr>
                <w:rFonts w:hint="default" w:ascii="Times New Roman" w:hAnsi="Times New Roman" w:eastAsia="宋体"/>
                <w:sz w:val="24"/>
                <w:vertAlign w:val="superscript"/>
              </w:rPr>
              <w:t>3</w:t>
            </w:r>
            <w:r>
              <w:rPr>
                <w:rFonts w:hint="default" w:ascii="Times New Roman" w:hAnsi="Times New Roman" w:eastAsia="宋体"/>
                <w:sz w:val="24"/>
              </w:rPr>
              <w:t>，O</w:t>
            </w:r>
            <w:r>
              <w:rPr>
                <w:rFonts w:hint="default" w:ascii="Times New Roman" w:hAnsi="Times New Roman" w:eastAsia="宋体"/>
                <w:sz w:val="24"/>
                <w:vertAlign w:val="subscript"/>
              </w:rPr>
              <w:t>3</w:t>
            </w:r>
            <w:r>
              <w:rPr>
                <w:rFonts w:hint="default" w:ascii="Times New Roman" w:hAnsi="Times New Roman" w:eastAsia="宋体"/>
                <w:sz w:val="24"/>
              </w:rPr>
              <w:t>日最大8小时平均第90百分位数为148</w:t>
            </w:r>
            <w:r>
              <w:rPr>
                <w:rFonts w:hint="eastAsia"/>
                <w:sz w:val="24"/>
                <w:lang w:eastAsia="zh-CN"/>
              </w:rPr>
              <w:t>μg/m</w:t>
            </w:r>
            <w:r>
              <w:rPr>
                <w:rFonts w:hint="eastAsia"/>
                <w:sz w:val="24"/>
                <w:vertAlign w:val="superscript"/>
                <w:lang w:eastAsia="zh-CN"/>
              </w:rPr>
              <w:t>3</w:t>
            </w:r>
            <w:r>
              <w:rPr>
                <w:rFonts w:hint="default" w:ascii="Times New Roman" w:hAnsi="Times New Roman" w:eastAsia="宋体"/>
                <w:sz w:val="24"/>
              </w:rPr>
              <w:t>；各污染物平均浓度均优于《环境空气质量标准》（GB3095-2012）中二级标准限值。</w:t>
            </w:r>
          </w:p>
          <w:p w14:paraId="676CA30B">
            <w:pPr>
              <w:pStyle w:val="1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textAlignment w:val="auto"/>
              <w:rPr>
                <w:rFonts w:hint="default" w:ascii="Times New Roman" w:hAnsi="Times New Roman" w:eastAsia="宋体"/>
                <w:sz w:val="24"/>
              </w:rPr>
            </w:pPr>
            <w:r>
              <w:rPr>
                <w:rFonts w:hint="default"/>
              </w:rPr>
              <w:drawing>
                <wp:inline distT="0" distB="0" distL="114300" distR="114300">
                  <wp:extent cx="5418455" cy="2745105"/>
                  <wp:effectExtent l="0" t="0" r="10795" b="1714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22"/>
                          <a:stretch>
                            <a:fillRect/>
                          </a:stretch>
                        </pic:blipFill>
                        <pic:spPr>
                          <a:xfrm>
                            <a:off x="0" y="0"/>
                            <a:ext cx="5418455" cy="2745105"/>
                          </a:xfrm>
                          <a:prstGeom prst="rect">
                            <a:avLst/>
                          </a:prstGeom>
                          <a:noFill/>
                          <a:ln>
                            <a:noFill/>
                          </a:ln>
                        </pic:spPr>
                      </pic:pic>
                    </a:graphicData>
                  </a:graphic>
                </wp:inline>
              </w:drawing>
            </w:r>
          </w:p>
          <w:p w14:paraId="53E20681">
            <w:pPr>
              <w:pStyle w:val="1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b/>
                <w:bCs/>
                <w:sz w:val="21"/>
                <w:szCs w:val="21"/>
                <w:lang w:val="en-US" w:eastAsia="zh-CN"/>
              </w:rPr>
            </w:pPr>
            <w:r>
              <w:rPr>
                <w:rFonts w:hint="eastAsia"/>
                <w:b/>
                <w:bCs/>
                <w:sz w:val="21"/>
                <w:szCs w:val="21"/>
                <w:lang w:val="en-US" w:eastAsia="zh-CN"/>
              </w:rPr>
              <w:t>图3-1  广安市2024年环境空气质量查询截图</w:t>
            </w:r>
          </w:p>
          <w:p w14:paraId="34D92A04">
            <w:pPr>
              <w:pStyle w:val="3"/>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leftChars="0" w:right="0" w:firstLine="480" w:firstLineChars="200"/>
              <w:textAlignment w:val="auto"/>
              <w:rPr>
                <w:rFonts w:hint="eastAsia" w:ascii="Times New Roman" w:hAnsi="Times New Roman" w:eastAsia="宋体" w:cs="Times New Roman"/>
                <w:b/>
                <w:bCs/>
                <w:iCs/>
                <w:szCs w:val="24"/>
                <w:lang w:val="en-US" w:eastAsia="zh-CN"/>
              </w:rPr>
            </w:pPr>
            <w:r>
              <w:rPr>
                <w:rFonts w:hint="eastAsia"/>
                <w:color w:val="auto"/>
                <w:sz w:val="24"/>
                <w:szCs w:val="24"/>
                <w:lang w:val="en-US" w:eastAsia="zh-CN"/>
              </w:rPr>
              <w:t>综上可知，广安市2</w:t>
            </w:r>
            <w:r>
              <w:rPr>
                <w:rFonts w:hint="eastAsia" w:ascii="Times New Roman" w:hAnsi="Times New Roman" w:eastAsia="宋体"/>
                <w:color w:val="auto"/>
                <w:sz w:val="24"/>
                <w:szCs w:val="24"/>
                <w:lang w:val="en-US"/>
              </w:rPr>
              <w:t>02</w:t>
            </w:r>
            <w:r>
              <w:rPr>
                <w:rFonts w:hint="eastAsia" w:ascii="Times New Roman" w:hAnsi="Times New Roman" w:eastAsia="宋体"/>
                <w:color w:val="auto"/>
                <w:sz w:val="24"/>
                <w:szCs w:val="24"/>
                <w:lang w:val="en-US" w:eastAsia="zh-CN"/>
              </w:rPr>
              <w:t>4</w:t>
            </w:r>
            <w:r>
              <w:rPr>
                <w:rFonts w:hint="eastAsia" w:ascii="Times New Roman" w:hAnsi="Times New Roman" w:eastAsia="宋体"/>
                <w:color w:val="auto"/>
                <w:sz w:val="24"/>
                <w:szCs w:val="24"/>
                <w:lang w:val="en-US"/>
              </w:rPr>
              <w:t>年度环境空气质量能够满足《环境空气质量标准》（GB3095-2012）中的二级标准限值要求，</w:t>
            </w:r>
            <w:r>
              <w:rPr>
                <w:rFonts w:hint="eastAsia" w:ascii="Times New Roman" w:hAnsi="Times New Roman" w:eastAsia="宋体"/>
                <w:b w:val="0"/>
                <w:bCs w:val="0"/>
                <w:color w:val="auto"/>
                <w:sz w:val="24"/>
                <w:szCs w:val="24"/>
                <w:lang w:val="en-US"/>
              </w:rPr>
              <w:t>故</w:t>
            </w:r>
            <w:r>
              <w:rPr>
                <w:rFonts w:hint="eastAsia" w:ascii="Times New Roman" w:hAnsi="Times New Roman" w:eastAsia="宋体"/>
                <w:b/>
                <w:bCs/>
                <w:color w:val="auto"/>
                <w:sz w:val="24"/>
                <w:szCs w:val="24"/>
                <w:lang w:val="en-US"/>
              </w:rPr>
              <w:t>广安市邻水县环境空气质量属于达标区域</w:t>
            </w:r>
            <w:r>
              <w:rPr>
                <w:rFonts w:hint="default" w:ascii="Times New Roman" w:hAnsi="Times New Roman" w:eastAsia="宋体"/>
                <w:b/>
                <w:bCs/>
                <w:color w:val="auto"/>
                <w:sz w:val="24"/>
                <w:szCs w:val="24"/>
              </w:rPr>
              <w:t>。</w:t>
            </w:r>
          </w:p>
          <w:p w14:paraId="26C95B93">
            <w:pPr>
              <w:pStyle w:val="3"/>
              <w:keepNext w:val="0"/>
              <w:keepLines w:val="0"/>
              <w:suppressLineNumbers w:val="0"/>
              <w:spacing w:before="0" w:beforeAutospacing="0" w:after="0" w:afterAutospacing="0" w:line="360" w:lineRule="auto"/>
              <w:ind w:left="0" w:leftChars="0" w:right="0" w:firstLine="482" w:firstLineChars="200"/>
              <w:rPr>
                <w:rFonts w:hint="default" w:ascii="Times New Roman" w:hAnsi="Times New Roman" w:eastAsia="宋体" w:cs="Times New Roman"/>
                <w:b/>
                <w:iCs/>
                <w:szCs w:val="24"/>
              </w:rPr>
            </w:pPr>
            <w:r>
              <w:rPr>
                <w:rFonts w:hint="eastAsia" w:ascii="Times New Roman" w:hAnsi="Times New Roman" w:eastAsia="宋体" w:cs="Times New Roman"/>
                <w:b/>
                <w:iCs/>
                <w:szCs w:val="24"/>
                <w:lang w:val="en-US" w:eastAsia="zh-CN"/>
              </w:rPr>
              <w:t>2</w:t>
            </w:r>
            <w:r>
              <w:rPr>
                <w:rFonts w:hint="eastAsia" w:ascii="Times New Roman" w:hAnsi="Times New Roman" w:eastAsia="宋体" w:cs="Times New Roman"/>
                <w:b/>
                <w:iCs/>
                <w:szCs w:val="24"/>
              </w:rPr>
              <w:t>、其他污染物环境质量现状评价</w:t>
            </w:r>
          </w:p>
          <w:p w14:paraId="7CAD9DD4">
            <w:pPr>
              <w:keepNext w:val="0"/>
              <w:keepLines w:val="0"/>
              <w:suppressLineNumbers w:val="0"/>
              <w:spacing w:before="0" w:beforeAutospacing="0" w:after="0" w:afterAutospacing="0" w:line="360" w:lineRule="auto"/>
              <w:ind w:left="0" w:right="0" w:firstLine="482" w:firstLineChars="200"/>
              <w:jc w:val="left"/>
              <w:rPr>
                <w:rFonts w:hint="default" w:ascii="Times New Roman" w:hAnsi="Times New Roman" w:eastAsia="宋体" w:cs="Times New Roman"/>
                <w:b/>
                <w:sz w:val="24"/>
              </w:rPr>
            </w:pPr>
            <w:r>
              <w:rPr>
                <w:rFonts w:hint="default" w:ascii="Times New Roman" w:hAnsi="Times New Roman" w:eastAsia="宋体" w:cs="Times New Roman"/>
                <w:b/>
                <w:sz w:val="24"/>
              </w:rPr>
              <w:t>1）环境质量现状监测点位及监测因子</w:t>
            </w:r>
          </w:p>
          <w:p w14:paraId="6E562E3C">
            <w:pPr>
              <w:pStyle w:val="118"/>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lang w:eastAsia="zh-CN"/>
              </w:rPr>
            </w:pPr>
            <w:r>
              <w:rPr>
                <w:rFonts w:hint="eastAsia" w:ascii="Times New Roman" w:hAnsi="Times New Roman" w:eastAsia="宋体" w:cs="Times New Roman"/>
                <w:bCs/>
                <w:sz w:val="24"/>
              </w:rPr>
              <w:t>根据《建设项目环境影响报告表编制技术指南（污染影响类）》，大气环境质量特征污染物为国家、地方环境空气质量标准中有标准限值要求的污染物。</w:t>
            </w:r>
            <w:r>
              <w:rPr>
                <w:rFonts w:hint="eastAsia" w:ascii="Times New Roman" w:hAnsi="Times New Roman" w:eastAsia="宋体" w:cs="Times New Roman"/>
                <w:kern w:val="0"/>
                <w:sz w:val="24"/>
              </w:rPr>
              <w:t>根据工程分析，本项目的大气特征污染因子为</w:t>
            </w:r>
            <w:r>
              <w:rPr>
                <w:rFonts w:hint="eastAsia" w:ascii="Times New Roman" w:hAnsi="Times New Roman" w:eastAsia="宋体" w:cs="Times New Roman"/>
                <w:sz w:val="24"/>
              </w:rPr>
              <w:t>TSP。</w:t>
            </w:r>
            <w:r>
              <w:rPr>
                <w:rFonts w:hint="eastAsia" w:cs="Times New Roman"/>
                <w:sz w:val="24"/>
                <w:lang w:val="en-US" w:eastAsia="zh-CN"/>
              </w:rPr>
              <w:t>本次评价委托四川航岛检测科</w:t>
            </w:r>
            <w:r>
              <w:rPr>
                <w:rFonts w:hint="eastAsia" w:ascii="Times New Roman" w:hAnsi="Times New Roman" w:eastAsia="宋体" w:cs="Times New Roman"/>
                <w:kern w:val="0"/>
                <w:sz w:val="24"/>
                <w:lang w:val="en-US" w:eastAsia="zh-CN"/>
              </w:rPr>
              <w:t>技有限公司于</w:t>
            </w:r>
            <w:r>
              <w:rPr>
                <w:rFonts w:hint="eastAsia" w:ascii="Times New Roman" w:hAnsi="Times New Roman" w:eastAsia="宋体" w:cs="Times New Roman"/>
                <w:kern w:val="0"/>
                <w:sz w:val="24"/>
              </w:rPr>
              <w:t>202</w:t>
            </w:r>
            <w:r>
              <w:rPr>
                <w:rFonts w:hint="eastAsia" w:ascii="Times New Roman" w:hAnsi="Times New Roman" w:eastAsia="宋体" w:cs="Times New Roman"/>
                <w:kern w:val="0"/>
                <w:sz w:val="24"/>
                <w:lang w:val="en-US" w:eastAsia="zh-CN"/>
              </w:rPr>
              <w:t>5</w:t>
            </w:r>
            <w:r>
              <w:rPr>
                <w:rFonts w:hint="eastAsia" w:ascii="Times New Roman" w:hAnsi="Times New Roman" w:eastAsia="宋体" w:cs="Times New Roman"/>
                <w:kern w:val="0"/>
                <w:sz w:val="24"/>
              </w:rPr>
              <w:t>年</w:t>
            </w:r>
            <w:r>
              <w:rPr>
                <w:rFonts w:hint="eastAsia" w:ascii="Times New Roman" w:hAnsi="Times New Roman" w:eastAsia="宋体" w:cs="Times New Roman"/>
                <w:kern w:val="0"/>
                <w:sz w:val="24"/>
                <w:lang w:val="en-US" w:eastAsia="zh-CN"/>
              </w:rPr>
              <w:t>1</w:t>
            </w:r>
            <w:r>
              <w:rPr>
                <w:rFonts w:hint="eastAsia" w:ascii="Times New Roman" w:hAnsi="Times New Roman" w:eastAsia="宋体" w:cs="Times New Roman"/>
                <w:kern w:val="0"/>
                <w:sz w:val="24"/>
              </w:rPr>
              <w:t>月</w:t>
            </w:r>
            <w:r>
              <w:rPr>
                <w:rFonts w:hint="eastAsia" w:ascii="Times New Roman" w:hAnsi="Times New Roman" w:eastAsia="宋体" w:cs="Times New Roman"/>
                <w:kern w:val="0"/>
                <w:sz w:val="24"/>
                <w:lang w:val="en-US" w:eastAsia="zh-CN"/>
              </w:rPr>
              <w:t>6</w:t>
            </w:r>
            <w:r>
              <w:rPr>
                <w:rFonts w:hint="eastAsia" w:ascii="Times New Roman" w:hAnsi="Times New Roman" w:eastAsia="宋体" w:cs="Times New Roman"/>
                <w:kern w:val="0"/>
                <w:sz w:val="24"/>
              </w:rPr>
              <w:t>日至</w:t>
            </w:r>
            <w:r>
              <w:rPr>
                <w:rFonts w:hint="eastAsia" w:ascii="Times New Roman" w:hAnsi="Times New Roman" w:eastAsia="宋体" w:cs="Times New Roman"/>
                <w:kern w:val="0"/>
                <w:sz w:val="24"/>
                <w:lang w:val="en-US" w:eastAsia="zh-CN"/>
              </w:rPr>
              <w:t>1</w:t>
            </w:r>
            <w:r>
              <w:rPr>
                <w:rFonts w:hint="eastAsia" w:ascii="Times New Roman" w:hAnsi="Times New Roman" w:eastAsia="宋体" w:cs="Times New Roman"/>
                <w:kern w:val="0"/>
                <w:sz w:val="24"/>
              </w:rPr>
              <w:t>月</w:t>
            </w:r>
            <w:r>
              <w:rPr>
                <w:rFonts w:hint="eastAsia" w:ascii="Times New Roman" w:hAnsi="Times New Roman" w:eastAsia="宋体" w:cs="Times New Roman"/>
                <w:kern w:val="0"/>
                <w:sz w:val="24"/>
                <w:lang w:val="en-US" w:eastAsia="zh-CN"/>
              </w:rPr>
              <w:t>8</w:t>
            </w:r>
            <w:r>
              <w:rPr>
                <w:rFonts w:hint="eastAsia" w:ascii="Times New Roman" w:hAnsi="Times New Roman" w:eastAsia="宋体" w:cs="Times New Roman"/>
                <w:kern w:val="0"/>
                <w:sz w:val="24"/>
              </w:rPr>
              <w:t>日对项目所在地进行了环境空气质量监测</w:t>
            </w:r>
            <w:r>
              <w:rPr>
                <w:rFonts w:hint="eastAsia" w:ascii="Times New Roman" w:hAnsi="Times New Roman" w:eastAsia="宋体" w:cs="Times New Roman"/>
                <w:kern w:val="0"/>
                <w:sz w:val="24"/>
                <w:lang w:eastAsia="zh-CN"/>
              </w:rPr>
              <w:t>，监测地点位于本项目厂界下风向约</w:t>
            </w:r>
            <w:r>
              <w:rPr>
                <w:rFonts w:hint="eastAsia" w:ascii="Times New Roman" w:hAnsi="Times New Roman" w:eastAsia="宋体" w:cs="Times New Roman"/>
                <w:kern w:val="0"/>
                <w:sz w:val="24"/>
                <w:lang w:val="en-US" w:eastAsia="zh-CN"/>
              </w:rPr>
              <w:t>50m</w:t>
            </w:r>
            <w:r>
              <w:rPr>
                <w:rFonts w:hint="eastAsia" w:ascii="Times New Roman" w:hAnsi="Times New Roman" w:eastAsia="宋体" w:cs="Times New Roman"/>
                <w:kern w:val="0"/>
                <w:sz w:val="24"/>
                <w:lang w:eastAsia="zh-CN"/>
              </w:rPr>
              <w:t>处。</w:t>
            </w:r>
            <w:r>
              <w:rPr>
                <w:rFonts w:hint="eastAsia" w:ascii="Times New Roman" w:hAnsi="Times New Roman" w:eastAsia="宋体" w:cs="Times New Roman"/>
                <w:color w:val="auto"/>
                <w:lang w:eastAsia="zh-CN"/>
              </w:rPr>
              <w:t>项目所在区域环境空气质量现状监测结果如下：</w:t>
            </w:r>
          </w:p>
          <w:p w14:paraId="68A23BA7">
            <w:pPr>
              <w:keepNext w:val="0"/>
              <w:keepLines w:val="0"/>
              <w:suppressLineNumbers w:val="0"/>
              <w:spacing w:before="0" w:beforeAutospacing="0" w:after="0" w:afterAutospacing="0"/>
              <w:ind w:left="0" w:right="0"/>
              <w:jc w:val="center"/>
              <w:rPr>
                <w:rFonts w:hint="default" w:ascii="Times New Roman" w:hAnsi="Times New Roman" w:eastAsia="宋体"/>
                <w:b/>
                <w:bCs/>
                <w:color w:val="auto"/>
                <w:szCs w:val="21"/>
              </w:rPr>
            </w:pPr>
            <w:r>
              <w:rPr>
                <w:rFonts w:hint="default" w:ascii="Times New Roman" w:hAnsi="Times New Roman" w:eastAsia="宋体"/>
                <w:b/>
                <w:bCs/>
                <w:color w:val="auto"/>
                <w:szCs w:val="21"/>
              </w:rPr>
              <w:t>表</w:t>
            </w:r>
            <w:r>
              <w:rPr>
                <w:rFonts w:hint="eastAsia" w:ascii="Times New Roman" w:hAnsi="Times New Roman" w:eastAsia="宋体"/>
                <w:b/>
                <w:bCs/>
                <w:color w:val="auto"/>
                <w:szCs w:val="21"/>
              </w:rPr>
              <w:t>3-</w:t>
            </w:r>
            <w:r>
              <w:rPr>
                <w:rFonts w:hint="eastAsia"/>
                <w:b/>
                <w:bCs/>
                <w:color w:val="auto"/>
                <w:szCs w:val="21"/>
                <w:lang w:val="en-US" w:eastAsia="zh-CN"/>
              </w:rPr>
              <w:t>1</w:t>
            </w:r>
            <w:r>
              <w:rPr>
                <w:rFonts w:hint="default" w:ascii="Times New Roman" w:hAnsi="Times New Roman" w:eastAsia="宋体"/>
                <w:b/>
                <w:bCs/>
                <w:color w:val="auto"/>
                <w:szCs w:val="21"/>
              </w:rPr>
              <w:t xml:space="preserve">  评价区环境空气质量现状监测结果（单位：μg/m</w:t>
            </w:r>
            <w:r>
              <w:rPr>
                <w:rFonts w:hint="default" w:ascii="Times New Roman" w:hAnsi="Times New Roman" w:eastAsia="宋体"/>
                <w:b/>
                <w:bCs/>
                <w:color w:val="auto"/>
                <w:szCs w:val="21"/>
                <w:vertAlign w:val="superscript"/>
              </w:rPr>
              <w:t>3</w:t>
            </w:r>
            <w:r>
              <w:rPr>
                <w:rFonts w:hint="default" w:ascii="Times New Roman" w:hAnsi="Times New Roman" w:eastAsia="宋体"/>
                <w:b/>
                <w:bCs/>
                <w:color w:val="auto"/>
                <w:szCs w:val="21"/>
              </w:rPr>
              <w:t>）</w:t>
            </w:r>
          </w:p>
          <w:tbl>
            <w:tblPr>
              <w:tblStyle w:val="25"/>
              <w:tblW w:w="4995"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15" w:type="dxa"/>
                <w:left w:w="15" w:type="dxa"/>
                <w:bottom w:w="15" w:type="dxa"/>
                <w:right w:w="15" w:type="dxa"/>
              </w:tblCellMar>
            </w:tblPr>
            <w:tblGrid>
              <w:gridCol w:w="980"/>
              <w:gridCol w:w="1205"/>
              <w:gridCol w:w="972"/>
              <w:gridCol w:w="1233"/>
              <w:gridCol w:w="1233"/>
              <w:gridCol w:w="1035"/>
              <w:gridCol w:w="718"/>
              <w:gridCol w:w="1009"/>
            </w:tblGrid>
            <w:tr w14:paraId="117B5D7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3" w:hRule="atLeast"/>
                <w:tblHeader/>
                <w:jc w:val="center"/>
              </w:trPr>
              <w:tc>
                <w:tcPr>
                  <w:tcW w:w="584" w:type="pct"/>
                  <w:vAlign w:val="center"/>
                </w:tcPr>
                <w:p w14:paraId="2F55DDDE">
                  <w:pPr>
                    <w:pStyle w:val="115"/>
                    <w:keepNext w:val="0"/>
                    <w:keepLines w:val="0"/>
                    <w:widowControl/>
                    <w:suppressLineNumbers w:val="0"/>
                    <w:adjustRightInd/>
                    <w:snapToGrid/>
                    <w:spacing w:before="0" w:beforeAutospacing="0" w:after="0" w:afterAutospacing="0"/>
                    <w:ind w:left="0" w:right="0"/>
                    <w:rPr>
                      <w:rFonts w:hint="default" w:ascii="Times New Roman" w:hAnsi="Times New Roman" w:eastAsia="宋体"/>
                      <w:b/>
                      <w:bCs/>
                      <w:color w:val="auto"/>
                    </w:rPr>
                  </w:pPr>
                  <w:r>
                    <w:rPr>
                      <w:rFonts w:hint="default" w:ascii="Times New Roman" w:hAnsi="Times New Roman" w:eastAsia="宋体"/>
                      <w:b/>
                      <w:bCs/>
                      <w:color w:val="auto"/>
                    </w:rPr>
                    <w:t>监测点位</w:t>
                  </w:r>
                </w:p>
              </w:tc>
              <w:tc>
                <w:tcPr>
                  <w:tcW w:w="718" w:type="pct"/>
                  <w:vAlign w:val="center"/>
                </w:tcPr>
                <w:p w14:paraId="1393EEF7">
                  <w:pPr>
                    <w:pStyle w:val="115"/>
                    <w:keepNext w:val="0"/>
                    <w:keepLines w:val="0"/>
                    <w:widowControl/>
                    <w:suppressLineNumbers w:val="0"/>
                    <w:adjustRightInd/>
                    <w:snapToGrid/>
                    <w:spacing w:before="0" w:beforeAutospacing="0" w:after="0" w:afterAutospacing="0"/>
                    <w:ind w:left="0" w:right="0"/>
                    <w:rPr>
                      <w:rFonts w:hint="default" w:ascii="Times New Roman" w:hAnsi="Times New Roman" w:eastAsia="宋体"/>
                      <w:b/>
                      <w:bCs/>
                      <w:color w:val="auto"/>
                    </w:rPr>
                  </w:pPr>
                  <w:r>
                    <w:rPr>
                      <w:rFonts w:hint="default" w:ascii="Times New Roman" w:hAnsi="Times New Roman" w:eastAsia="宋体"/>
                      <w:b/>
                      <w:bCs/>
                      <w:color w:val="auto"/>
                    </w:rPr>
                    <w:t>污染物</w:t>
                  </w:r>
                </w:p>
              </w:tc>
              <w:tc>
                <w:tcPr>
                  <w:tcW w:w="579" w:type="pct"/>
                  <w:vAlign w:val="center"/>
                </w:tcPr>
                <w:p w14:paraId="6699992D">
                  <w:pPr>
                    <w:pStyle w:val="115"/>
                    <w:keepNext w:val="0"/>
                    <w:keepLines w:val="0"/>
                    <w:widowControl/>
                    <w:suppressLineNumbers w:val="0"/>
                    <w:adjustRightInd/>
                    <w:snapToGrid/>
                    <w:spacing w:before="0" w:beforeAutospacing="0" w:after="0" w:afterAutospacing="0"/>
                    <w:ind w:left="0" w:right="0"/>
                    <w:rPr>
                      <w:rFonts w:hint="default" w:ascii="Times New Roman" w:hAnsi="Times New Roman" w:eastAsia="宋体"/>
                      <w:b/>
                      <w:bCs/>
                      <w:color w:val="auto"/>
                    </w:rPr>
                  </w:pPr>
                  <w:r>
                    <w:rPr>
                      <w:rFonts w:hint="default" w:ascii="Times New Roman" w:hAnsi="Times New Roman" w:eastAsia="宋体"/>
                      <w:b/>
                      <w:bCs/>
                      <w:color w:val="auto"/>
                    </w:rPr>
                    <w:t>平均时间</w:t>
                  </w:r>
                </w:p>
              </w:tc>
              <w:tc>
                <w:tcPr>
                  <w:tcW w:w="735" w:type="pct"/>
                  <w:vAlign w:val="center"/>
                </w:tcPr>
                <w:p w14:paraId="627D7B66">
                  <w:pPr>
                    <w:pStyle w:val="115"/>
                    <w:keepNext w:val="0"/>
                    <w:keepLines w:val="0"/>
                    <w:widowControl/>
                    <w:suppressLineNumbers w:val="0"/>
                    <w:adjustRightInd/>
                    <w:snapToGrid/>
                    <w:spacing w:before="0" w:beforeAutospacing="0" w:after="0" w:afterAutospacing="0"/>
                    <w:ind w:left="0" w:right="0"/>
                    <w:rPr>
                      <w:rFonts w:hint="default" w:ascii="Times New Roman" w:hAnsi="Times New Roman" w:eastAsia="宋体"/>
                      <w:b/>
                      <w:bCs/>
                      <w:color w:val="auto"/>
                    </w:rPr>
                  </w:pPr>
                  <w:r>
                    <w:rPr>
                      <w:rFonts w:hint="default" w:ascii="Times New Roman" w:hAnsi="Times New Roman" w:eastAsia="宋体"/>
                      <w:b/>
                      <w:bCs/>
                      <w:color w:val="auto"/>
                    </w:rPr>
                    <w:t>评价标准</w:t>
                  </w:r>
                </w:p>
              </w:tc>
              <w:tc>
                <w:tcPr>
                  <w:tcW w:w="735" w:type="pct"/>
                  <w:vAlign w:val="center"/>
                </w:tcPr>
                <w:p w14:paraId="08BCE098">
                  <w:pPr>
                    <w:pStyle w:val="115"/>
                    <w:keepNext w:val="0"/>
                    <w:keepLines w:val="0"/>
                    <w:widowControl/>
                    <w:suppressLineNumbers w:val="0"/>
                    <w:adjustRightInd/>
                    <w:snapToGrid/>
                    <w:spacing w:before="0" w:beforeAutospacing="0" w:after="0" w:afterAutospacing="0"/>
                    <w:ind w:left="0" w:right="0"/>
                    <w:rPr>
                      <w:rFonts w:hint="default" w:ascii="Times New Roman" w:hAnsi="Times New Roman" w:eastAsia="宋体"/>
                      <w:b/>
                      <w:bCs/>
                      <w:color w:val="auto"/>
                    </w:rPr>
                  </w:pPr>
                  <w:r>
                    <w:rPr>
                      <w:rFonts w:hint="default" w:ascii="Times New Roman" w:hAnsi="Times New Roman" w:eastAsia="宋体"/>
                      <w:b/>
                      <w:bCs/>
                      <w:color w:val="auto"/>
                    </w:rPr>
                    <w:t>监测浓度范围</w:t>
                  </w:r>
                </w:p>
              </w:tc>
              <w:tc>
                <w:tcPr>
                  <w:tcW w:w="617" w:type="pct"/>
                  <w:vAlign w:val="center"/>
                </w:tcPr>
                <w:p w14:paraId="2FE9E8E1">
                  <w:pPr>
                    <w:pStyle w:val="115"/>
                    <w:keepNext w:val="0"/>
                    <w:keepLines w:val="0"/>
                    <w:widowControl/>
                    <w:suppressLineNumbers w:val="0"/>
                    <w:adjustRightInd/>
                    <w:snapToGrid/>
                    <w:spacing w:before="0" w:beforeAutospacing="0" w:after="0" w:afterAutospacing="0"/>
                    <w:ind w:left="0" w:right="0"/>
                    <w:rPr>
                      <w:rFonts w:hint="default" w:ascii="Times New Roman" w:hAnsi="Times New Roman" w:eastAsia="宋体"/>
                      <w:b/>
                      <w:bCs/>
                      <w:color w:val="auto"/>
                    </w:rPr>
                  </w:pPr>
                  <w:r>
                    <w:rPr>
                      <w:rFonts w:hint="default" w:ascii="Times New Roman" w:hAnsi="Times New Roman" w:eastAsia="宋体"/>
                      <w:b/>
                      <w:bCs/>
                      <w:color w:val="auto"/>
                    </w:rPr>
                    <w:t>最大浓度</w:t>
                  </w:r>
                </w:p>
                <w:p w14:paraId="04C26E55">
                  <w:pPr>
                    <w:pStyle w:val="115"/>
                    <w:keepNext w:val="0"/>
                    <w:keepLines w:val="0"/>
                    <w:widowControl/>
                    <w:suppressLineNumbers w:val="0"/>
                    <w:adjustRightInd/>
                    <w:snapToGrid/>
                    <w:spacing w:before="0" w:beforeAutospacing="0" w:after="0" w:afterAutospacing="0"/>
                    <w:ind w:left="0" w:right="0"/>
                    <w:rPr>
                      <w:rFonts w:hint="default" w:ascii="Times New Roman" w:hAnsi="Times New Roman" w:eastAsia="宋体"/>
                      <w:b/>
                      <w:bCs/>
                      <w:color w:val="auto"/>
                    </w:rPr>
                  </w:pPr>
                  <w:r>
                    <w:rPr>
                      <w:rFonts w:hint="default" w:ascii="Times New Roman" w:hAnsi="Times New Roman" w:eastAsia="宋体"/>
                      <w:b/>
                      <w:bCs/>
                      <w:color w:val="auto"/>
                    </w:rPr>
                    <w:t>占标率</w:t>
                  </w:r>
                </w:p>
              </w:tc>
              <w:tc>
                <w:tcPr>
                  <w:tcW w:w="428" w:type="pct"/>
                  <w:vAlign w:val="center"/>
                </w:tcPr>
                <w:p w14:paraId="245FC237">
                  <w:pPr>
                    <w:pStyle w:val="115"/>
                    <w:keepNext w:val="0"/>
                    <w:keepLines w:val="0"/>
                    <w:widowControl/>
                    <w:suppressLineNumbers w:val="0"/>
                    <w:adjustRightInd/>
                    <w:snapToGrid/>
                    <w:spacing w:before="0" w:beforeAutospacing="0" w:after="0" w:afterAutospacing="0"/>
                    <w:ind w:left="0" w:right="0"/>
                    <w:rPr>
                      <w:rFonts w:hint="default" w:ascii="Times New Roman" w:hAnsi="Times New Roman" w:eastAsia="宋体"/>
                      <w:b/>
                      <w:bCs/>
                      <w:color w:val="auto"/>
                    </w:rPr>
                  </w:pPr>
                  <w:r>
                    <w:rPr>
                      <w:rFonts w:hint="default" w:ascii="Times New Roman" w:hAnsi="Times New Roman" w:eastAsia="宋体"/>
                      <w:b/>
                      <w:bCs/>
                      <w:color w:val="auto"/>
                    </w:rPr>
                    <w:t>超标率</w:t>
                  </w:r>
                </w:p>
              </w:tc>
              <w:tc>
                <w:tcPr>
                  <w:tcW w:w="601" w:type="pct"/>
                  <w:vAlign w:val="center"/>
                </w:tcPr>
                <w:p w14:paraId="02636270">
                  <w:pPr>
                    <w:pStyle w:val="115"/>
                    <w:keepNext w:val="0"/>
                    <w:keepLines w:val="0"/>
                    <w:widowControl/>
                    <w:suppressLineNumbers w:val="0"/>
                    <w:adjustRightInd/>
                    <w:snapToGrid/>
                    <w:spacing w:before="0" w:beforeAutospacing="0" w:after="0" w:afterAutospacing="0"/>
                    <w:ind w:left="0" w:right="0"/>
                    <w:rPr>
                      <w:rFonts w:hint="default" w:ascii="Times New Roman" w:hAnsi="Times New Roman" w:eastAsia="宋体"/>
                      <w:b/>
                      <w:bCs/>
                      <w:color w:val="auto"/>
                    </w:rPr>
                  </w:pPr>
                  <w:r>
                    <w:rPr>
                      <w:rFonts w:hint="default" w:ascii="Times New Roman" w:hAnsi="Times New Roman" w:eastAsia="宋体"/>
                      <w:b/>
                      <w:bCs/>
                      <w:color w:val="auto"/>
                    </w:rPr>
                    <w:t>达标情况</w:t>
                  </w:r>
                </w:p>
              </w:tc>
            </w:tr>
            <w:tr w14:paraId="3693185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584" w:type="pct"/>
                  <w:vAlign w:val="center"/>
                </w:tcPr>
                <w:p w14:paraId="61A5E99F">
                  <w:pPr>
                    <w:pStyle w:val="115"/>
                    <w:keepNext w:val="0"/>
                    <w:keepLines w:val="0"/>
                    <w:widowControl/>
                    <w:suppressLineNumbers w:val="0"/>
                    <w:adjustRightInd/>
                    <w:snapToGrid/>
                    <w:spacing w:before="0" w:beforeAutospacing="0" w:after="0" w:afterAutospacing="0"/>
                    <w:ind w:left="0" w:right="0"/>
                    <w:rPr>
                      <w:rFonts w:hint="default" w:ascii="Times New Roman" w:hAnsi="Times New Roman" w:eastAsia="宋体"/>
                      <w:color w:val="auto"/>
                    </w:rPr>
                  </w:pPr>
                  <w:r>
                    <w:rPr>
                      <w:rFonts w:hint="eastAsia" w:ascii="Times New Roman" w:hAnsi="Times New Roman" w:eastAsia="宋体"/>
                      <w:color w:val="auto"/>
                    </w:rPr>
                    <w:t>项目厂区下风向约</w:t>
                  </w:r>
                  <w:r>
                    <w:rPr>
                      <w:rFonts w:hint="eastAsia" w:eastAsia="宋体"/>
                      <w:color w:val="auto"/>
                      <w:lang w:val="en-US" w:eastAsia="zh-CN"/>
                    </w:rPr>
                    <w:t>50</w:t>
                  </w:r>
                  <w:r>
                    <w:rPr>
                      <w:rFonts w:hint="eastAsia" w:ascii="Times New Roman" w:hAnsi="Times New Roman" w:eastAsia="宋体"/>
                      <w:color w:val="auto"/>
                    </w:rPr>
                    <w:t>m处</w:t>
                  </w:r>
                </w:p>
              </w:tc>
              <w:tc>
                <w:tcPr>
                  <w:tcW w:w="718" w:type="pct"/>
                  <w:vAlign w:val="center"/>
                </w:tcPr>
                <w:p w14:paraId="2CE6663C">
                  <w:pPr>
                    <w:pStyle w:val="116"/>
                    <w:keepNext w:val="0"/>
                    <w:keepLines w:val="0"/>
                    <w:suppressLineNumbers w:val="0"/>
                    <w:spacing w:before="0" w:beforeAutospacing="0" w:after="0" w:afterAutospacing="0"/>
                    <w:ind w:left="0" w:right="0"/>
                    <w:rPr>
                      <w:rFonts w:hint="default" w:ascii="Times New Roman" w:hAnsi="Times New Roman" w:eastAsia="宋体"/>
                      <w:bCs/>
                      <w:color w:val="auto"/>
                      <w:szCs w:val="21"/>
                      <w:lang w:val="en-US"/>
                    </w:rPr>
                  </w:pPr>
                  <w:r>
                    <w:rPr>
                      <w:rFonts w:hint="eastAsia" w:ascii="Times New Roman" w:hAnsi="Times New Roman" w:eastAsia="宋体"/>
                      <w:color w:val="auto"/>
                      <w:szCs w:val="21"/>
                      <w:lang w:val="en-US"/>
                    </w:rPr>
                    <w:t>TSP</w:t>
                  </w:r>
                </w:p>
              </w:tc>
              <w:tc>
                <w:tcPr>
                  <w:tcW w:w="579" w:type="pct"/>
                  <w:vAlign w:val="center"/>
                </w:tcPr>
                <w:p w14:paraId="1F3A8D24">
                  <w:pPr>
                    <w:pStyle w:val="116"/>
                    <w:keepNext w:val="0"/>
                    <w:keepLines w:val="0"/>
                    <w:suppressLineNumbers w:val="0"/>
                    <w:spacing w:before="0" w:beforeAutospacing="0" w:after="0" w:afterAutospacing="0"/>
                    <w:ind w:left="0" w:right="0"/>
                    <w:rPr>
                      <w:rFonts w:hint="default" w:ascii="Times New Roman" w:hAnsi="Times New Roman" w:eastAsia="宋体"/>
                      <w:color w:val="auto"/>
                      <w:szCs w:val="21"/>
                    </w:rPr>
                  </w:pPr>
                  <w:r>
                    <w:rPr>
                      <w:rFonts w:hint="eastAsia" w:ascii="Times New Roman" w:hAnsi="Times New Roman" w:eastAsia="宋体"/>
                      <w:color w:val="auto"/>
                      <w:szCs w:val="21"/>
                      <w:lang w:val="en-US"/>
                    </w:rPr>
                    <w:t>24小时均值</w:t>
                  </w:r>
                </w:p>
              </w:tc>
              <w:tc>
                <w:tcPr>
                  <w:tcW w:w="735" w:type="pct"/>
                  <w:vAlign w:val="center"/>
                </w:tcPr>
                <w:p w14:paraId="732E70AA">
                  <w:pPr>
                    <w:keepNext w:val="0"/>
                    <w:keepLines w:val="0"/>
                    <w:widowControl/>
                    <w:suppressLineNumbers w:val="0"/>
                    <w:spacing w:before="0" w:beforeAutospacing="0" w:after="0" w:afterAutospacing="0"/>
                    <w:ind w:left="0" w:right="0"/>
                    <w:jc w:val="center"/>
                    <w:rPr>
                      <w:rFonts w:hint="default" w:ascii="Times New Roman" w:hAnsi="Times New Roman" w:eastAsia="宋体"/>
                      <w:color w:val="auto"/>
                      <w:szCs w:val="21"/>
                      <w:lang w:val="en-US" w:eastAsia="zh-CN"/>
                    </w:rPr>
                  </w:pPr>
                  <w:r>
                    <w:rPr>
                      <w:rFonts w:hint="eastAsia" w:eastAsia="宋体"/>
                      <w:color w:val="auto"/>
                      <w:szCs w:val="21"/>
                      <w:lang w:val="en-US" w:eastAsia="zh-CN"/>
                    </w:rPr>
                    <w:t>300</w:t>
                  </w:r>
                </w:p>
              </w:tc>
              <w:tc>
                <w:tcPr>
                  <w:tcW w:w="735" w:type="pct"/>
                  <w:vAlign w:val="center"/>
                </w:tcPr>
                <w:p w14:paraId="22DD3637">
                  <w:pPr>
                    <w:pStyle w:val="115"/>
                    <w:keepNext w:val="0"/>
                    <w:keepLines w:val="0"/>
                    <w:widowControl/>
                    <w:suppressLineNumbers w:val="0"/>
                    <w:adjustRightInd/>
                    <w:snapToGrid/>
                    <w:spacing w:before="0" w:beforeAutospacing="0" w:after="0" w:afterAutospacing="0"/>
                    <w:ind w:left="0" w:right="0"/>
                    <w:rPr>
                      <w:rFonts w:hint="default" w:ascii="Times New Roman" w:hAnsi="Times New Roman" w:eastAsia="宋体"/>
                      <w:color w:val="auto"/>
                      <w:lang w:val="en-US" w:eastAsia="zh-CN"/>
                    </w:rPr>
                  </w:pPr>
                  <w:r>
                    <w:rPr>
                      <w:rFonts w:hint="eastAsia" w:eastAsia="宋体"/>
                      <w:color w:val="auto"/>
                      <w:lang w:val="en-US" w:eastAsia="zh-CN"/>
                    </w:rPr>
                    <w:t>41</w:t>
                  </w:r>
                  <w:r>
                    <w:rPr>
                      <w:rFonts w:hint="eastAsia" w:ascii="Times New Roman" w:hAnsi="Times New Roman" w:eastAsia="宋体"/>
                      <w:color w:val="auto"/>
                    </w:rPr>
                    <w:t>-</w:t>
                  </w:r>
                  <w:r>
                    <w:rPr>
                      <w:rFonts w:hint="eastAsia" w:eastAsia="宋体"/>
                      <w:color w:val="auto"/>
                      <w:lang w:val="en-US" w:eastAsia="zh-CN"/>
                    </w:rPr>
                    <w:t>141</w:t>
                  </w:r>
                </w:p>
              </w:tc>
              <w:tc>
                <w:tcPr>
                  <w:tcW w:w="617" w:type="pct"/>
                  <w:vAlign w:val="center"/>
                </w:tcPr>
                <w:p w14:paraId="53CB2823">
                  <w:pPr>
                    <w:pStyle w:val="115"/>
                    <w:keepNext w:val="0"/>
                    <w:keepLines w:val="0"/>
                    <w:widowControl/>
                    <w:suppressLineNumbers w:val="0"/>
                    <w:adjustRightInd/>
                    <w:snapToGrid/>
                    <w:spacing w:before="0" w:beforeAutospacing="0" w:after="0" w:afterAutospacing="0"/>
                    <w:ind w:left="0" w:right="0"/>
                    <w:rPr>
                      <w:rFonts w:hint="default" w:ascii="Times New Roman" w:hAnsi="Times New Roman" w:eastAsia="宋体"/>
                      <w:color w:val="auto"/>
                    </w:rPr>
                  </w:pPr>
                  <w:r>
                    <w:rPr>
                      <w:rFonts w:hint="eastAsia" w:eastAsia="宋体"/>
                      <w:color w:val="auto"/>
                      <w:lang w:val="en-US" w:eastAsia="zh-CN"/>
                    </w:rPr>
                    <w:t>47</w:t>
                  </w:r>
                  <w:r>
                    <w:rPr>
                      <w:rFonts w:hint="eastAsia" w:ascii="Times New Roman" w:hAnsi="Times New Roman" w:eastAsia="宋体"/>
                      <w:color w:val="auto"/>
                    </w:rPr>
                    <w:t>%</w:t>
                  </w:r>
                </w:p>
              </w:tc>
              <w:tc>
                <w:tcPr>
                  <w:tcW w:w="428" w:type="pct"/>
                  <w:vAlign w:val="center"/>
                </w:tcPr>
                <w:p w14:paraId="3F057A78">
                  <w:pPr>
                    <w:keepNext w:val="0"/>
                    <w:keepLines w:val="0"/>
                    <w:suppressLineNumbers w:val="0"/>
                    <w:spacing w:before="0" w:beforeAutospacing="0" w:after="0" w:afterAutospacing="0"/>
                    <w:ind w:left="0" w:right="0"/>
                    <w:jc w:val="center"/>
                    <w:rPr>
                      <w:rFonts w:hint="default" w:ascii="Times New Roman" w:hAnsi="Times New Roman" w:eastAsia="宋体"/>
                      <w:color w:val="auto"/>
                    </w:rPr>
                  </w:pPr>
                  <w:r>
                    <w:rPr>
                      <w:rFonts w:hint="eastAsia" w:ascii="Times New Roman" w:hAnsi="Times New Roman" w:eastAsia="宋体"/>
                      <w:color w:val="auto"/>
                    </w:rPr>
                    <w:t>0</w:t>
                  </w:r>
                </w:p>
              </w:tc>
              <w:tc>
                <w:tcPr>
                  <w:tcW w:w="601" w:type="pct"/>
                  <w:vAlign w:val="center"/>
                </w:tcPr>
                <w:p w14:paraId="60D69EB6">
                  <w:pPr>
                    <w:keepNext w:val="0"/>
                    <w:keepLines w:val="0"/>
                    <w:widowControl/>
                    <w:suppressLineNumbers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color w:val="auto"/>
                      <w:szCs w:val="21"/>
                    </w:rPr>
                    <w:t>达标</w:t>
                  </w:r>
                </w:p>
              </w:tc>
            </w:tr>
          </w:tbl>
          <w:p w14:paraId="5828CAF9">
            <w:pPr>
              <w:pStyle w:val="71"/>
              <w:keepNext w:val="0"/>
              <w:keepLines w:val="0"/>
              <w:widowControl/>
              <w:suppressLineNumbers w:val="0"/>
              <w:spacing w:before="120" w:beforeLines="50" w:beforeAutospacing="0" w:after="0" w:afterAutospacing="0"/>
              <w:ind w:left="0" w:right="0" w:firstLine="480" w:firstLineChars="200"/>
              <w:jc w:val="both"/>
              <w:rPr>
                <w:rFonts w:hint="default" w:ascii="Times New Roman" w:hAnsi="Times New Roman" w:eastAsia="宋体" w:cs="Times New Roman"/>
                <w:b/>
                <w:szCs w:val="24"/>
                <w:lang w:val="en-US" w:eastAsia="zh-CN"/>
              </w:rPr>
            </w:pPr>
            <w:r>
              <w:rPr>
                <w:rFonts w:hint="default" w:ascii="Times New Roman" w:hAnsi="Times New Roman" w:eastAsia="宋体" w:cs="Times New Roman"/>
                <w:szCs w:val="24"/>
              </w:rPr>
              <w:t>监测结果表明，</w:t>
            </w:r>
            <w:r>
              <w:rPr>
                <w:rFonts w:hint="eastAsia" w:ascii="Times New Roman" w:hAnsi="Times New Roman" w:eastAsia="宋体" w:cs="Times New Roman"/>
                <w:iCs/>
              </w:rPr>
              <w:t>项目区域</w:t>
            </w:r>
            <w:r>
              <w:rPr>
                <w:rFonts w:hint="eastAsia" w:ascii="Times New Roman" w:hAnsi="Times New Roman" w:eastAsia="宋体" w:cs="Times New Roman"/>
                <w:szCs w:val="24"/>
              </w:rPr>
              <w:t>TSP</w:t>
            </w:r>
            <w:r>
              <w:rPr>
                <w:rFonts w:hint="default" w:ascii="Times New Roman" w:hAnsi="Times New Roman" w:eastAsia="宋体" w:cs="Times New Roman"/>
                <w:szCs w:val="24"/>
              </w:rPr>
              <w:t>满足《环境空气质量标准》（GB 3095-2012）</w:t>
            </w:r>
            <w:r>
              <w:rPr>
                <w:rFonts w:hint="eastAsia" w:ascii="Times New Roman" w:hAnsi="Times New Roman" w:eastAsia="宋体" w:cs="Times New Roman"/>
                <w:szCs w:val="24"/>
              </w:rPr>
              <w:t>表2</w:t>
            </w:r>
            <w:r>
              <w:rPr>
                <w:rFonts w:hint="default" w:ascii="Times New Roman" w:hAnsi="Times New Roman" w:eastAsia="宋体" w:cs="Times New Roman"/>
                <w:szCs w:val="24"/>
              </w:rPr>
              <w:t>浓度限值</w:t>
            </w:r>
            <w:r>
              <w:rPr>
                <w:rFonts w:hint="eastAsia" w:ascii="Times New Roman" w:hAnsi="Times New Roman" w:eastAsia="宋体" w:cs="Times New Roman"/>
                <w:szCs w:val="24"/>
              </w:rPr>
              <w:t>要求</w:t>
            </w:r>
            <w:r>
              <w:rPr>
                <w:rFonts w:hint="eastAsia" w:eastAsia="宋体" w:cs="Times New Roman"/>
                <w:szCs w:val="24"/>
                <w:lang w:eastAsia="zh-CN"/>
              </w:rPr>
              <w:t>，</w:t>
            </w:r>
            <w:r>
              <w:rPr>
                <w:rFonts w:hint="eastAsia" w:ascii="Times New Roman" w:hAnsi="Times New Roman" w:eastAsia="宋体" w:cs="Times New Roman"/>
                <w:szCs w:val="24"/>
                <w:lang w:val="en-US" w:eastAsia="zh-CN"/>
              </w:rPr>
              <w:t>项目所在区域环境空气质量现状良好。</w:t>
            </w:r>
          </w:p>
          <w:p w14:paraId="763DAA2F">
            <w:pPr>
              <w:keepNext w:val="0"/>
              <w:keepLines w:val="0"/>
              <w:widowControl/>
              <w:suppressLineNumbers w:val="0"/>
              <w:snapToGrid w:val="0"/>
              <w:spacing w:before="0" w:beforeAutospacing="0" w:after="0" w:afterAutospacing="0" w:line="360" w:lineRule="auto"/>
              <w:ind w:left="0" w:right="0"/>
              <w:rPr>
                <w:rFonts w:hint="default" w:ascii="Times New Roman" w:hAnsi="Times New Roman" w:eastAsia="宋体" w:cs="Times New Roman"/>
                <w:b/>
                <w:spacing w:val="10"/>
                <w:sz w:val="24"/>
              </w:rPr>
            </w:pPr>
            <w:r>
              <w:rPr>
                <w:rFonts w:hint="default" w:ascii="Times New Roman" w:hAnsi="Times New Roman" w:eastAsia="宋体" w:cs="Times New Roman"/>
                <w:b/>
                <w:sz w:val="24"/>
              </w:rPr>
              <w:t>二、地表水环境质量</w:t>
            </w:r>
            <w:r>
              <w:rPr>
                <w:rFonts w:hint="eastAsia" w:ascii="Times New Roman" w:hAnsi="Times New Roman" w:eastAsia="宋体" w:cs="Times New Roman"/>
                <w:b/>
                <w:sz w:val="24"/>
              </w:rPr>
              <w:t>现状</w:t>
            </w:r>
          </w:p>
          <w:p w14:paraId="507CE396">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cs="Times New Roman"/>
                <w:kern w:val="0"/>
                <w:sz w:val="24"/>
                <w:lang w:val="en-US" w:eastAsia="zh-CN"/>
              </w:rPr>
            </w:pPr>
            <w:r>
              <w:rPr>
                <w:rFonts w:hint="eastAsia" w:cs="Times New Roman"/>
                <w:sz w:val="24"/>
                <w:szCs w:val="24"/>
                <w:lang w:val="en-US" w:eastAsia="zh-CN"/>
              </w:rPr>
              <w:t>本项目位于</w:t>
            </w:r>
            <w:r>
              <w:rPr>
                <w:rFonts w:hint="eastAsia" w:cs="Times New Roman"/>
                <w:kern w:val="0"/>
                <w:sz w:val="24"/>
                <w:lang w:eastAsia="zh-CN"/>
              </w:rPr>
              <w:t>邻水县石滓镇晒金村8组，</w:t>
            </w:r>
            <w:r>
              <w:rPr>
                <w:rFonts w:hint="eastAsia" w:cs="Times New Roman"/>
                <w:kern w:val="0"/>
                <w:sz w:val="24"/>
                <w:lang w:val="en-US" w:eastAsia="zh-CN"/>
              </w:rPr>
              <w:t>本项目生活污水由厂区预处理池处理后由槽罐车定期转运至邻水县大步口污水处理站进一步处理后排入大洪河。</w:t>
            </w:r>
          </w:p>
          <w:p w14:paraId="4CEF26B3">
            <w:pPr>
              <w:keepNext w:val="0"/>
              <w:keepLines w:val="0"/>
              <w:suppressLineNumbers w:val="0"/>
              <w:adjustRightInd w:val="0"/>
              <w:snapToGrid w:val="0"/>
              <w:spacing w:before="0" w:beforeAutospacing="0" w:after="0" w:afterAutospacing="0" w:line="360" w:lineRule="auto"/>
              <w:ind w:left="0" w:right="0" w:firstLine="520" w:firstLineChars="200"/>
              <w:jc w:val="left"/>
              <w:rPr>
                <w:rFonts w:hint="eastAsia" w:ascii="Times New Roman" w:hAnsi="Times New Roman" w:eastAsia="宋体" w:cs="Times New Roman"/>
                <w:color w:val="auto"/>
                <w:sz w:val="24"/>
                <w:szCs w:val="24"/>
              </w:rPr>
            </w:pPr>
            <w:r>
              <w:rPr>
                <w:rFonts w:hint="default" w:ascii="Times New Roman" w:hAnsi="Times New Roman" w:eastAsia="宋体" w:cs="宋体"/>
                <w:color w:val="auto"/>
                <w:spacing w:val="10"/>
                <w:sz w:val="24"/>
                <w:szCs w:val="24"/>
              </w:rPr>
              <w:t>根据《</w:t>
            </w:r>
            <w:r>
              <w:rPr>
                <w:rFonts w:hint="default" w:ascii="Times New Roman" w:hAnsi="Times New Roman" w:eastAsia="宋体" w:cs="宋体"/>
                <w:color w:val="auto"/>
                <w:spacing w:val="8"/>
                <w:sz w:val="24"/>
                <w:szCs w:val="24"/>
              </w:rPr>
              <w:t>环</w:t>
            </w:r>
            <w:r>
              <w:rPr>
                <w:rFonts w:hint="default" w:ascii="Times New Roman" w:hAnsi="Times New Roman" w:eastAsia="宋体" w:cs="宋体"/>
                <w:color w:val="auto"/>
                <w:spacing w:val="5"/>
                <w:sz w:val="24"/>
                <w:szCs w:val="24"/>
              </w:rPr>
              <w:t>境影响评价技术导则</w:t>
            </w:r>
            <w:r>
              <w:rPr>
                <w:rFonts w:hint="eastAsia" w:cs="宋体"/>
                <w:color w:val="auto"/>
                <w:spacing w:val="5"/>
                <w:sz w:val="24"/>
                <w:szCs w:val="24"/>
                <w:lang w:val="en-US" w:eastAsia="zh-CN"/>
              </w:rPr>
              <w:t xml:space="preserve"> </w:t>
            </w:r>
            <w:r>
              <w:rPr>
                <w:rFonts w:hint="default" w:ascii="Times New Roman" w:hAnsi="Times New Roman" w:eastAsia="宋体" w:cs="宋体"/>
                <w:color w:val="auto"/>
                <w:spacing w:val="5"/>
                <w:sz w:val="24"/>
                <w:szCs w:val="24"/>
              </w:rPr>
              <w:t>地表水环境》(</w:t>
            </w:r>
            <w:r>
              <w:rPr>
                <w:rFonts w:hint="default" w:ascii="Times New Roman" w:hAnsi="Times New Roman" w:eastAsia="宋体" w:cs="Times New Roman"/>
                <w:color w:val="auto"/>
                <w:sz w:val="24"/>
                <w:szCs w:val="24"/>
              </w:rPr>
              <w:t>HJ</w:t>
            </w:r>
            <w:r>
              <w:rPr>
                <w:rFonts w:hint="default" w:ascii="Times New Roman" w:hAnsi="Times New Roman" w:eastAsia="宋体" w:cs="Times New Roman"/>
                <w:color w:val="auto"/>
                <w:spacing w:val="5"/>
                <w:sz w:val="24"/>
                <w:szCs w:val="24"/>
              </w:rPr>
              <w:t>2.3-2018</w:t>
            </w:r>
            <w:r>
              <w:rPr>
                <w:rFonts w:hint="eastAsia" w:ascii="Times New Roman" w:hAnsi="Times New Roman" w:eastAsia="宋体" w:cs="Times New Roman"/>
                <w:color w:val="auto"/>
                <w:spacing w:val="5"/>
                <w:sz w:val="24"/>
                <w:szCs w:val="24"/>
              </w:rPr>
              <w:t>)</w:t>
            </w:r>
            <w:r>
              <w:rPr>
                <w:rFonts w:hint="default" w:ascii="Times New Roman" w:hAnsi="Times New Roman" w:eastAsia="宋体" w:cs="宋体"/>
                <w:color w:val="auto"/>
                <w:spacing w:val="5"/>
                <w:sz w:val="24"/>
                <w:szCs w:val="24"/>
              </w:rPr>
              <w:t>中有关水环境质</w:t>
            </w:r>
            <w:r>
              <w:rPr>
                <w:rFonts w:hint="default" w:ascii="Times New Roman" w:hAnsi="Times New Roman" w:eastAsia="宋体" w:cs="宋体"/>
                <w:color w:val="auto"/>
                <w:spacing w:val="1"/>
                <w:sz w:val="24"/>
                <w:szCs w:val="24"/>
              </w:rPr>
              <w:t>量现状</w:t>
            </w:r>
            <w:r>
              <w:rPr>
                <w:rFonts w:hint="default" w:ascii="Times New Roman" w:hAnsi="Times New Roman" w:eastAsia="宋体" w:cs="宋体"/>
                <w:color w:val="auto"/>
                <w:sz w:val="24"/>
                <w:szCs w:val="24"/>
              </w:rPr>
              <w:t>调查的规定，应优先采用国务院生态环境保护主管部门统一发布的水环境</w:t>
            </w:r>
            <w:r>
              <w:rPr>
                <w:rFonts w:hint="default" w:ascii="Times New Roman" w:hAnsi="Times New Roman" w:eastAsia="宋体" w:cs="宋体"/>
                <w:color w:val="auto"/>
                <w:spacing w:val="-14"/>
                <w:sz w:val="24"/>
                <w:szCs w:val="24"/>
              </w:rPr>
              <w:t>状</w:t>
            </w:r>
            <w:r>
              <w:rPr>
                <w:rFonts w:hint="default" w:ascii="Times New Roman" w:hAnsi="Times New Roman" w:eastAsia="宋体" w:cs="宋体"/>
                <w:color w:val="auto"/>
                <w:spacing w:val="-9"/>
                <w:sz w:val="24"/>
                <w:szCs w:val="24"/>
              </w:rPr>
              <w:t>况</w:t>
            </w:r>
            <w:r>
              <w:rPr>
                <w:rFonts w:hint="default" w:ascii="Times New Roman" w:hAnsi="Times New Roman" w:eastAsia="宋体" w:cs="宋体"/>
                <w:color w:val="auto"/>
                <w:spacing w:val="-7"/>
                <w:sz w:val="24"/>
                <w:szCs w:val="24"/>
              </w:rPr>
              <w:t>信息。</w:t>
            </w:r>
            <w:r>
              <w:rPr>
                <w:rFonts w:hint="eastAsia" w:ascii="Times New Roman" w:hAnsi="Times New Roman" w:eastAsia="宋体" w:cs="宋体"/>
                <w:color w:val="auto"/>
                <w:spacing w:val="-7"/>
                <w:sz w:val="24"/>
                <w:szCs w:val="24"/>
              </w:rPr>
              <w:t>本次评价引用广安市人民政府网站公布的2024年1月至2024年12月（https://www.guang-an.gov.cn/gasrmzfw/c111587/pc/list.html）国控地表水水质月报</w:t>
            </w:r>
            <w:r>
              <w:rPr>
                <w:rFonts w:hint="eastAsia" w:ascii="Times New Roman" w:hAnsi="Times New Roman" w:eastAsia="宋体" w:cs="宋体"/>
                <w:color w:val="auto"/>
                <w:spacing w:val="-7"/>
                <w:sz w:val="24"/>
                <w:szCs w:val="24"/>
                <w:lang w:val="en-US" w:eastAsia="zh-CN"/>
              </w:rPr>
              <w:t>进行统计，</w:t>
            </w:r>
            <w:r>
              <w:rPr>
                <w:rFonts w:hint="eastAsia" w:ascii="Times New Roman" w:hAnsi="Times New Roman" w:eastAsia="宋体" w:cs="Times New Roman"/>
                <w:color w:val="auto"/>
                <w:sz w:val="24"/>
                <w:szCs w:val="24"/>
                <w:lang w:val="en-US" w:eastAsia="zh-CN"/>
              </w:rPr>
              <w:t>大洪河岗架大桥断面和黎家乡崔家岩村断面</w:t>
            </w:r>
            <w:r>
              <w:rPr>
                <w:rFonts w:hint="eastAsia" w:ascii="Times New Roman" w:hAnsi="Times New Roman" w:eastAsia="宋体" w:cs="宋体"/>
                <w:color w:val="auto"/>
                <w:spacing w:val="-7"/>
                <w:sz w:val="24"/>
                <w:szCs w:val="24"/>
                <w:lang w:val="en-US" w:eastAsia="zh-CN"/>
              </w:rPr>
              <w:t>2024年水环境</w:t>
            </w:r>
            <w:r>
              <w:rPr>
                <w:rFonts w:hint="default" w:ascii="Times New Roman" w:hAnsi="Times New Roman" w:eastAsia="宋体"/>
                <w:sz w:val="24"/>
              </w:rPr>
              <w:t>质量现状见下表所示</w:t>
            </w:r>
            <w:r>
              <w:rPr>
                <w:rFonts w:hint="eastAsia" w:ascii="Times New Roman" w:hAnsi="Times New Roman" w:eastAsia="宋体"/>
                <w:color w:val="auto"/>
                <w:sz w:val="24"/>
                <w:szCs w:val="24"/>
                <w:lang w:val="en-US" w:eastAsia="zh-CN"/>
              </w:rPr>
              <w:t>。</w:t>
            </w:r>
          </w:p>
          <w:p w14:paraId="782B7E44">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ascii="Times New Roman" w:hAnsi="Times New Roman" w:eastAsia="宋体"/>
                <w:b/>
                <w:bCs/>
                <w:sz w:val="21"/>
                <w:szCs w:val="21"/>
                <w:lang w:val="en-US" w:eastAsia="zh-CN"/>
              </w:rPr>
            </w:pPr>
            <w:r>
              <w:rPr>
                <w:rFonts w:hint="eastAsia" w:ascii="Times New Roman" w:hAnsi="Times New Roman" w:eastAsia="宋体"/>
                <w:b/>
                <w:bCs/>
                <w:sz w:val="21"/>
                <w:szCs w:val="21"/>
                <w:lang w:val="en-US" w:eastAsia="zh-CN"/>
              </w:rPr>
              <w:t>表3-</w:t>
            </w:r>
            <w:r>
              <w:rPr>
                <w:rFonts w:hint="eastAsia"/>
                <w:b/>
                <w:bCs/>
                <w:sz w:val="21"/>
                <w:szCs w:val="21"/>
                <w:lang w:val="en-US" w:eastAsia="zh-CN"/>
              </w:rPr>
              <w:t>2</w:t>
            </w:r>
            <w:r>
              <w:rPr>
                <w:rFonts w:hint="eastAsia" w:ascii="Times New Roman" w:hAnsi="Times New Roman" w:eastAsia="宋体"/>
                <w:b/>
                <w:bCs/>
                <w:sz w:val="21"/>
                <w:szCs w:val="21"/>
                <w:lang w:val="en-US" w:eastAsia="zh-CN"/>
              </w:rPr>
              <w:t xml:space="preserve">   大洪河岗架大桥断面和黎家乡崔家岩村断面</w:t>
            </w:r>
            <w:r>
              <w:rPr>
                <w:rFonts w:hint="eastAsia" w:ascii="Times New Roman" w:hAnsi="Times New Roman" w:eastAsia="宋体" w:cs="宋体"/>
                <w:b/>
                <w:bCs/>
                <w:color w:val="auto"/>
                <w:spacing w:val="-7"/>
                <w:sz w:val="21"/>
                <w:szCs w:val="21"/>
                <w:lang w:val="en-US" w:eastAsia="zh-CN"/>
              </w:rPr>
              <w:t>2024年水环境</w:t>
            </w:r>
            <w:r>
              <w:rPr>
                <w:rFonts w:hint="default" w:ascii="Times New Roman" w:hAnsi="Times New Roman" w:eastAsia="宋体"/>
                <w:b/>
                <w:bCs/>
                <w:sz w:val="21"/>
                <w:szCs w:val="21"/>
              </w:rPr>
              <w:t>质量</w:t>
            </w:r>
            <w:r>
              <w:rPr>
                <w:rFonts w:hint="eastAsia" w:ascii="Times New Roman" w:hAnsi="Times New Roman" w:eastAsia="宋体"/>
                <w:b/>
                <w:bCs/>
                <w:sz w:val="21"/>
                <w:szCs w:val="21"/>
                <w:lang w:val="en-US" w:eastAsia="zh-CN"/>
              </w:rPr>
              <w:t>现状监测结果</w:t>
            </w:r>
          </w:p>
          <w:tbl>
            <w:tblPr>
              <w:tblStyle w:val="25"/>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15" w:type="dxa"/>
                <w:left w:w="15" w:type="dxa"/>
                <w:bottom w:w="15" w:type="dxa"/>
                <w:right w:w="15" w:type="dxa"/>
              </w:tblCellMar>
            </w:tblPr>
            <w:tblGrid>
              <w:gridCol w:w="1074"/>
              <w:gridCol w:w="1256"/>
              <w:gridCol w:w="1352"/>
              <w:gridCol w:w="1644"/>
              <w:gridCol w:w="1481"/>
              <w:gridCol w:w="1583"/>
            </w:tblGrid>
            <w:tr w14:paraId="32EC18C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817" w:hRule="atLeast"/>
                <w:tblHeader/>
                <w:jc w:val="center"/>
              </w:trPr>
              <w:tc>
                <w:tcPr>
                  <w:tcW w:w="640" w:type="pct"/>
                  <w:noWrap w:val="0"/>
                  <w:vAlign w:val="center"/>
                </w:tcPr>
                <w:p w14:paraId="6F6EB896">
                  <w:pPr>
                    <w:pStyle w:val="115"/>
                    <w:keepNext w:val="0"/>
                    <w:keepLines w:val="0"/>
                    <w:widowControl/>
                    <w:suppressLineNumbers w:val="0"/>
                    <w:adjustRightInd/>
                    <w:snapToGrid/>
                    <w:spacing w:before="0" w:beforeAutospacing="0" w:after="0" w:afterAutospacing="0"/>
                    <w:ind w:left="0" w:right="0"/>
                    <w:rPr>
                      <w:rFonts w:hint="eastAsia" w:ascii="Times New Roman" w:hAnsi="Times New Roman" w:eastAsia="宋体"/>
                      <w:b/>
                      <w:bCs/>
                      <w:lang w:eastAsia="zh-CN"/>
                    </w:rPr>
                  </w:pPr>
                  <w:r>
                    <w:rPr>
                      <w:rFonts w:hint="eastAsia" w:ascii="Times New Roman" w:hAnsi="Times New Roman" w:eastAsia="宋体"/>
                      <w:b/>
                      <w:bCs/>
                      <w:lang w:val="en-US" w:eastAsia="zh-CN"/>
                    </w:rPr>
                    <w:t>流域</w:t>
                  </w:r>
                </w:p>
              </w:tc>
              <w:tc>
                <w:tcPr>
                  <w:tcW w:w="748" w:type="pct"/>
                  <w:noWrap w:val="0"/>
                  <w:vAlign w:val="center"/>
                </w:tcPr>
                <w:p w14:paraId="4C5AEFB1">
                  <w:pPr>
                    <w:pStyle w:val="115"/>
                    <w:keepNext w:val="0"/>
                    <w:keepLines w:val="0"/>
                    <w:widowControl/>
                    <w:suppressLineNumbers w:val="0"/>
                    <w:adjustRightInd/>
                    <w:snapToGrid/>
                    <w:spacing w:before="0" w:beforeAutospacing="0" w:after="0" w:afterAutospacing="0"/>
                    <w:ind w:left="0" w:right="0"/>
                    <w:rPr>
                      <w:rFonts w:hint="default" w:ascii="Times New Roman" w:hAnsi="Times New Roman" w:eastAsia="宋体"/>
                      <w:b/>
                      <w:bCs/>
                      <w:lang w:val="en-US" w:eastAsia="zh-CN"/>
                    </w:rPr>
                  </w:pPr>
                  <w:r>
                    <w:rPr>
                      <w:rFonts w:hint="eastAsia" w:ascii="Times New Roman" w:hAnsi="Times New Roman" w:eastAsia="宋体"/>
                      <w:b/>
                      <w:bCs/>
                      <w:lang w:val="en-US" w:eastAsia="zh-CN"/>
                    </w:rPr>
                    <w:t>河流名称</w:t>
                  </w:r>
                </w:p>
              </w:tc>
              <w:tc>
                <w:tcPr>
                  <w:tcW w:w="805" w:type="pct"/>
                  <w:noWrap w:val="0"/>
                  <w:vAlign w:val="center"/>
                </w:tcPr>
                <w:p w14:paraId="7A19B2AE">
                  <w:pPr>
                    <w:pStyle w:val="115"/>
                    <w:keepNext w:val="0"/>
                    <w:keepLines w:val="0"/>
                    <w:widowControl/>
                    <w:suppressLineNumbers w:val="0"/>
                    <w:adjustRightInd/>
                    <w:snapToGrid/>
                    <w:spacing w:before="0" w:beforeAutospacing="0" w:after="0" w:afterAutospacing="0"/>
                    <w:ind w:left="0" w:right="0"/>
                    <w:rPr>
                      <w:rFonts w:hint="default" w:ascii="Times New Roman" w:hAnsi="Times New Roman" w:eastAsia="宋体"/>
                      <w:b/>
                      <w:bCs/>
                      <w:lang w:val="en-US" w:eastAsia="zh-CN"/>
                    </w:rPr>
                  </w:pPr>
                  <w:r>
                    <w:rPr>
                      <w:rFonts w:hint="eastAsia" w:ascii="Times New Roman" w:hAnsi="Times New Roman" w:eastAsia="宋体"/>
                      <w:b/>
                      <w:bCs/>
                      <w:lang w:val="en-US" w:eastAsia="zh-CN"/>
                    </w:rPr>
                    <w:t>断面名称</w:t>
                  </w:r>
                </w:p>
              </w:tc>
              <w:tc>
                <w:tcPr>
                  <w:tcW w:w="979" w:type="pct"/>
                  <w:noWrap w:val="0"/>
                  <w:vAlign w:val="center"/>
                </w:tcPr>
                <w:p w14:paraId="1A3F8A12">
                  <w:pPr>
                    <w:pStyle w:val="115"/>
                    <w:keepNext w:val="0"/>
                    <w:keepLines w:val="0"/>
                    <w:widowControl/>
                    <w:suppressLineNumbers w:val="0"/>
                    <w:adjustRightInd/>
                    <w:snapToGrid/>
                    <w:spacing w:before="0" w:beforeAutospacing="0" w:after="0" w:afterAutospacing="0"/>
                    <w:ind w:left="0" w:right="0"/>
                    <w:rPr>
                      <w:rFonts w:hint="default" w:ascii="Times New Roman" w:hAnsi="Times New Roman" w:eastAsia="宋体"/>
                      <w:b/>
                      <w:bCs/>
                      <w:lang w:val="en-US" w:eastAsia="zh-CN"/>
                    </w:rPr>
                  </w:pPr>
                  <w:r>
                    <w:rPr>
                      <w:rFonts w:hint="eastAsia" w:ascii="Times New Roman" w:hAnsi="Times New Roman" w:eastAsia="宋体"/>
                      <w:b/>
                      <w:bCs/>
                      <w:lang w:val="en-US" w:eastAsia="zh-CN"/>
                    </w:rPr>
                    <w:t>规定水质类别</w:t>
                  </w:r>
                </w:p>
              </w:tc>
              <w:tc>
                <w:tcPr>
                  <w:tcW w:w="882" w:type="pct"/>
                  <w:noWrap w:val="0"/>
                  <w:vAlign w:val="center"/>
                </w:tcPr>
                <w:p w14:paraId="57C66D9D">
                  <w:pPr>
                    <w:pStyle w:val="115"/>
                    <w:keepNext w:val="0"/>
                    <w:keepLines w:val="0"/>
                    <w:widowControl/>
                    <w:suppressLineNumbers w:val="0"/>
                    <w:adjustRightInd/>
                    <w:snapToGrid/>
                    <w:spacing w:before="0" w:beforeAutospacing="0" w:after="0" w:afterAutospacing="0"/>
                    <w:ind w:left="0" w:right="0"/>
                    <w:rPr>
                      <w:rFonts w:hint="default" w:ascii="Times New Roman" w:hAnsi="Times New Roman" w:eastAsia="宋体"/>
                      <w:b/>
                      <w:bCs/>
                      <w:lang w:val="en-US" w:eastAsia="zh-CN"/>
                    </w:rPr>
                  </w:pPr>
                  <w:r>
                    <w:rPr>
                      <w:rFonts w:hint="eastAsia" w:ascii="Times New Roman" w:hAnsi="Times New Roman" w:eastAsia="宋体"/>
                      <w:b/>
                      <w:bCs/>
                      <w:lang w:val="en-US" w:eastAsia="zh-CN"/>
                    </w:rPr>
                    <w:t>监测月份</w:t>
                  </w:r>
                </w:p>
              </w:tc>
              <w:tc>
                <w:tcPr>
                  <w:tcW w:w="943" w:type="pct"/>
                  <w:noWrap w:val="0"/>
                  <w:vAlign w:val="center"/>
                </w:tcPr>
                <w:p w14:paraId="338BB46D">
                  <w:pPr>
                    <w:pStyle w:val="115"/>
                    <w:keepNext w:val="0"/>
                    <w:keepLines w:val="0"/>
                    <w:widowControl/>
                    <w:suppressLineNumbers w:val="0"/>
                    <w:adjustRightInd/>
                    <w:snapToGrid/>
                    <w:spacing w:before="0" w:beforeAutospacing="0" w:after="0" w:afterAutospacing="0"/>
                    <w:ind w:left="0" w:right="0"/>
                    <w:rPr>
                      <w:rFonts w:hint="default" w:ascii="Times New Roman" w:hAnsi="Times New Roman" w:eastAsia="宋体"/>
                      <w:b/>
                      <w:bCs/>
                    </w:rPr>
                  </w:pPr>
                  <w:r>
                    <w:rPr>
                      <w:rFonts w:hint="eastAsia" w:ascii="Times New Roman" w:hAnsi="Times New Roman" w:eastAsia="宋体"/>
                      <w:b/>
                      <w:bCs/>
                      <w:lang w:val="en-US" w:eastAsia="zh-CN"/>
                    </w:rPr>
                    <w:t>水质评价结果</w:t>
                  </w:r>
                </w:p>
              </w:tc>
            </w:tr>
            <w:tr w14:paraId="323BE92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53" w:hRule="atLeast"/>
                <w:jc w:val="center"/>
              </w:trPr>
              <w:tc>
                <w:tcPr>
                  <w:tcW w:w="640" w:type="pct"/>
                  <w:vMerge w:val="restart"/>
                  <w:noWrap w:val="0"/>
                  <w:vAlign w:val="center"/>
                </w:tcPr>
                <w:p w14:paraId="027AE5D1">
                  <w:pPr>
                    <w:pStyle w:val="116"/>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szCs w:val="21"/>
                      <w:lang w:val="en-US" w:eastAsia="zh-CN"/>
                    </w:rPr>
                    <w:t>长江</w:t>
                  </w:r>
                </w:p>
              </w:tc>
              <w:tc>
                <w:tcPr>
                  <w:tcW w:w="748" w:type="pct"/>
                  <w:vMerge w:val="restart"/>
                  <w:noWrap w:val="0"/>
                  <w:vAlign w:val="center"/>
                </w:tcPr>
                <w:p w14:paraId="59687894">
                  <w:pPr>
                    <w:pStyle w:val="116"/>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zCs w:val="21"/>
                      <w:lang w:eastAsia="zh-CN"/>
                    </w:rPr>
                  </w:pPr>
                  <w:r>
                    <w:rPr>
                      <w:rFonts w:hint="eastAsia" w:ascii="Times New Roman" w:hAnsi="Times New Roman" w:eastAsia="宋体"/>
                      <w:b w:val="0"/>
                      <w:bCs w:val="0"/>
                      <w:sz w:val="21"/>
                      <w:szCs w:val="21"/>
                      <w:lang w:val="en-US" w:eastAsia="zh-CN"/>
                    </w:rPr>
                    <w:t>大洪河</w:t>
                  </w:r>
                </w:p>
              </w:tc>
              <w:tc>
                <w:tcPr>
                  <w:tcW w:w="805" w:type="pct"/>
                  <w:vMerge w:val="restart"/>
                  <w:noWrap w:val="0"/>
                  <w:vAlign w:val="center"/>
                </w:tcPr>
                <w:p w14:paraId="520DE522">
                  <w:pPr>
                    <w:keepNext w:val="0"/>
                    <w:keepLines w:val="0"/>
                    <w:widowControl/>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eastAsia="zh-CN"/>
                    </w:rPr>
                    <w:t>岗架大桥断面</w:t>
                  </w:r>
                </w:p>
              </w:tc>
              <w:tc>
                <w:tcPr>
                  <w:tcW w:w="979" w:type="pct"/>
                  <w:vMerge w:val="restart"/>
                  <w:noWrap w:val="0"/>
                  <w:vAlign w:val="center"/>
                </w:tcPr>
                <w:p w14:paraId="6955A37B">
                  <w:pPr>
                    <w:pStyle w:val="115"/>
                    <w:keepNext w:val="0"/>
                    <w:keepLines w:val="0"/>
                    <w:widowControl/>
                    <w:suppressLineNumbers w:val="0"/>
                    <w:adjustRightInd/>
                    <w:snapToGrid/>
                    <w:spacing w:before="0" w:beforeAutospacing="0" w:after="0" w:afterAutospacing="0"/>
                    <w:ind w:left="0" w:leftChars="0" w:right="0" w:rightChars="0" w:firstLine="0" w:firstLineChars="0"/>
                    <w:jc w:val="center"/>
                    <w:rPr>
                      <w:rFonts w:hint="default" w:ascii="Times New Roman" w:hAnsi="Times New Roman" w:eastAsia="宋体"/>
                      <w:lang w:val="en-US" w:eastAsia="zh-CN"/>
                    </w:rPr>
                  </w:pPr>
                  <w:r>
                    <w:rPr>
                      <w:rFonts w:hint="default" w:ascii="Times New Roman" w:hAnsi="Times New Roman" w:eastAsia="宋体"/>
                      <w:lang w:val="en-US" w:eastAsia="zh-CN"/>
                    </w:rPr>
                    <w:t>Ⅲ</w:t>
                  </w:r>
                </w:p>
              </w:tc>
              <w:tc>
                <w:tcPr>
                  <w:tcW w:w="882" w:type="pct"/>
                  <w:noWrap w:val="0"/>
                  <w:vAlign w:val="center"/>
                </w:tcPr>
                <w:p w14:paraId="44D09B97">
                  <w:pPr>
                    <w:pStyle w:val="115"/>
                    <w:keepNext w:val="0"/>
                    <w:keepLines w:val="0"/>
                    <w:widowControl/>
                    <w:suppressLineNumbers w:val="0"/>
                    <w:adjustRightInd/>
                    <w:snapToGrid/>
                    <w:spacing w:before="0" w:beforeAutospacing="0" w:after="0" w:afterAutospacing="0"/>
                    <w:ind w:left="0" w:leftChars="0" w:right="0" w:rightChars="0" w:firstLine="0" w:firstLineChars="0"/>
                    <w:jc w:val="center"/>
                    <w:rPr>
                      <w:rFonts w:hint="default" w:ascii="Times New Roman" w:hAnsi="Times New Roman" w:eastAsia="宋体"/>
                      <w:lang w:val="en-US" w:eastAsia="zh-CN"/>
                    </w:rPr>
                  </w:pPr>
                  <w:r>
                    <w:rPr>
                      <w:rFonts w:hint="eastAsia" w:ascii="Times New Roman" w:hAnsi="Times New Roman" w:eastAsia="宋体"/>
                      <w:lang w:val="en-US" w:eastAsia="zh-CN"/>
                    </w:rPr>
                    <w:t>1月</w:t>
                  </w:r>
                </w:p>
              </w:tc>
              <w:tc>
                <w:tcPr>
                  <w:tcW w:w="943" w:type="pct"/>
                  <w:noWrap w:val="0"/>
                  <w:vAlign w:val="center"/>
                </w:tcPr>
                <w:p w14:paraId="53AFC0FA">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rPr>
                  </w:pPr>
                  <w:r>
                    <w:rPr>
                      <w:rFonts w:hint="default" w:ascii="Times New Roman" w:hAnsi="Times New Roman" w:eastAsia="宋体"/>
                      <w:lang w:val="en-US" w:eastAsia="zh-CN"/>
                    </w:rPr>
                    <w:t>Ⅱ</w:t>
                  </w:r>
                </w:p>
              </w:tc>
            </w:tr>
            <w:tr w14:paraId="308672E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53" w:hRule="atLeast"/>
                <w:jc w:val="center"/>
              </w:trPr>
              <w:tc>
                <w:tcPr>
                  <w:tcW w:w="640" w:type="pct"/>
                  <w:vMerge w:val="continue"/>
                  <w:noWrap w:val="0"/>
                  <w:vAlign w:val="center"/>
                </w:tcPr>
                <w:p w14:paraId="2D2405A6">
                  <w:pPr>
                    <w:pStyle w:val="116"/>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zCs w:val="21"/>
                      <w:lang w:val="en-US" w:eastAsia="zh-CN"/>
                    </w:rPr>
                  </w:pPr>
                </w:p>
              </w:tc>
              <w:tc>
                <w:tcPr>
                  <w:tcW w:w="748" w:type="pct"/>
                  <w:vMerge w:val="continue"/>
                  <w:noWrap w:val="0"/>
                  <w:vAlign w:val="center"/>
                </w:tcPr>
                <w:p w14:paraId="395FC2D4">
                  <w:pPr>
                    <w:pStyle w:val="116"/>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zCs w:val="21"/>
                      <w:lang w:eastAsia="zh-CN"/>
                    </w:rPr>
                  </w:pPr>
                </w:p>
              </w:tc>
              <w:tc>
                <w:tcPr>
                  <w:tcW w:w="805" w:type="pct"/>
                  <w:vMerge w:val="continue"/>
                  <w:noWrap w:val="0"/>
                  <w:vAlign w:val="center"/>
                </w:tcPr>
                <w:p w14:paraId="6D71F7AE">
                  <w:pPr>
                    <w:keepNext w:val="0"/>
                    <w:keepLines w:val="0"/>
                    <w:widowControl/>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zCs w:val="21"/>
                      <w:lang w:eastAsia="zh-CN"/>
                    </w:rPr>
                  </w:pPr>
                </w:p>
              </w:tc>
              <w:tc>
                <w:tcPr>
                  <w:tcW w:w="979" w:type="pct"/>
                  <w:vMerge w:val="continue"/>
                  <w:noWrap w:val="0"/>
                  <w:vAlign w:val="center"/>
                </w:tcPr>
                <w:p w14:paraId="13E821E1">
                  <w:pPr>
                    <w:pStyle w:val="115"/>
                    <w:keepNext w:val="0"/>
                    <w:keepLines w:val="0"/>
                    <w:widowControl/>
                    <w:suppressLineNumbers w:val="0"/>
                    <w:adjustRightInd/>
                    <w:snapToGrid/>
                    <w:spacing w:before="0" w:beforeAutospacing="0" w:after="0" w:afterAutospacing="0"/>
                    <w:ind w:left="0" w:leftChars="0" w:right="0" w:rightChars="0" w:firstLine="0" w:firstLineChars="0"/>
                    <w:jc w:val="center"/>
                    <w:rPr>
                      <w:rFonts w:hint="default" w:ascii="Times New Roman" w:hAnsi="Times New Roman" w:eastAsia="宋体"/>
                      <w:lang w:val="en-US" w:eastAsia="zh-CN"/>
                    </w:rPr>
                  </w:pPr>
                </w:p>
              </w:tc>
              <w:tc>
                <w:tcPr>
                  <w:tcW w:w="882" w:type="pct"/>
                  <w:noWrap w:val="0"/>
                  <w:vAlign w:val="center"/>
                </w:tcPr>
                <w:p w14:paraId="5AE3B163">
                  <w:pPr>
                    <w:keepNext w:val="0"/>
                    <w:keepLines w:val="0"/>
                    <w:widowControl/>
                    <w:suppressLineNumbers w:val="0"/>
                    <w:adjustRightInd/>
                    <w:snapToGrid/>
                    <w:spacing w:before="0" w:beforeAutospacing="0" w:after="0" w:afterAutospacing="0"/>
                    <w:ind w:left="0" w:leftChars="0" w:right="0" w:rightChars="0" w:firstLine="0" w:firstLineChars="0"/>
                    <w:jc w:val="center"/>
                    <w:rPr>
                      <w:rFonts w:hint="eastAsia" w:ascii="Times New Roman" w:hAnsi="Times New Roman" w:eastAsia="宋体"/>
                      <w:lang w:val="en-US" w:eastAsia="zh-CN"/>
                    </w:rPr>
                  </w:pPr>
                  <w:r>
                    <w:rPr>
                      <w:rFonts w:hint="eastAsia" w:ascii="Times New Roman" w:hAnsi="Times New Roman" w:eastAsia="宋体"/>
                      <w:lang w:val="en-US" w:eastAsia="zh-CN"/>
                    </w:rPr>
                    <w:t>2月</w:t>
                  </w:r>
                </w:p>
              </w:tc>
              <w:tc>
                <w:tcPr>
                  <w:tcW w:w="943" w:type="pct"/>
                  <w:noWrap w:val="0"/>
                  <w:vAlign w:val="center"/>
                </w:tcPr>
                <w:p w14:paraId="7CC8024F">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lang w:val="en-US" w:eastAsia="zh-CN"/>
                    </w:rPr>
                  </w:pPr>
                  <w:r>
                    <w:rPr>
                      <w:rFonts w:hint="default" w:ascii="Times New Roman" w:hAnsi="Times New Roman" w:eastAsia="宋体"/>
                      <w:lang w:val="en-US" w:eastAsia="zh-CN"/>
                    </w:rPr>
                    <w:t>Ⅱ</w:t>
                  </w:r>
                </w:p>
              </w:tc>
            </w:tr>
            <w:tr w14:paraId="4E5C7C7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53" w:hRule="atLeast"/>
                <w:jc w:val="center"/>
              </w:trPr>
              <w:tc>
                <w:tcPr>
                  <w:tcW w:w="640" w:type="pct"/>
                  <w:vMerge w:val="continue"/>
                  <w:noWrap w:val="0"/>
                  <w:vAlign w:val="center"/>
                </w:tcPr>
                <w:p w14:paraId="4052F594">
                  <w:pPr>
                    <w:pStyle w:val="116"/>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zCs w:val="21"/>
                      <w:lang w:val="en-US" w:eastAsia="zh-CN"/>
                    </w:rPr>
                  </w:pPr>
                </w:p>
              </w:tc>
              <w:tc>
                <w:tcPr>
                  <w:tcW w:w="748" w:type="pct"/>
                  <w:vMerge w:val="continue"/>
                  <w:noWrap w:val="0"/>
                  <w:vAlign w:val="center"/>
                </w:tcPr>
                <w:p w14:paraId="5297E3C9">
                  <w:pPr>
                    <w:pStyle w:val="116"/>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zCs w:val="21"/>
                      <w:lang w:eastAsia="zh-CN"/>
                    </w:rPr>
                  </w:pPr>
                </w:p>
              </w:tc>
              <w:tc>
                <w:tcPr>
                  <w:tcW w:w="805" w:type="pct"/>
                  <w:vMerge w:val="continue"/>
                  <w:noWrap w:val="0"/>
                  <w:vAlign w:val="center"/>
                </w:tcPr>
                <w:p w14:paraId="15C49480">
                  <w:pPr>
                    <w:keepNext w:val="0"/>
                    <w:keepLines w:val="0"/>
                    <w:widowControl/>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zCs w:val="21"/>
                      <w:lang w:eastAsia="zh-CN"/>
                    </w:rPr>
                  </w:pPr>
                </w:p>
              </w:tc>
              <w:tc>
                <w:tcPr>
                  <w:tcW w:w="979" w:type="pct"/>
                  <w:vMerge w:val="continue"/>
                  <w:noWrap w:val="0"/>
                  <w:vAlign w:val="center"/>
                </w:tcPr>
                <w:p w14:paraId="3D6300A6">
                  <w:pPr>
                    <w:pStyle w:val="115"/>
                    <w:keepNext w:val="0"/>
                    <w:keepLines w:val="0"/>
                    <w:widowControl/>
                    <w:suppressLineNumbers w:val="0"/>
                    <w:adjustRightInd/>
                    <w:snapToGrid/>
                    <w:spacing w:before="0" w:beforeAutospacing="0" w:after="0" w:afterAutospacing="0"/>
                    <w:ind w:left="0" w:leftChars="0" w:right="0" w:rightChars="0" w:firstLine="0" w:firstLineChars="0"/>
                    <w:jc w:val="center"/>
                    <w:rPr>
                      <w:rFonts w:hint="default" w:ascii="Times New Roman" w:hAnsi="Times New Roman" w:eastAsia="宋体"/>
                      <w:lang w:val="en-US" w:eastAsia="zh-CN"/>
                    </w:rPr>
                  </w:pPr>
                </w:p>
              </w:tc>
              <w:tc>
                <w:tcPr>
                  <w:tcW w:w="882" w:type="pct"/>
                  <w:noWrap w:val="0"/>
                  <w:vAlign w:val="center"/>
                </w:tcPr>
                <w:p w14:paraId="05C822ED">
                  <w:pPr>
                    <w:keepNext w:val="0"/>
                    <w:keepLines w:val="0"/>
                    <w:widowControl/>
                    <w:suppressLineNumbers w:val="0"/>
                    <w:adjustRightInd/>
                    <w:snapToGrid/>
                    <w:spacing w:before="0" w:beforeAutospacing="0" w:after="0" w:afterAutospacing="0"/>
                    <w:ind w:left="0" w:leftChars="0" w:right="0" w:rightChars="0" w:firstLine="0" w:firstLineChars="0"/>
                    <w:jc w:val="center"/>
                    <w:rPr>
                      <w:rFonts w:hint="eastAsia" w:ascii="Times New Roman" w:hAnsi="Times New Roman" w:eastAsia="宋体"/>
                      <w:lang w:val="en-US" w:eastAsia="zh-CN"/>
                    </w:rPr>
                  </w:pPr>
                  <w:r>
                    <w:rPr>
                      <w:rFonts w:hint="eastAsia" w:ascii="Times New Roman" w:hAnsi="Times New Roman" w:eastAsia="宋体"/>
                      <w:lang w:val="en-US" w:eastAsia="zh-CN"/>
                    </w:rPr>
                    <w:t>3月</w:t>
                  </w:r>
                </w:p>
              </w:tc>
              <w:tc>
                <w:tcPr>
                  <w:tcW w:w="943" w:type="pct"/>
                  <w:noWrap w:val="0"/>
                  <w:vAlign w:val="center"/>
                </w:tcPr>
                <w:p w14:paraId="1864C0B2">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lang w:val="en-US" w:eastAsia="zh-CN"/>
                    </w:rPr>
                  </w:pPr>
                  <w:r>
                    <w:rPr>
                      <w:rFonts w:hint="default" w:ascii="Times New Roman" w:hAnsi="Times New Roman" w:eastAsia="宋体"/>
                      <w:lang w:val="en-US" w:eastAsia="zh-CN"/>
                    </w:rPr>
                    <w:t>Ⅲ</w:t>
                  </w:r>
                </w:p>
              </w:tc>
            </w:tr>
            <w:tr w14:paraId="34EB035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53" w:hRule="atLeast"/>
                <w:jc w:val="center"/>
              </w:trPr>
              <w:tc>
                <w:tcPr>
                  <w:tcW w:w="640" w:type="pct"/>
                  <w:vMerge w:val="continue"/>
                  <w:noWrap w:val="0"/>
                  <w:vAlign w:val="center"/>
                </w:tcPr>
                <w:p w14:paraId="4B05984C">
                  <w:pPr>
                    <w:pStyle w:val="116"/>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zCs w:val="21"/>
                      <w:lang w:val="en-US" w:eastAsia="zh-CN"/>
                    </w:rPr>
                  </w:pPr>
                </w:p>
              </w:tc>
              <w:tc>
                <w:tcPr>
                  <w:tcW w:w="748" w:type="pct"/>
                  <w:vMerge w:val="continue"/>
                  <w:noWrap w:val="0"/>
                  <w:vAlign w:val="center"/>
                </w:tcPr>
                <w:p w14:paraId="18C058AF">
                  <w:pPr>
                    <w:pStyle w:val="116"/>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zCs w:val="21"/>
                      <w:lang w:eastAsia="zh-CN"/>
                    </w:rPr>
                  </w:pPr>
                </w:p>
              </w:tc>
              <w:tc>
                <w:tcPr>
                  <w:tcW w:w="805" w:type="pct"/>
                  <w:vMerge w:val="continue"/>
                  <w:noWrap w:val="0"/>
                  <w:vAlign w:val="center"/>
                </w:tcPr>
                <w:p w14:paraId="28975947">
                  <w:pPr>
                    <w:keepNext w:val="0"/>
                    <w:keepLines w:val="0"/>
                    <w:widowControl/>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zCs w:val="21"/>
                      <w:lang w:eastAsia="zh-CN"/>
                    </w:rPr>
                  </w:pPr>
                </w:p>
              </w:tc>
              <w:tc>
                <w:tcPr>
                  <w:tcW w:w="979" w:type="pct"/>
                  <w:vMerge w:val="continue"/>
                  <w:noWrap w:val="0"/>
                  <w:vAlign w:val="center"/>
                </w:tcPr>
                <w:p w14:paraId="69E74C31">
                  <w:pPr>
                    <w:pStyle w:val="115"/>
                    <w:keepNext w:val="0"/>
                    <w:keepLines w:val="0"/>
                    <w:widowControl/>
                    <w:suppressLineNumbers w:val="0"/>
                    <w:adjustRightInd/>
                    <w:snapToGrid/>
                    <w:spacing w:before="0" w:beforeAutospacing="0" w:after="0" w:afterAutospacing="0"/>
                    <w:ind w:left="0" w:leftChars="0" w:right="0" w:rightChars="0" w:firstLine="0" w:firstLineChars="0"/>
                    <w:jc w:val="center"/>
                    <w:rPr>
                      <w:rFonts w:hint="default" w:ascii="Times New Roman" w:hAnsi="Times New Roman" w:eastAsia="宋体"/>
                      <w:lang w:val="en-US" w:eastAsia="zh-CN"/>
                    </w:rPr>
                  </w:pPr>
                </w:p>
              </w:tc>
              <w:tc>
                <w:tcPr>
                  <w:tcW w:w="882" w:type="pct"/>
                  <w:noWrap w:val="0"/>
                  <w:vAlign w:val="center"/>
                </w:tcPr>
                <w:p w14:paraId="49E0C2BB">
                  <w:pPr>
                    <w:keepNext w:val="0"/>
                    <w:keepLines w:val="0"/>
                    <w:widowControl/>
                    <w:suppressLineNumbers w:val="0"/>
                    <w:adjustRightInd/>
                    <w:snapToGrid/>
                    <w:spacing w:before="0" w:beforeAutospacing="0" w:after="0" w:afterAutospacing="0"/>
                    <w:ind w:left="0" w:leftChars="0" w:right="0" w:rightChars="0" w:firstLine="0" w:firstLineChars="0"/>
                    <w:jc w:val="center"/>
                    <w:rPr>
                      <w:rFonts w:hint="eastAsia" w:ascii="Times New Roman" w:hAnsi="Times New Roman" w:eastAsia="宋体"/>
                      <w:lang w:val="en-US" w:eastAsia="zh-CN"/>
                    </w:rPr>
                  </w:pPr>
                  <w:r>
                    <w:rPr>
                      <w:rFonts w:hint="eastAsia" w:ascii="Times New Roman" w:hAnsi="Times New Roman" w:eastAsia="宋体"/>
                      <w:lang w:val="en-US" w:eastAsia="zh-CN"/>
                    </w:rPr>
                    <w:t>4月</w:t>
                  </w:r>
                </w:p>
              </w:tc>
              <w:tc>
                <w:tcPr>
                  <w:tcW w:w="943" w:type="pct"/>
                  <w:noWrap w:val="0"/>
                  <w:vAlign w:val="center"/>
                </w:tcPr>
                <w:p w14:paraId="612D3B8B">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lang w:val="en-US" w:eastAsia="zh-CN"/>
                    </w:rPr>
                  </w:pPr>
                  <w:r>
                    <w:rPr>
                      <w:rFonts w:hint="default" w:ascii="Times New Roman" w:hAnsi="Times New Roman" w:eastAsia="宋体"/>
                      <w:lang w:val="en-US" w:eastAsia="zh-CN"/>
                    </w:rPr>
                    <w:t>Ⅲ</w:t>
                  </w:r>
                </w:p>
              </w:tc>
            </w:tr>
            <w:tr w14:paraId="16417A5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53" w:hRule="atLeast"/>
                <w:jc w:val="center"/>
              </w:trPr>
              <w:tc>
                <w:tcPr>
                  <w:tcW w:w="640" w:type="pct"/>
                  <w:vMerge w:val="continue"/>
                  <w:noWrap w:val="0"/>
                  <w:vAlign w:val="center"/>
                </w:tcPr>
                <w:p w14:paraId="730F48FA">
                  <w:pPr>
                    <w:pStyle w:val="116"/>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zCs w:val="21"/>
                      <w:lang w:val="en-US" w:eastAsia="zh-CN"/>
                    </w:rPr>
                  </w:pPr>
                </w:p>
              </w:tc>
              <w:tc>
                <w:tcPr>
                  <w:tcW w:w="748" w:type="pct"/>
                  <w:vMerge w:val="continue"/>
                  <w:noWrap w:val="0"/>
                  <w:vAlign w:val="center"/>
                </w:tcPr>
                <w:p w14:paraId="09C2BBD8">
                  <w:pPr>
                    <w:pStyle w:val="116"/>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zCs w:val="21"/>
                      <w:lang w:eastAsia="zh-CN"/>
                    </w:rPr>
                  </w:pPr>
                </w:p>
              </w:tc>
              <w:tc>
                <w:tcPr>
                  <w:tcW w:w="805" w:type="pct"/>
                  <w:vMerge w:val="continue"/>
                  <w:noWrap w:val="0"/>
                  <w:vAlign w:val="center"/>
                </w:tcPr>
                <w:p w14:paraId="3B191AF1">
                  <w:pPr>
                    <w:keepNext w:val="0"/>
                    <w:keepLines w:val="0"/>
                    <w:widowControl/>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zCs w:val="21"/>
                      <w:lang w:eastAsia="zh-CN"/>
                    </w:rPr>
                  </w:pPr>
                </w:p>
              </w:tc>
              <w:tc>
                <w:tcPr>
                  <w:tcW w:w="979" w:type="pct"/>
                  <w:vMerge w:val="continue"/>
                  <w:noWrap w:val="0"/>
                  <w:vAlign w:val="center"/>
                </w:tcPr>
                <w:p w14:paraId="5E530589">
                  <w:pPr>
                    <w:pStyle w:val="115"/>
                    <w:keepNext w:val="0"/>
                    <w:keepLines w:val="0"/>
                    <w:widowControl/>
                    <w:suppressLineNumbers w:val="0"/>
                    <w:adjustRightInd/>
                    <w:snapToGrid/>
                    <w:spacing w:before="0" w:beforeAutospacing="0" w:after="0" w:afterAutospacing="0"/>
                    <w:ind w:left="0" w:leftChars="0" w:right="0" w:rightChars="0" w:firstLine="0" w:firstLineChars="0"/>
                    <w:jc w:val="center"/>
                    <w:rPr>
                      <w:rFonts w:hint="default" w:ascii="Times New Roman" w:hAnsi="Times New Roman" w:eastAsia="宋体"/>
                      <w:lang w:val="en-US" w:eastAsia="zh-CN"/>
                    </w:rPr>
                  </w:pPr>
                </w:p>
              </w:tc>
              <w:tc>
                <w:tcPr>
                  <w:tcW w:w="882" w:type="pct"/>
                  <w:noWrap w:val="0"/>
                  <w:vAlign w:val="center"/>
                </w:tcPr>
                <w:p w14:paraId="50E12005">
                  <w:pPr>
                    <w:keepNext w:val="0"/>
                    <w:keepLines w:val="0"/>
                    <w:widowControl/>
                    <w:suppressLineNumbers w:val="0"/>
                    <w:adjustRightInd/>
                    <w:snapToGrid/>
                    <w:spacing w:before="0" w:beforeAutospacing="0" w:after="0" w:afterAutospacing="0"/>
                    <w:ind w:left="0" w:leftChars="0" w:right="0" w:rightChars="0" w:firstLine="0" w:firstLineChars="0"/>
                    <w:jc w:val="center"/>
                    <w:rPr>
                      <w:rFonts w:hint="eastAsia" w:ascii="Times New Roman" w:hAnsi="Times New Roman" w:eastAsia="宋体"/>
                      <w:lang w:val="en-US" w:eastAsia="zh-CN"/>
                    </w:rPr>
                  </w:pPr>
                  <w:r>
                    <w:rPr>
                      <w:rFonts w:hint="eastAsia" w:ascii="Times New Roman" w:hAnsi="Times New Roman" w:eastAsia="宋体"/>
                      <w:lang w:val="en-US" w:eastAsia="zh-CN"/>
                    </w:rPr>
                    <w:t>5月</w:t>
                  </w:r>
                </w:p>
              </w:tc>
              <w:tc>
                <w:tcPr>
                  <w:tcW w:w="943" w:type="pct"/>
                  <w:noWrap w:val="0"/>
                  <w:vAlign w:val="center"/>
                </w:tcPr>
                <w:p w14:paraId="6B870FF4">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lang w:val="en-US" w:eastAsia="zh-CN"/>
                    </w:rPr>
                  </w:pPr>
                  <w:r>
                    <w:rPr>
                      <w:rFonts w:hint="default" w:ascii="Times New Roman" w:hAnsi="Times New Roman" w:eastAsia="宋体"/>
                      <w:lang w:val="en-US" w:eastAsia="zh-CN"/>
                    </w:rPr>
                    <w:t>Ⅲ</w:t>
                  </w:r>
                </w:p>
              </w:tc>
            </w:tr>
            <w:tr w14:paraId="4F303F3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53" w:hRule="atLeast"/>
                <w:jc w:val="center"/>
              </w:trPr>
              <w:tc>
                <w:tcPr>
                  <w:tcW w:w="640" w:type="pct"/>
                  <w:vMerge w:val="continue"/>
                  <w:noWrap w:val="0"/>
                  <w:vAlign w:val="center"/>
                </w:tcPr>
                <w:p w14:paraId="01817872">
                  <w:pPr>
                    <w:pStyle w:val="116"/>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zCs w:val="21"/>
                      <w:lang w:val="en-US" w:eastAsia="zh-CN"/>
                    </w:rPr>
                  </w:pPr>
                </w:p>
              </w:tc>
              <w:tc>
                <w:tcPr>
                  <w:tcW w:w="748" w:type="pct"/>
                  <w:vMerge w:val="continue"/>
                  <w:noWrap w:val="0"/>
                  <w:vAlign w:val="center"/>
                </w:tcPr>
                <w:p w14:paraId="06332432">
                  <w:pPr>
                    <w:pStyle w:val="116"/>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zCs w:val="21"/>
                      <w:lang w:eastAsia="zh-CN"/>
                    </w:rPr>
                  </w:pPr>
                </w:p>
              </w:tc>
              <w:tc>
                <w:tcPr>
                  <w:tcW w:w="805" w:type="pct"/>
                  <w:vMerge w:val="continue"/>
                  <w:noWrap w:val="0"/>
                  <w:vAlign w:val="center"/>
                </w:tcPr>
                <w:p w14:paraId="507B1CD5">
                  <w:pPr>
                    <w:keepNext w:val="0"/>
                    <w:keepLines w:val="0"/>
                    <w:widowControl/>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zCs w:val="21"/>
                      <w:lang w:eastAsia="zh-CN"/>
                    </w:rPr>
                  </w:pPr>
                </w:p>
              </w:tc>
              <w:tc>
                <w:tcPr>
                  <w:tcW w:w="979" w:type="pct"/>
                  <w:vMerge w:val="continue"/>
                  <w:noWrap w:val="0"/>
                  <w:vAlign w:val="center"/>
                </w:tcPr>
                <w:p w14:paraId="77F703B5">
                  <w:pPr>
                    <w:pStyle w:val="115"/>
                    <w:keepNext w:val="0"/>
                    <w:keepLines w:val="0"/>
                    <w:widowControl/>
                    <w:suppressLineNumbers w:val="0"/>
                    <w:adjustRightInd/>
                    <w:snapToGrid/>
                    <w:spacing w:before="0" w:beforeAutospacing="0" w:after="0" w:afterAutospacing="0"/>
                    <w:ind w:left="0" w:leftChars="0" w:right="0" w:rightChars="0" w:firstLine="0" w:firstLineChars="0"/>
                    <w:jc w:val="center"/>
                    <w:rPr>
                      <w:rFonts w:hint="default" w:ascii="Times New Roman" w:hAnsi="Times New Roman" w:eastAsia="宋体"/>
                      <w:lang w:val="en-US" w:eastAsia="zh-CN"/>
                    </w:rPr>
                  </w:pPr>
                </w:p>
              </w:tc>
              <w:tc>
                <w:tcPr>
                  <w:tcW w:w="882" w:type="pct"/>
                  <w:shd w:val="clear" w:color="auto" w:fill="auto"/>
                  <w:noWrap w:val="0"/>
                  <w:vAlign w:val="center"/>
                </w:tcPr>
                <w:p w14:paraId="3E4F3511">
                  <w:pPr>
                    <w:pStyle w:val="115"/>
                    <w:keepNext w:val="0"/>
                    <w:keepLines w:val="0"/>
                    <w:widowControl/>
                    <w:suppressLineNumbers w:val="0"/>
                    <w:adjustRightInd/>
                    <w:snapToGrid/>
                    <w:spacing w:before="0" w:beforeAutospacing="0" w:after="0" w:afterAutospacing="0"/>
                    <w:ind w:left="0" w:leftChars="0" w:right="0" w:rightChars="0" w:firstLine="0" w:firstLineChars="0"/>
                    <w:jc w:val="center"/>
                    <w:rPr>
                      <w:rFonts w:hint="eastAsia" w:ascii="Times New Roman" w:hAnsi="Times New Roman" w:eastAsia="宋体" w:cs="Times New Roman"/>
                      <w:snapToGrid w:val="0"/>
                      <w:sz w:val="21"/>
                      <w:szCs w:val="21"/>
                      <w:lang w:val="en-US" w:eastAsia="zh-CN" w:bidi="ar-SA"/>
                    </w:rPr>
                  </w:pPr>
                  <w:r>
                    <w:rPr>
                      <w:rFonts w:hint="eastAsia" w:ascii="Times New Roman" w:hAnsi="Times New Roman" w:eastAsia="宋体"/>
                      <w:lang w:val="en-US" w:eastAsia="zh-CN"/>
                    </w:rPr>
                    <w:t>6月</w:t>
                  </w:r>
                </w:p>
              </w:tc>
              <w:tc>
                <w:tcPr>
                  <w:tcW w:w="943" w:type="pct"/>
                  <w:noWrap w:val="0"/>
                  <w:vAlign w:val="center"/>
                </w:tcPr>
                <w:p w14:paraId="02BE7651">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lang w:val="en-US" w:eastAsia="zh-CN"/>
                    </w:rPr>
                  </w:pPr>
                  <w:r>
                    <w:rPr>
                      <w:rFonts w:hint="default" w:ascii="Times New Roman" w:hAnsi="Times New Roman" w:eastAsia="宋体"/>
                      <w:lang w:val="en-US" w:eastAsia="zh-CN"/>
                    </w:rPr>
                    <w:t>Ⅲ</w:t>
                  </w:r>
                </w:p>
              </w:tc>
            </w:tr>
            <w:tr w14:paraId="03B7263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53" w:hRule="atLeast"/>
                <w:jc w:val="center"/>
              </w:trPr>
              <w:tc>
                <w:tcPr>
                  <w:tcW w:w="640" w:type="pct"/>
                  <w:vMerge w:val="continue"/>
                  <w:noWrap w:val="0"/>
                  <w:vAlign w:val="center"/>
                </w:tcPr>
                <w:p w14:paraId="3EAB6C31">
                  <w:pPr>
                    <w:pStyle w:val="116"/>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zCs w:val="21"/>
                      <w:lang w:val="en-US" w:eastAsia="zh-CN"/>
                    </w:rPr>
                  </w:pPr>
                </w:p>
              </w:tc>
              <w:tc>
                <w:tcPr>
                  <w:tcW w:w="748" w:type="pct"/>
                  <w:vMerge w:val="continue"/>
                  <w:noWrap w:val="0"/>
                  <w:vAlign w:val="center"/>
                </w:tcPr>
                <w:p w14:paraId="3C7F07D7">
                  <w:pPr>
                    <w:pStyle w:val="116"/>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zCs w:val="21"/>
                      <w:lang w:eastAsia="zh-CN"/>
                    </w:rPr>
                  </w:pPr>
                </w:p>
              </w:tc>
              <w:tc>
                <w:tcPr>
                  <w:tcW w:w="805" w:type="pct"/>
                  <w:vMerge w:val="continue"/>
                  <w:noWrap w:val="0"/>
                  <w:vAlign w:val="center"/>
                </w:tcPr>
                <w:p w14:paraId="522A72EA">
                  <w:pPr>
                    <w:keepNext w:val="0"/>
                    <w:keepLines w:val="0"/>
                    <w:widowControl/>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zCs w:val="21"/>
                      <w:lang w:eastAsia="zh-CN"/>
                    </w:rPr>
                  </w:pPr>
                </w:p>
              </w:tc>
              <w:tc>
                <w:tcPr>
                  <w:tcW w:w="979" w:type="pct"/>
                  <w:vMerge w:val="continue"/>
                  <w:noWrap w:val="0"/>
                  <w:vAlign w:val="center"/>
                </w:tcPr>
                <w:p w14:paraId="46023E47">
                  <w:pPr>
                    <w:pStyle w:val="115"/>
                    <w:keepNext w:val="0"/>
                    <w:keepLines w:val="0"/>
                    <w:widowControl/>
                    <w:suppressLineNumbers w:val="0"/>
                    <w:adjustRightInd/>
                    <w:snapToGrid/>
                    <w:spacing w:before="0" w:beforeAutospacing="0" w:after="0" w:afterAutospacing="0"/>
                    <w:ind w:left="0" w:leftChars="0" w:right="0" w:rightChars="0" w:firstLine="0" w:firstLineChars="0"/>
                    <w:jc w:val="center"/>
                    <w:rPr>
                      <w:rFonts w:hint="default" w:ascii="Times New Roman" w:hAnsi="Times New Roman" w:eastAsia="宋体"/>
                      <w:lang w:val="en-US" w:eastAsia="zh-CN"/>
                    </w:rPr>
                  </w:pPr>
                </w:p>
              </w:tc>
              <w:tc>
                <w:tcPr>
                  <w:tcW w:w="882" w:type="pct"/>
                  <w:shd w:val="clear" w:color="auto" w:fill="auto"/>
                  <w:noWrap w:val="0"/>
                  <w:vAlign w:val="center"/>
                </w:tcPr>
                <w:p w14:paraId="7D08B89F">
                  <w:pPr>
                    <w:keepNext w:val="0"/>
                    <w:keepLines w:val="0"/>
                    <w:widowControl/>
                    <w:suppressLineNumbers w:val="0"/>
                    <w:adjustRightInd/>
                    <w:snapToGrid/>
                    <w:spacing w:before="0" w:beforeAutospacing="0" w:after="0" w:afterAutospacing="0"/>
                    <w:ind w:left="0" w:leftChars="0" w:right="0" w:rightChars="0" w:firstLine="0" w:firstLineChars="0"/>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lang w:val="en-US" w:eastAsia="zh-CN"/>
                    </w:rPr>
                    <w:t>7月</w:t>
                  </w:r>
                </w:p>
              </w:tc>
              <w:tc>
                <w:tcPr>
                  <w:tcW w:w="943" w:type="pct"/>
                  <w:noWrap w:val="0"/>
                  <w:vAlign w:val="center"/>
                </w:tcPr>
                <w:p w14:paraId="63BF9088">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lang w:val="en-US" w:eastAsia="zh-CN"/>
                    </w:rPr>
                  </w:pPr>
                  <w:r>
                    <w:rPr>
                      <w:rFonts w:hint="default" w:ascii="Times New Roman" w:hAnsi="Times New Roman" w:eastAsia="宋体"/>
                      <w:lang w:val="en-US" w:eastAsia="zh-CN"/>
                    </w:rPr>
                    <w:t>Ⅲ</w:t>
                  </w:r>
                </w:p>
              </w:tc>
            </w:tr>
            <w:tr w14:paraId="6503487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9" w:hRule="atLeast"/>
                <w:jc w:val="center"/>
              </w:trPr>
              <w:tc>
                <w:tcPr>
                  <w:tcW w:w="640" w:type="pct"/>
                  <w:vMerge w:val="continue"/>
                  <w:noWrap w:val="0"/>
                  <w:vAlign w:val="center"/>
                </w:tcPr>
                <w:p w14:paraId="5EAE3E05">
                  <w:pPr>
                    <w:pStyle w:val="116"/>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zCs w:val="21"/>
                      <w:lang w:val="en-US" w:eastAsia="zh-CN"/>
                    </w:rPr>
                  </w:pPr>
                </w:p>
              </w:tc>
              <w:tc>
                <w:tcPr>
                  <w:tcW w:w="748" w:type="pct"/>
                  <w:vMerge w:val="continue"/>
                  <w:noWrap w:val="0"/>
                  <w:vAlign w:val="center"/>
                </w:tcPr>
                <w:p w14:paraId="7FC91E42">
                  <w:pPr>
                    <w:pStyle w:val="116"/>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zCs w:val="21"/>
                      <w:lang w:eastAsia="zh-CN"/>
                    </w:rPr>
                  </w:pPr>
                </w:p>
              </w:tc>
              <w:tc>
                <w:tcPr>
                  <w:tcW w:w="805" w:type="pct"/>
                  <w:vMerge w:val="continue"/>
                  <w:noWrap w:val="0"/>
                  <w:vAlign w:val="center"/>
                </w:tcPr>
                <w:p w14:paraId="5817BCFF">
                  <w:pPr>
                    <w:keepNext w:val="0"/>
                    <w:keepLines w:val="0"/>
                    <w:widowControl/>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zCs w:val="21"/>
                      <w:lang w:eastAsia="zh-CN"/>
                    </w:rPr>
                  </w:pPr>
                </w:p>
              </w:tc>
              <w:tc>
                <w:tcPr>
                  <w:tcW w:w="979" w:type="pct"/>
                  <w:vMerge w:val="continue"/>
                  <w:noWrap w:val="0"/>
                  <w:vAlign w:val="center"/>
                </w:tcPr>
                <w:p w14:paraId="48060AD3">
                  <w:pPr>
                    <w:pStyle w:val="115"/>
                    <w:keepNext w:val="0"/>
                    <w:keepLines w:val="0"/>
                    <w:widowControl/>
                    <w:suppressLineNumbers w:val="0"/>
                    <w:adjustRightInd/>
                    <w:snapToGrid/>
                    <w:spacing w:before="0" w:beforeAutospacing="0" w:after="0" w:afterAutospacing="0"/>
                    <w:ind w:left="0" w:leftChars="0" w:right="0" w:rightChars="0" w:firstLine="0" w:firstLineChars="0"/>
                    <w:jc w:val="center"/>
                    <w:rPr>
                      <w:rFonts w:hint="default" w:ascii="Times New Roman" w:hAnsi="Times New Roman" w:eastAsia="宋体"/>
                      <w:lang w:val="en-US" w:eastAsia="zh-CN"/>
                    </w:rPr>
                  </w:pPr>
                </w:p>
              </w:tc>
              <w:tc>
                <w:tcPr>
                  <w:tcW w:w="882" w:type="pct"/>
                  <w:shd w:val="clear" w:color="auto" w:fill="auto"/>
                  <w:noWrap w:val="0"/>
                  <w:vAlign w:val="center"/>
                </w:tcPr>
                <w:p w14:paraId="6B2229AD">
                  <w:pPr>
                    <w:keepNext w:val="0"/>
                    <w:keepLines w:val="0"/>
                    <w:widowControl/>
                    <w:suppressLineNumbers w:val="0"/>
                    <w:adjustRightInd/>
                    <w:snapToGrid/>
                    <w:spacing w:before="0" w:beforeAutospacing="0" w:after="0" w:afterAutospacing="0"/>
                    <w:ind w:left="0" w:leftChars="0" w:right="0" w:rightChars="0" w:firstLine="0" w:firstLineChars="0"/>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lang w:val="en-US" w:eastAsia="zh-CN"/>
                    </w:rPr>
                    <w:t>8月</w:t>
                  </w:r>
                </w:p>
              </w:tc>
              <w:tc>
                <w:tcPr>
                  <w:tcW w:w="943" w:type="pct"/>
                  <w:noWrap w:val="0"/>
                  <w:vAlign w:val="center"/>
                </w:tcPr>
                <w:p w14:paraId="2F4F9443">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lang w:val="en-US" w:eastAsia="zh-CN"/>
                    </w:rPr>
                  </w:pPr>
                  <w:r>
                    <w:rPr>
                      <w:rFonts w:hint="default" w:ascii="Times New Roman" w:hAnsi="Times New Roman" w:eastAsia="宋体"/>
                      <w:lang w:val="en-US" w:eastAsia="zh-CN"/>
                    </w:rPr>
                    <w:t>Ⅲ</w:t>
                  </w:r>
                </w:p>
              </w:tc>
            </w:tr>
            <w:tr w14:paraId="37C8BF5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53" w:hRule="atLeast"/>
                <w:jc w:val="center"/>
              </w:trPr>
              <w:tc>
                <w:tcPr>
                  <w:tcW w:w="640" w:type="pct"/>
                  <w:vMerge w:val="continue"/>
                  <w:noWrap w:val="0"/>
                  <w:vAlign w:val="center"/>
                </w:tcPr>
                <w:p w14:paraId="1D43125B">
                  <w:pPr>
                    <w:pStyle w:val="116"/>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zCs w:val="21"/>
                      <w:lang w:val="en-US" w:eastAsia="zh-CN"/>
                    </w:rPr>
                  </w:pPr>
                </w:p>
              </w:tc>
              <w:tc>
                <w:tcPr>
                  <w:tcW w:w="748" w:type="pct"/>
                  <w:vMerge w:val="continue"/>
                  <w:noWrap w:val="0"/>
                  <w:vAlign w:val="center"/>
                </w:tcPr>
                <w:p w14:paraId="26D73409">
                  <w:pPr>
                    <w:pStyle w:val="116"/>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zCs w:val="21"/>
                      <w:lang w:eastAsia="zh-CN"/>
                    </w:rPr>
                  </w:pPr>
                </w:p>
              </w:tc>
              <w:tc>
                <w:tcPr>
                  <w:tcW w:w="805" w:type="pct"/>
                  <w:vMerge w:val="continue"/>
                  <w:noWrap w:val="0"/>
                  <w:vAlign w:val="center"/>
                </w:tcPr>
                <w:p w14:paraId="744CBA45">
                  <w:pPr>
                    <w:keepNext w:val="0"/>
                    <w:keepLines w:val="0"/>
                    <w:widowControl/>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zCs w:val="21"/>
                      <w:lang w:eastAsia="zh-CN"/>
                    </w:rPr>
                  </w:pPr>
                </w:p>
              </w:tc>
              <w:tc>
                <w:tcPr>
                  <w:tcW w:w="979" w:type="pct"/>
                  <w:vMerge w:val="continue"/>
                  <w:noWrap w:val="0"/>
                  <w:vAlign w:val="center"/>
                </w:tcPr>
                <w:p w14:paraId="0E20EBFF">
                  <w:pPr>
                    <w:pStyle w:val="115"/>
                    <w:keepNext w:val="0"/>
                    <w:keepLines w:val="0"/>
                    <w:widowControl/>
                    <w:suppressLineNumbers w:val="0"/>
                    <w:adjustRightInd/>
                    <w:snapToGrid/>
                    <w:spacing w:before="0" w:beforeAutospacing="0" w:after="0" w:afterAutospacing="0"/>
                    <w:ind w:left="0" w:leftChars="0" w:right="0" w:rightChars="0" w:firstLine="0" w:firstLineChars="0"/>
                    <w:jc w:val="center"/>
                    <w:rPr>
                      <w:rFonts w:hint="default" w:ascii="Times New Roman" w:hAnsi="Times New Roman" w:eastAsia="宋体"/>
                      <w:lang w:val="en-US" w:eastAsia="zh-CN"/>
                    </w:rPr>
                  </w:pPr>
                </w:p>
              </w:tc>
              <w:tc>
                <w:tcPr>
                  <w:tcW w:w="882" w:type="pct"/>
                  <w:shd w:val="clear" w:color="auto" w:fill="auto"/>
                  <w:noWrap w:val="0"/>
                  <w:vAlign w:val="center"/>
                </w:tcPr>
                <w:p w14:paraId="126DBC01">
                  <w:pPr>
                    <w:keepNext w:val="0"/>
                    <w:keepLines w:val="0"/>
                    <w:widowControl/>
                    <w:suppressLineNumbers w:val="0"/>
                    <w:adjustRightInd/>
                    <w:snapToGrid/>
                    <w:spacing w:before="0" w:beforeAutospacing="0" w:after="0" w:afterAutospacing="0"/>
                    <w:ind w:left="0" w:leftChars="0" w:right="0" w:rightChars="0" w:firstLine="0" w:firstLineChars="0"/>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lang w:val="en-US" w:eastAsia="zh-CN"/>
                    </w:rPr>
                    <w:t>9月</w:t>
                  </w:r>
                </w:p>
              </w:tc>
              <w:tc>
                <w:tcPr>
                  <w:tcW w:w="943" w:type="pct"/>
                  <w:noWrap w:val="0"/>
                  <w:vAlign w:val="center"/>
                </w:tcPr>
                <w:p w14:paraId="72B8BB39">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lang w:val="en-US" w:eastAsia="zh-CN"/>
                    </w:rPr>
                  </w:pPr>
                  <w:r>
                    <w:rPr>
                      <w:rFonts w:hint="default" w:ascii="Times New Roman" w:hAnsi="Times New Roman" w:eastAsia="宋体"/>
                      <w:lang w:val="en-US" w:eastAsia="zh-CN"/>
                    </w:rPr>
                    <w:t>Ⅲ</w:t>
                  </w:r>
                </w:p>
              </w:tc>
            </w:tr>
            <w:tr w14:paraId="3F823C1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53" w:hRule="atLeast"/>
                <w:jc w:val="center"/>
              </w:trPr>
              <w:tc>
                <w:tcPr>
                  <w:tcW w:w="640" w:type="pct"/>
                  <w:vMerge w:val="continue"/>
                  <w:noWrap w:val="0"/>
                  <w:vAlign w:val="center"/>
                </w:tcPr>
                <w:p w14:paraId="77EC319C">
                  <w:pPr>
                    <w:pStyle w:val="116"/>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zCs w:val="21"/>
                      <w:lang w:val="en-US" w:eastAsia="zh-CN"/>
                    </w:rPr>
                  </w:pPr>
                </w:p>
              </w:tc>
              <w:tc>
                <w:tcPr>
                  <w:tcW w:w="748" w:type="pct"/>
                  <w:vMerge w:val="continue"/>
                  <w:noWrap w:val="0"/>
                  <w:vAlign w:val="center"/>
                </w:tcPr>
                <w:p w14:paraId="001744DD">
                  <w:pPr>
                    <w:pStyle w:val="116"/>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zCs w:val="21"/>
                      <w:lang w:eastAsia="zh-CN"/>
                    </w:rPr>
                  </w:pPr>
                </w:p>
              </w:tc>
              <w:tc>
                <w:tcPr>
                  <w:tcW w:w="805" w:type="pct"/>
                  <w:vMerge w:val="continue"/>
                  <w:noWrap w:val="0"/>
                  <w:vAlign w:val="center"/>
                </w:tcPr>
                <w:p w14:paraId="23CA735E">
                  <w:pPr>
                    <w:keepNext w:val="0"/>
                    <w:keepLines w:val="0"/>
                    <w:widowControl/>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zCs w:val="21"/>
                      <w:lang w:eastAsia="zh-CN"/>
                    </w:rPr>
                  </w:pPr>
                </w:p>
              </w:tc>
              <w:tc>
                <w:tcPr>
                  <w:tcW w:w="979" w:type="pct"/>
                  <w:vMerge w:val="continue"/>
                  <w:noWrap w:val="0"/>
                  <w:vAlign w:val="center"/>
                </w:tcPr>
                <w:p w14:paraId="505506C7">
                  <w:pPr>
                    <w:pStyle w:val="115"/>
                    <w:keepNext w:val="0"/>
                    <w:keepLines w:val="0"/>
                    <w:widowControl/>
                    <w:suppressLineNumbers w:val="0"/>
                    <w:adjustRightInd/>
                    <w:snapToGrid/>
                    <w:spacing w:before="0" w:beforeAutospacing="0" w:after="0" w:afterAutospacing="0"/>
                    <w:ind w:left="0" w:leftChars="0" w:right="0" w:rightChars="0" w:firstLine="0" w:firstLineChars="0"/>
                    <w:jc w:val="center"/>
                    <w:rPr>
                      <w:rFonts w:hint="default" w:ascii="Times New Roman" w:hAnsi="Times New Roman" w:eastAsia="宋体"/>
                      <w:lang w:val="en-US" w:eastAsia="zh-CN"/>
                    </w:rPr>
                  </w:pPr>
                </w:p>
              </w:tc>
              <w:tc>
                <w:tcPr>
                  <w:tcW w:w="882" w:type="pct"/>
                  <w:shd w:val="clear" w:color="auto" w:fill="auto"/>
                  <w:noWrap w:val="0"/>
                  <w:vAlign w:val="center"/>
                </w:tcPr>
                <w:p w14:paraId="69C10096">
                  <w:pPr>
                    <w:keepNext w:val="0"/>
                    <w:keepLines w:val="0"/>
                    <w:widowControl/>
                    <w:suppressLineNumbers w:val="0"/>
                    <w:adjustRightInd/>
                    <w:snapToGrid/>
                    <w:spacing w:before="0" w:beforeAutospacing="0" w:after="0" w:afterAutospacing="0"/>
                    <w:ind w:left="0" w:leftChars="0" w:right="0" w:rightChars="0" w:firstLine="0" w:firstLineChars="0"/>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lang w:val="en-US" w:eastAsia="zh-CN"/>
                    </w:rPr>
                    <w:t>10月</w:t>
                  </w:r>
                </w:p>
              </w:tc>
              <w:tc>
                <w:tcPr>
                  <w:tcW w:w="943" w:type="pct"/>
                  <w:noWrap w:val="0"/>
                  <w:vAlign w:val="center"/>
                </w:tcPr>
                <w:p w14:paraId="433ACE6D">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lang w:val="en-US" w:eastAsia="zh-CN"/>
                    </w:rPr>
                  </w:pPr>
                  <w:r>
                    <w:rPr>
                      <w:rFonts w:hint="default" w:ascii="Times New Roman" w:hAnsi="Times New Roman" w:eastAsia="宋体"/>
                      <w:lang w:val="en-US" w:eastAsia="zh-CN"/>
                    </w:rPr>
                    <w:t>Ⅲ</w:t>
                  </w:r>
                </w:p>
              </w:tc>
            </w:tr>
            <w:tr w14:paraId="2B81DA3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53" w:hRule="atLeast"/>
                <w:jc w:val="center"/>
              </w:trPr>
              <w:tc>
                <w:tcPr>
                  <w:tcW w:w="640" w:type="pct"/>
                  <w:vMerge w:val="continue"/>
                  <w:noWrap w:val="0"/>
                  <w:vAlign w:val="center"/>
                </w:tcPr>
                <w:p w14:paraId="5DA96CAF">
                  <w:pPr>
                    <w:pStyle w:val="116"/>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zCs w:val="21"/>
                      <w:lang w:val="en-US" w:eastAsia="zh-CN"/>
                    </w:rPr>
                  </w:pPr>
                </w:p>
              </w:tc>
              <w:tc>
                <w:tcPr>
                  <w:tcW w:w="748" w:type="pct"/>
                  <w:vMerge w:val="continue"/>
                  <w:noWrap w:val="0"/>
                  <w:vAlign w:val="center"/>
                </w:tcPr>
                <w:p w14:paraId="512BD438">
                  <w:pPr>
                    <w:pStyle w:val="116"/>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zCs w:val="21"/>
                      <w:lang w:eastAsia="zh-CN"/>
                    </w:rPr>
                  </w:pPr>
                </w:p>
              </w:tc>
              <w:tc>
                <w:tcPr>
                  <w:tcW w:w="805" w:type="pct"/>
                  <w:vMerge w:val="continue"/>
                  <w:noWrap w:val="0"/>
                  <w:vAlign w:val="center"/>
                </w:tcPr>
                <w:p w14:paraId="0316949C">
                  <w:pPr>
                    <w:keepNext w:val="0"/>
                    <w:keepLines w:val="0"/>
                    <w:widowControl/>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zCs w:val="21"/>
                      <w:lang w:eastAsia="zh-CN"/>
                    </w:rPr>
                  </w:pPr>
                </w:p>
              </w:tc>
              <w:tc>
                <w:tcPr>
                  <w:tcW w:w="979" w:type="pct"/>
                  <w:vMerge w:val="continue"/>
                  <w:noWrap w:val="0"/>
                  <w:vAlign w:val="center"/>
                </w:tcPr>
                <w:p w14:paraId="31B2233E">
                  <w:pPr>
                    <w:pStyle w:val="115"/>
                    <w:keepNext w:val="0"/>
                    <w:keepLines w:val="0"/>
                    <w:widowControl/>
                    <w:suppressLineNumbers w:val="0"/>
                    <w:adjustRightInd/>
                    <w:snapToGrid/>
                    <w:spacing w:before="0" w:beforeAutospacing="0" w:after="0" w:afterAutospacing="0"/>
                    <w:ind w:left="0" w:leftChars="0" w:right="0" w:rightChars="0" w:firstLine="0" w:firstLineChars="0"/>
                    <w:jc w:val="center"/>
                    <w:rPr>
                      <w:rFonts w:hint="default" w:ascii="Times New Roman" w:hAnsi="Times New Roman" w:eastAsia="宋体"/>
                      <w:lang w:val="en-US" w:eastAsia="zh-CN"/>
                    </w:rPr>
                  </w:pPr>
                </w:p>
              </w:tc>
              <w:tc>
                <w:tcPr>
                  <w:tcW w:w="882" w:type="pct"/>
                  <w:shd w:val="clear" w:color="auto" w:fill="auto"/>
                  <w:noWrap w:val="0"/>
                  <w:vAlign w:val="center"/>
                </w:tcPr>
                <w:p w14:paraId="4E3ED9F1">
                  <w:pPr>
                    <w:keepNext w:val="0"/>
                    <w:keepLines w:val="0"/>
                    <w:widowControl/>
                    <w:suppressLineNumbers w:val="0"/>
                    <w:adjustRightInd/>
                    <w:snapToGrid/>
                    <w:spacing w:before="0" w:beforeAutospacing="0" w:after="0" w:afterAutospacing="0"/>
                    <w:ind w:left="0" w:leftChars="0" w:right="0" w:rightChars="0" w:firstLine="0" w:firstLineChars="0"/>
                    <w:jc w:val="center"/>
                    <w:rPr>
                      <w:rFonts w:hint="eastAsia" w:ascii="Times New Roman" w:hAnsi="Times New Roman" w:eastAsia="宋体"/>
                      <w:lang w:val="en-US" w:eastAsia="zh-CN"/>
                    </w:rPr>
                  </w:pPr>
                  <w:r>
                    <w:rPr>
                      <w:rFonts w:hint="eastAsia" w:ascii="Times New Roman" w:hAnsi="Times New Roman" w:eastAsia="宋体"/>
                      <w:lang w:val="en-US" w:eastAsia="zh-CN"/>
                    </w:rPr>
                    <w:t>11月</w:t>
                  </w:r>
                </w:p>
              </w:tc>
              <w:tc>
                <w:tcPr>
                  <w:tcW w:w="943" w:type="pct"/>
                  <w:noWrap w:val="0"/>
                  <w:vAlign w:val="center"/>
                </w:tcPr>
                <w:p w14:paraId="1ADC1990">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lang w:val="en-US" w:eastAsia="zh-CN"/>
                    </w:rPr>
                  </w:pPr>
                  <w:r>
                    <w:rPr>
                      <w:rFonts w:hint="default" w:ascii="Times New Roman" w:hAnsi="Times New Roman" w:eastAsia="宋体"/>
                      <w:lang w:val="en-US" w:eastAsia="zh-CN"/>
                    </w:rPr>
                    <w:t>Ⅲ</w:t>
                  </w:r>
                </w:p>
              </w:tc>
            </w:tr>
            <w:tr w14:paraId="2CAA842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53" w:hRule="atLeast"/>
                <w:jc w:val="center"/>
              </w:trPr>
              <w:tc>
                <w:tcPr>
                  <w:tcW w:w="640" w:type="pct"/>
                  <w:vMerge w:val="continue"/>
                  <w:noWrap w:val="0"/>
                  <w:vAlign w:val="center"/>
                </w:tcPr>
                <w:p w14:paraId="40FA9180">
                  <w:pPr>
                    <w:pStyle w:val="116"/>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zCs w:val="21"/>
                      <w:lang w:val="en-US" w:eastAsia="zh-CN"/>
                    </w:rPr>
                  </w:pPr>
                </w:p>
              </w:tc>
              <w:tc>
                <w:tcPr>
                  <w:tcW w:w="748" w:type="pct"/>
                  <w:vMerge w:val="continue"/>
                  <w:noWrap w:val="0"/>
                  <w:vAlign w:val="center"/>
                </w:tcPr>
                <w:p w14:paraId="46765F9A">
                  <w:pPr>
                    <w:pStyle w:val="116"/>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zCs w:val="21"/>
                      <w:lang w:eastAsia="zh-CN"/>
                    </w:rPr>
                  </w:pPr>
                </w:p>
              </w:tc>
              <w:tc>
                <w:tcPr>
                  <w:tcW w:w="805" w:type="pct"/>
                  <w:vMerge w:val="continue"/>
                  <w:noWrap w:val="0"/>
                  <w:vAlign w:val="center"/>
                </w:tcPr>
                <w:p w14:paraId="5C62208B">
                  <w:pPr>
                    <w:keepNext w:val="0"/>
                    <w:keepLines w:val="0"/>
                    <w:widowControl/>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zCs w:val="21"/>
                      <w:lang w:eastAsia="zh-CN"/>
                    </w:rPr>
                  </w:pPr>
                </w:p>
              </w:tc>
              <w:tc>
                <w:tcPr>
                  <w:tcW w:w="979" w:type="pct"/>
                  <w:vMerge w:val="continue"/>
                  <w:noWrap w:val="0"/>
                  <w:vAlign w:val="center"/>
                </w:tcPr>
                <w:p w14:paraId="58D51124">
                  <w:pPr>
                    <w:pStyle w:val="115"/>
                    <w:keepNext w:val="0"/>
                    <w:keepLines w:val="0"/>
                    <w:widowControl/>
                    <w:suppressLineNumbers w:val="0"/>
                    <w:adjustRightInd/>
                    <w:snapToGrid/>
                    <w:spacing w:before="0" w:beforeAutospacing="0" w:after="0" w:afterAutospacing="0"/>
                    <w:ind w:left="0" w:leftChars="0" w:right="0" w:rightChars="0" w:firstLine="0" w:firstLineChars="0"/>
                    <w:jc w:val="center"/>
                    <w:rPr>
                      <w:rFonts w:hint="default" w:ascii="Times New Roman" w:hAnsi="Times New Roman" w:eastAsia="宋体"/>
                      <w:lang w:val="en-US" w:eastAsia="zh-CN"/>
                    </w:rPr>
                  </w:pPr>
                </w:p>
              </w:tc>
              <w:tc>
                <w:tcPr>
                  <w:tcW w:w="882" w:type="pct"/>
                  <w:shd w:val="clear" w:color="auto" w:fill="auto"/>
                  <w:noWrap w:val="0"/>
                  <w:vAlign w:val="center"/>
                </w:tcPr>
                <w:p w14:paraId="459050C1">
                  <w:pPr>
                    <w:keepNext w:val="0"/>
                    <w:keepLines w:val="0"/>
                    <w:widowControl/>
                    <w:suppressLineNumbers w:val="0"/>
                    <w:adjustRightInd/>
                    <w:snapToGrid/>
                    <w:spacing w:before="0" w:beforeAutospacing="0" w:after="0" w:afterAutospacing="0"/>
                    <w:ind w:left="0" w:leftChars="0" w:right="0" w:rightChars="0" w:firstLine="0" w:firstLineChars="0"/>
                    <w:jc w:val="center"/>
                    <w:rPr>
                      <w:rFonts w:hint="eastAsia" w:ascii="Times New Roman" w:hAnsi="Times New Roman" w:eastAsia="宋体"/>
                      <w:lang w:val="en-US" w:eastAsia="zh-CN"/>
                    </w:rPr>
                  </w:pPr>
                  <w:r>
                    <w:rPr>
                      <w:rFonts w:hint="eastAsia" w:ascii="Times New Roman" w:hAnsi="Times New Roman" w:eastAsia="宋体"/>
                      <w:lang w:val="en-US" w:eastAsia="zh-CN"/>
                    </w:rPr>
                    <w:t>12月</w:t>
                  </w:r>
                </w:p>
              </w:tc>
              <w:tc>
                <w:tcPr>
                  <w:tcW w:w="943" w:type="pct"/>
                  <w:noWrap w:val="0"/>
                  <w:vAlign w:val="center"/>
                </w:tcPr>
                <w:p w14:paraId="3795F8CA">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lang w:val="en-US" w:eastAsia="zh-CN"/>
                    </w:rPr>
                  </w:pPr>
                  <w:r>
                    <w:rPr>
                      <w:rFonts w:hint="default" w:ascii="Times New Roman" w:hAnsi="Times New Roman" w:eastAsia="宋体"/>
                      <w:lang w:val="en-US" w:eastAsia="zh-CN"/>
                    </w:rPr>
                    <w:t>Ⅲ</w:t>
                  </w:r>
                </w:p>
              </w:tc>
            </w:tr>
            <w:tr w14:paraId="1A6438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53" w:hRule="atLeast"/>
                <w:jc w:val="center"/>
              </w:trPr>
              <w:tc>
                <w:tcPr>
                  <w:tcW w:w="640" w:type="pct"/>
                  <w:vMerge w:val="continue"/>
                  <w:noWrap w:val="0"/>
                  <w:vAlign w:val="center"/>
                </w:tcPr>
                <w:p w14:paraId="71C73966">
                  <w:pPr>
                    <w:pStyle w:val="116"/>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zCs w:val="21"/>
                      <w:lang w:val="en-US" w:eastAsia="zh-CN"/>
                    </w:rPr>
                  </w:pPr>
                </w:p>
              </w:tc>
              <w:tc>
                <w:tcPr>
                  <w:tcW w:w="748" w:type="pct"/>
                  <w:vMerge w:val="continue"/>
                  <w:noWrap w:val="0"/>
                  <w:vAlign w:val="center"/>
                </w:tcPr>
                <w:p w14:paraId="74B0FEC4">
                  <w:pPr>
                    <w:pStyle w:val="116"/>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zCs w:val="21"/>
                      <w:lang w:eastAsia="zh-CN"/>
                    </w:rPr>
                  </w:pPr>
                </w:p>
              </w:tc>
              <w:tc>
                <w:tcPr>
                  <w:tcW w:w="805" w:type="pct"/>
                  <w:vMerge w:val="restart"/>
                  <w:noWrap w:val="0"/>
                  <w:vAlign w:val="center"/>
                </w:tcPr>
                <w:p w14:paraId="4EA60657">
                  <w:pPr>
                    <w:keepNext w:val="0"/>
                    <w:keepLines w:val="0"/>
                    <w:widowControl/>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zCs w:val="21"/>
                      <w:lang w:eastAsia="zh-CN"/>
                    </w:rPr>
                  </w:pPr>
                  <w:r>
                    <w:rPr>
                      <w:rFonts w:hint="eastAsia" w:ascii="Times New Roman" w:hAnsi="Times New Roman" w:eastAsia="宋体"/>
                      <w:b w:val="0"/>
                      <w:bCs w:val="0"/>
                      <w:sz w:val="21"/>
                      <w:szCs w:val="21"/>
                      <w:lang w:val="en-US" w:eastAsia="zh-CN"/>
                    </w:rPr>
                    <w:t>黎家乡崔家岩村断面</w:t>
                  </w:r>
                </w:p>
              </w:tc>
              <w:tc>
                <w:tcPr>
                  <w:tcW w:w="979" w:type="pct"/>
                  <w:vMerge w:val="restart"/>
                  <w:noWrap w:val="0"/>
                  <w:vAlign w:val="center"/>
                </w:tcPr>
                <w:p w14:paraId="46735E7A">
                  <w:pPr>
                    <w:pStyle w:val="115"/>
                    <w:keepNext w:val="0"/>
                    <w:keepLines w:val="0"/>
                    <w:widowControl/>
                    <w:suppressLineNumbers w:val="0"/>
                    <w:adjustRightInd/>
                    <w:snapToGrid/>
                    <w:spacing w:before="0" w:beforeAutospacing="0" w:after="0" w:afterAutospacing="0"/>
                    <w:ind w:left="0" w:leftChars="0" w:right="0" w:rightChars="0" w:firstLine="0" w:firstLineChars="0"/>
                    <w:jc w:val="center"/>
                    <w:rPr>
                      <w:rFonts w:hint="default" w:ascii="Times New Roman" w:hAnsi="Times New Roman" w:eastAsia="宋体"/>
                      <w:lang w:val="en-US" w:eastAsia="zh-CN"/>
                    </w:rPr>
                  </w:pPr>
                  <w:r>
                    <w:rPr>
                      <w:rFonts w:hint="default" w:ascii="Times New Roman" w:hAnsi="Times New Roman" w:eastAsia="宋体"/>
                      <w:lang w:val="en-US" w:eastAsia="zh-CN"/>
                    </w:rPr>
                    <w:t>Ⅲ</w:t>
                  </w:r>
                </w:p>
              </w:tc>
              <w:tc>
                <w:tcPr>
                  <w:tcW w:w="882" w:type="pct"/>
                  <w:shd w:val="clear" w:color="auto" w:fill="auto"/>
                  <w:noWrap w:val="0"/>
                  <w:vAlign w:val="center"/>
                </w:tcPr>
                <w:p w14:paraId="745EE293">
                  <w:pPr>
                    <w:pStyle w:val="115"/>
                    <w:keepNext w:val="0"/>
                    <w:keepLines w:val="0"/>
                    <w:widowControl/>
                    <w:suppressLineNumbers w:val="0"/>
                    <w:adjustRightInd/>
                    <w:snapToGrid/>
                    <w:spacing w:before="0" w:beforeAutospacing="0" w:after="0" w:afterAutospacing="0"/>
                    <w:ind w:left="0" w:leftChars="0" w:right="0" w:rightChars="0" w:firstLine="0" w:firstLineChars="0"/>
                    <w:jc w:val="center"/>
                    <w:rPr>
                      <w:rFonts w:hint="eastAsia" w:ascii="Times New Roman" w:hAnsi="Times New Roman" w:eastAsia="宋体" w:cs="Times New Roman"/>
                      <w:snapToGrid w:val="0"/>
                      <w:sz w:val="21"/>
                      <w:szCs w:val="21"/>
                      <w:lang w:val="en-US" w:eastAsia="zh-CN" w:bidi="ar-SA"/>
                    </w:rPr>
                  </w:pPr>
                  <w:r>
                    <w:rPr>
                      <w:rFonts w:hint="eastAsia" w:ascii="Times New Roman" w:hAnsi="Times New Roman" w:eastAsia="宋体"/>
                      <w:lang w:val="en-US" w:eastAsia="zh-CN"/>
                    </w:rPr>
                    <w:t>1月</w:t>
                  </w:r>
                </w:p>
              </w:tc>
              <w:tc>
                <w:tcPr>
                  <w:tcW w:w="943" w:type="pct"/>
                  <w:noWrap w:val="0"/>
                  <w:vAlign w:val="center"/>
                </w:tcPr>
                <w:p w14:paraId="7E1C00C7">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lang w:val="en-US" w:eastAsia="zh-CN"/>
                    </w:rPr>
                  </w:pPr>
                  <w:r>
                    <w:rPr>
                      <w:rFonts w:hint="default" w:ascii="Times New Roman" w:hAnsi="Times New Roman" w:eastAsia="宋体"/>
                      <w:lang w:val="en-US" w:eastAsia="zh-CN"/>
                    </w:rPr>
                    <w:t>Ⅲ</w:t>
                  </w:r>
                </w:p>
              </w:tc>
            </w:tr>
            <w:tr w14:paraId="0CA40E4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53" w:hRule="atLeast"/>
                <w:jc w:val="center"/>
              </w:trPr>
              <w:tc>
                <w:tcPr>
                  <w:tcW w:w="640" w:type="pct"/>
                  <w:vMerge w:val="continue"/>
                  <w:noWrap w:val="0"/>
                  <w:vAlign w:val="center"/>
                </w:tcPr>
                <w:p w14:paraId="0A575706">
                  <w:pPr>
                    <w:pStyle w:val="116"/>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zCs w:val="21"/>
                      <w:lang w:val="en-US" w:eastAsia="zh-CN"/>
                    </w:rPr>
                  </w:pPr>
                </w:p>
              </w:tc>
              <w:tc>
                <w:tcPr>
                  <w:tcW w:w="748" w:type="pct"/>
                  <w:vMerge w:val="continue"/>
                  <w:noWrap w:val="0"/>
                  <w:vAlign w:val="center"/>
                </w:tcPr>
                <w:p w14:paraId="6B0EFC83">
                  <w:pPr>
                    <w:pStyle w:val="116"/>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zCs w:val="21"/>
                      <w:lang w:eastAsia="zh-CN"/>
                    </w:rPr>
                  </w:pPr>
                </w:p>
              </w:tc>
              <w:tc>
                <w:tcPr>
                  <w:tcW w:w="805" w:type="pct"/>
                  <w:vMerge w:val="continue"/>
                  <w:noWrap w:val="0"/>
                  <w:vAlign w:val="center"/>
                </w:tcPr>
                <w:p w14:paraId="3074E6E6">
                  <w:pPr>
                    <w:keepNext w:val="0"/>
                    <w:keepLines w:val="0"/>
                    <w:widowControl/>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zCs w:val="21"/>
                      <w:lang w:eastAsia="zh-CN"/>
                    </w:rPr>
                  </w:pPr>
                </w:p>
              </w:tc>
              <w:tc>
                <w:tcPr>
                  <w:tcW w:w="979" w:type="pct"/>
                  <w:vMerge w:val="continue"/>
                  <w:noWrap w:val="0"/>
                  <w:vAlign w:val="center"/>
                </w:tcPr>
                <w:p w14:paraId="1DC99443">
                  <w:pPr>
                    <w:pStyle w:val="115"/>
                    <w:keepNext w:val="0"/>
                    <w:keepLines w:val="0"/>
                    <w:widowControl/>
                    <w:suppressLineNumbers w:val="0"/>
                    <w:adjustRightInd/>
                    <w:snapToGrid/>
                    <w:spacing w:before="0" w:beforeAutospacing="0" w:after="0" w:afterAutospacing="0"/>
                    <w:ind w:left="0" w:leftChars="0" w:right="0" w:rightChars="0" w:firstLine="0" w:firstLineChars="0"/>
                    <w:jc w:val="center"/>
                    <w:rPr>
                      <w:rFonts w:hint="default" w:ascii="Times New Roman" w:hAnsi="Times New Roman" w:eastAsia="宋体"/>
                      <w:lang w:val="en-US" w:eastAsia="zh-CN"/>
                    </w:rPr>
                  </w:pPr>
                </w:p>
              </w:tc>
              <w:tc>
                <w:tcPr>
                  <w:tcW w:w="882" w:type="pct"/>
                  <w:shd w:val="clear" w:color="auto" w:fill="auto"/>
                  <w:noWrap w:val="0"/>
                  <w:vAlign w:val="center"/>
                </w:tcPr>
                <w:p w14:paraId="799F9747">
                  <w:pPr>
                    <w:keepNext w:val="0"/>
                    <w:keepLines w:val="0"/>
                    <w:widowControl/>
                    <w:suppressLineNumbers w:val="0"/>
                    <w:adjustRightInd/>
                    <w:snapToGrid/>
                    <w:spacing w:before="0" w:beforeAutospacing="0" w:after="0" w:afterAutospacing="0"/>
                    <w:ind w:left="0" w:leftChars="0" w:right="0" w:rightChars="0" w:firstLine="0" w:firstLineChars="0"/>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lang w:val="en-US" w:eastAsia="zh-CN"/>
                    </w:rPr>
                    <w:t>2月</w:t>
                  </w:r>
                </w:p>
              </w:tc>
              <w:tc>
                <w:tcPr>
                  <w:tcW w:w="943" w:type="pct"/>
                  <w:noWrap w:val="0"/>
                  <w:vAlign w:val="center"/>
                </w:tcPr>
                <w:p w14:paraId="1794700E">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lang w:val="en-US" w:eastAsia="zh-CN"/>
                    </w:rPr>
                  </w:pPr>
                  <w:r>
                    <w:rPr>
                      <w:rFonts w:hint="default" w:ascii="Times New Roman" w:hAnsi="Times New Roman" w:eastAsia="宋体"/>
                      <w:lang w:val="en-US" w:eastAsia="zh-CN"/>
                    </w:rPr>
                    <w:t>Ⅲ</w:t>
                  </w:r>
                </w:p>
              </w:tc>
            </w:tr>
            <w:tr w14:paraId="298EBD6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53" w:hRule="atLeast"/>
                <w:jc w:val="center"/>
              </w:trPr>
              <w:tc>
                <w:tcPr>
                  <w:tcW w:w="640" w:type="pct"/>
                  <w:vMerge w:val="continue"/>
                  <w:noWrap w:val="0"/>
                  <w:vAlign w:val="center"/>
                </w:tcPr>
                <w:p w14:paraId="61901499">
                  <w:pPr>
                    <w:pStyle w:val="116"/>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zCs w:val="21"/>
                      <w:lang w:val="en-US" w:eastAsia="zh-CN"/>
                    </w:rPr>
                  </w:pPr>
                </w:p>
              </w:tc>
              <w:tc>
                <w:tcPr>
                  <w:tcW w:w="748" w:type="pct"/>
                  <w:vMerge w:val="continue"/>
                  <w:noWrap w:val="0"/>
                  <w:vAlign w:val="center"/>
                </w:tcPr>
                <w:p w14:paraId="5ECC58FB">
                  <w:pPr>
                    <w:pStyle w:val="116"/>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zCs w:val="21"/>
                      <w:lang w:eastAsia="zh-CN"/>
                    </w:rPr>
                  </w:pPr>
                </w:p>
              </w:tc>
              <w:tc>
                <w:tcPr>
                  <w:tcW w:w="805" w:type="pct"/>
                  <w:vMerge w:val="continue"/>
                  <w:noWrap w:val="0"/>
                  <w:vAlign w:val="center"/>
                </w:tcPr>
                <w:p w14:paraId="331BC456">
                  <w:pPr>
                    <w:keepNext w:val="0"/>
                    <w:keepLines w:val="0"/>
                    <w:widowControl/>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zCs w:val="21"/>
                      <w:lang w:eastAsia="zh-CN"/>
                    </w:rPr>
                  </w:pPr>
                </w:p>
              </w:tc>
              <w:tc>
                <w:tcPr>
                  <w:tcW w:w="979" w:type="pct"/>
                  <w:vMerge w:val="continue"/>
                  <w:noWrap w:val="0"/>
                  <w:vAlign w:val="center"/>
                </w:tcPr>
                <w:p w14:paraId="455889BC">
                  <w:pPr>
                    <w:pStyle w:val="115"/>
                    <w:keepNext w:val="0"/>
                    <w:keepLines w:val="0"/>
                    <w:widowControl/>
                    <w:suppressLineNumbers w:val="0"/>
                    <w:adjustRightInd/>
                    <w:snapToGrid/>
                    <w:spacing w:before="0" w:beforeAutospacing="0" w:after="0" w:afterAutospacing="0"/>
                    <w:ind w:left="0" w:leftChars="0" w:right="0" w:rightChars="0" w:firstLine="0" w:firstLineChars="0"/>
                    <w:jc w:val="center"/>
                    <w:rPr>
                      <w:rFonts w:hint="default" w:ascii="Times New Roman" w:hAnsi="Times New Roman" w:eastAsia="宋体"/>
                      <w:lang w:val="en-US" w:eastAsia="zh-CN"/>
                    </w:rPr>
                  </w:pPr>
                </w:p>
              </w:tc>
              <w:tc>
                <w:tcPr>
                  <w:tcW w:w="882" w:type="pct"/>
                  <w:shd w:val="clear" w:color="auto" w:fill="auto"/>
                  <w:noWrap w:val="0"/>
                  <w:vAlign w:val="center"/>
                </w:tcPr>
                <w:p w14:paraId="29AEF011">
                  <w:pPr>
                    <w:keepNext w:val="0"/>
                    <w:keepLines w:val="0"/>
                    <w:widowControl/>
                    <w:suppressLineNumbers w:val="0"/>
                    <w:adjustRightInd/>
                    <w:snapToGrid/>
                    <w:spacing w:before="0" w:beforeAutospacing="0" w:after="0" w:afterAutospacing="0"/>
                    <w:ind w:left="0" w:leftChars="0" w:right="0" w:rightChars="0" w:firstLine="0" w:firstLineChars="0"/>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lang w:val="en-US" w:eastAsia="zh-CN"/>
                    </w:rPr>
                    <w:t>3月</w:t>
                  </w:r>
                </w:p>
              </w:tc>
              <w:tc>
                <w:tcPr>
                  <w:tcW w:w="943" w:type="pct"/>
                  <w:noWrap w:val="0"/>
                  <w:vAlign w:val="center"/>
                </w:tcPr>
                <w:p w14:paraId="37B17E59">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lang w:val="en-US" w:eastAsia="zh-CN"/>
                    </w:rPr>
                  </w:pPr>
                  <w:r>
                    <w:rPr>
                      <w:rFonts w:hint="default" w:ascii="Times New Roman" w:hAnsi="Times New Roman" w:eastAsia="宋体"/>
                      <w:lang w:val="en-US" w:eastAsia="zh-CN"/>
                    </w:rPr>
                    <w:t>Ⅲ</w:t>
                  </w:r>
                </w:p>
              </w:tc>
            </w:tr>
            <w:tr w14:paraId="1D46C3C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53" w:hRule="atLeast"/>
                <w:jc w:val="center"/>
              </w:trPr>
              <w:tc>
                <w:tcPr>
                  <w:tcW w:w="640" w:type="pct"/>
                  <w:vMerge w:val="continue"/>
                  <w:noWrap w:val="0"/>
                  <w:vAlign w:val="center"/>
                </w:tcPr>
                <w:p w14:paraId="79EA5811">
                  <w:pPr>
                    <w:pStyle w:val="116"/>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zCs w:val="21"/>
                      <w:lang w:val="en-US" w:eastAsia="zh-CN"/>
                    </w:rPr>
                  </w:pPr>
                </w:p>
              </w:tc>
              <w:tc>
                <w:tcPr>
                  <w:tcW w:w="748" w:type="pct"/>
                  <w:vMerge w:val="continue"/>
                  <w:noWrap w:val="0"/>
                  <w:vAlign w:val="center"/>
                </w:tcPr>
                <w:p w14:paraId="36E98420">
                  <w:pPr>
                    <w:pStyle w:val="116"/>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zCs w:val="21"/>
                      <w:lang w:eastAsia="zh-CN"/>
                    </w:rPr>
                  </w:pPr>
                </w:p>
              </w:tc>
              <w:tc>
                <w:tcPr>
                  <w:tcW w:w="805" w:type="pct"/>
                  <w:vMerge w:val="continue"/>
                  <w:noWrap w:val="0"/>
                  <w:vAlign w:val="center"/>
                </w:tcPr>
                <w:p w14:paraId="75A92925">
                  <w:pPr>
                    <w:keepNext w:val="0"/>
                    <w:keepLines w:val="0"/>
                    <w:widowControl/>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zCs w:val="21"/>
                      <w:lang w:eastAsia="zh-CN"/>
                    </w:rPr>
                  </w:pPr>
                </w:p>
              </w:tc>
              <w:tc>
                <w:tcPr>
                  <w:tcW w:w="979" w:type="pct"/>
                  <w:vMerge w:val="continue"/>
                  <w:noWrap w:val="0"/>
                  <w:vAlign w:val="center"/>
                </w:tcPr>
                <w:p w14:paraId="6D258A5F">
                  <w:pPr>
                    <w:pStyle w:val="115"/>
                    <w:keepNext w:val="0"/>
                    <w:keepLines w:val="0"/>
                    <w:widowControl/>
                    <w:suppressLineNumbers w:val="0"/>
                    <w:adjustRightInd/>
                    <w:snapToGrid/>
                    <w:spacing w:before="0" w:beforeAutospacing="0" w:after="0" w:afterAutospacing="0"/>
                    <w:ind w:left="0" w:leftChars="0" w:right="0" w:rightChars="0" w:firstLine="0" w:firstLineChars="0"/>
                    <w:jc w:val="center"/>
                    <w:rPr>
                      <w:rFonts w:hint="default" w:ascii="Times New Roman" w:hAnsi="Times New Roman" w:eastAsia="宋体"/>
                      <w:lang w:val="en-US" w:eastAsia="zh-CN"/>
                    </w:rPr>
                  </w:pPr>
                </w:p>
              </w:tc>
              <w:tc>
                <w:tcPr>
                  <w:tcW w:w="882" w:type="pct"/>
                  <w:shd w:val="clear" w:color="auto" w:fill="auto"/>
                  <w:noWrap w:val="0"/>
                  <w:vAlign w:val="center"/>
                </w:tcPr>
                <w:p w14:paraId="74BD771F">
                  <w:pPr>
                    <w:keepNext w:val="0"/>
                    <w:keepLines w:val="0"/>
                    <w:widowControl/>
                    <w:suppressLineNumbers w:val="0"/>
                    <w:adjustRightInd/>
                    <w:snapToGrid/>
                    <w:spacing w:before="0" w:beforeAutospacing="0" w:after="0" w:afterAutospacing="0"/>
                    <w:ind w:left="0" w:leftChars="0" w:right="0" w:rightChars="0" w:firstLine="0" w:firstLineChars="0"/>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lang w:val="en-US" w:eastAsia="zh-CN"/>
                    </w:rPr>
                    <w:t>4月</w:t>
                  </w:r>
                </w:p>
              </w:tc>
              <w:tc>
                <w:tcPr>
                  <w:tcW w:w="943" w:type="pct"/>
                  <w:noWrap w:val="0"/>
                  <w:vAlign w:val="center"/>
                </w:tcPr>
                <w:p w14:paraId="49968A2F">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lang w:val="en-US" w:eastAsia="zh-CN"/>
                    </w:rPr>
                  </w:pPr>
                  <w:r>
                    <w:rPr>
                      <w:rFonts w:hint="default" w:ascii="Times New Roman" w:hAnsi="Times New Roman" w:eastAsia="宋体"/>
                      <w:lang w:val="en-US" w:eastAsia="zh-CN"/>
                    </w:rPr>
                    <w:t>Ⅲ</w:t>
                  </w:r>
                </w:p>
              </w:tc>
            </w:tr>
            <w:tr w14:paraId="63415FB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53" w:hRule="atLeast"/>
                <w:jc w:val="center"/>
              </w:trPr>
              <w:tc>
                <w:tcPr>
                  <w:tcW w:w="640" w:type="pct"/>
                  <w:vMerge w:val="continue"/>
                  <w:noWrap w:val="0"/>
                  <w:vAlign w:val="center"/>
                </w:tcPr>
                <w:p w14:paraId="625F100D">
                  <w:pPr>
                    <w:pStyle w:val="116"/>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zCs w:val="21"/>
                      <w:lang w:val="en-US" w:eastAsia="zh-CN"/>
                    </w:rPr>
                  </w:pPr>
                </w:p>
              </w:tc>
              <w:tc>
                <w:tcPr>
                  <w:tcW w:w="748" w:type="pct"/>
                  <w:vMerge w:val="continue"/>
                  <w:noWrap w:val="0"/>
                  <w:vAlign w:val="center"/>
                </w:tcPr>
                <w:p w14:paraId="3A6819C4">
                  <w:pPr>
                    <w:pStyle w:val="116"/>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zCs w:val="21"/>
                      <w:lang w:eastAsia="zh-CN"/>
                    </w:rPr>
                  </w:pPr>
                </w:p>
              </w:tc>
              <w:tc>
                <w:tcPr>
                  <w:tcW w:w="805" w:type="pct"/>
                  <w:vMerge w:val="continue"/>
                  <w:noWrap w:val="0"/>
                  <w:vAlign w:val="center"/>
                </w:tcPr>
                <w:p w14:paraId="7B715764">
                  <w:pPr>
                    <w:keepNext w:val="0"/>
                    <w:keepLines w:val="0"/>
                    <w:widowControl/>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zCs w:val="21"/>
                      <w:lang w:eastAsia="zh-CN"/>
                    </w:rPr>
                  </w:pPr>
                </w:p>
              </w:tc>
              <w:tc>
                <w:tcPr>
                  <w:tcW w:w="979" w:type="pct"/>
                  <w:vMerge w:val="continue"/>
                  <w:noWrap w:val="0"/>
                  <w:vAlign w:val="center"/>
                </w:tcPr>
                <w:p w14:paraId="7B63E99F">
                  <w:pPr>
                    <w:pStyle w:val="115"/>
                    <w:keepNext w:val="0"/>
                    <w:keepLines w:val="0"/>
                    <w:widowControl/>
                    <w:suppressLineNumbers w:val="0"/>
                    <w:adjustRightInd/>
                    <w:snapToGrid/>
                    <w:spacing w:before="0" w:beforeAutospacing="0" w:after="0" w:afterAutospacing="0"/>
                    <w:ind w:left="0" w:leftChars="0" w:right="0" w:rightChars="0" w:firstLine="0" w:firstLineChars="0"/>
                    <w:jc w:val="center"/>
                    <w:rPr>
                      <w:rFonts w:hint="default" w:ascii="Times New Roman" w:hAnsi="Times New Roman" w:eastAsia="宋体"/>
                      <w:lang w:val="en-US" w:eastAsia="zh-CN"/>
                    </w:rPr>
                  </w:pPr>
                </w:p>
              </w:tc>
              <w:tc>
                <w:tcPr>
                  <w:tcW w:w="882" w:type="pct"/>
                  <w:shd w:val="clear" w:color="auto" w:fill="auto"/>
                  <w:noWrap w:val="0"/>
                  <w:vAlign w:val="center"/>
                </w:tcPr>
                <w:p w14:paraId="695B5CBB">
                  <w:pPr>
                    <w:keepNext w:val="0"/>
                    <w:keepLines w:val="0"/>
                    <w:widowControl/>
                    <w:suppressLineNumbers w:val="0"/>
                    <w:adjustRightInd/>
                    <w:snapToGrid/>
                    <w:spacing w:before="0" w:beforeAutospacing="0" w:after="0" w:afterAutospacing="0"/>
                    <w:ind w:left="0" w:leftChars="0" w:right="0" w:rightChars="0" w:firstLine="0" w:firstLineChars="0"/>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lang w:val="en-US" w:eastAsia="zh-CN"/>
                    </w:rPr>
                    <w:t>5月</w:t>
                  </w:r>
                </w:p>
              </w:tc>
              <w:tc>
                <w:tcPr>
                  <w:tcW w:w="943" w:type="pct"/>
                  <w:noWrap w:val="0"/>
                  <w:vAlign w:val="center"/>
                </w:tcPr>
                <w:p w14:paraId="37D437E6">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lang w:val="en-US" w:eastAsia="zh-CN"/>
                    </w:rPr>
                  </w:pPr>
                  <w:r>
                    <w:rPr>
                      <w:rFonts w:hint="default" w:ascii="Times New Roman" w:hAnsi="Times New Roman" w:eastAsia="宋体"/>
                      <w:lang w:val="en-US" w:eastAsia="zh-CN"/>
                    </w:rPr>
                    <w:t>Ⅳ</w:t>
                  </w:r>
                </w:p>
              </w:tc>
            </w:tr>
            <w:tr w14:paraId="62E9CD5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53" w:hRule="atLeast"/>
                <w:jc w:val="center"/>
              </w:trPr>
              <w:tc>
                <w:tcPr>
                  <w:tcW w:w="640" w:type="pct"/>
                  <w:vMerge w:val="continue"/>
                  <w:noWrap w:val="0"/>
                  <w:vAlign w:val="center"/>
                </w:tcPr>
                <w:p w14:paraId="16615B65">
                  <w:pPr>
                    <w:pStyle w:val="116"/>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zCs w:val="21"/>
                      <w:lang w:val="en-US" w:eastAsia="zh-CN"/>
                    </w:rPr>
                  </w:pPr>
                </w:p>
              </w:tc>
              <w:tc>
                <w:tcPr>
                  <w:tcW w:w="748" w:type="pct"/>
                  <w:vMerge w:val="continue"/>
                  <w:noWrap w:val="0"/>
                  <w:vAlign w:val="center"/>
                </w:tcPr>
                <w:p w14:paraId="76A059B9">
                  <w:pPr>
                    <w:pStyle w:val="116"/>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zCs w:val="21"/>
                      <w:lang w:eastAsia="zh-CN"/>
                    </w:rPr>
                  </w:pPr>
                </w:p>
              </w:tc>
              <w:tc>
                <w:tcPr>
                  <w:tcW w:w="805" w:type="pct"/>
                  <w:vMerge w:val="continue"/>
                  <w:noWrap w:val="0"/>
                  <w:vAlign w:val="center"/>
                </w:tcPr>
                <w:p w14:paraId="203DAD6F">
                  <w:pPr>
                    <w:keepNext w:val="0"/>
                    <w:keepLines w:val="0"/>
                    <w:widowControl/>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zCs w:val="21"/>
                      <w:lang w:eastAsia="zh-CN"/>
                    </w:rPr>
                  </w:pPr>
                </w:p>
              </w:tc>
              <w:tc>
                <w:tcPr>
                  <w:tcW w:w="979" w:type="pct"/>
                  <w:vMerge w:val="continue"/>
                  <w:noWrap w:val="0"/>
                  <w:vAlign w:val="center"/>
                </w:tcPr>
                <w:p w14:paraId="2EA6325E">
                  <w:pPr>
                    <w:pStyle w:val="115"/>
                    <w:keepNext w:val="0"/>
                    <w:keepLines w:val="0"/>
                    <w:widowControl/>
                    <w:suppressLineNumbers w:val="0"/>
                    <w:adjustRightInd/>
                    <w:snapToGrid/>
                    <w:spacing w:before="0" w:beforeAutospacing="0" w:after="0" w:afterAutospacing="0"/>
                    <w:ind w:left="0" w:leftChars="0" w:right="0" w:rightChars="0" w:firstLine="0" w:firstLineChars="0"/>
                    <w:jc w:val="center"/>
                    <w:rPr>
                      <w:rFonts w:hint="default" w:ascii="Times New Roman" w:hAnsi="Times New Roman" w:eastAsia="宋体"/>
                      <w:lang w:val="en-US" w:eastAsia="zh-CN"/>
                    </w:rPr>
                  </w:pPr>
                </w:p>
              </w:tc>
              <w:tc>
                <w:tcPr>
                  <w:tcW w:w="882" w:type="pct"/>
                  <w:shd w:val="clear" w:color="auto" w:fill="auto"/>
                  <w:noWrap w:val="0"/>
                  <w:vAlign w:val="center"/>
                </w:tcPr>
                <w:p w14:paraId="23608E81">
                  <w:pPr>
                    <w:pStyle w:val="115"/>
                    <w:keepNext w:val="0"/>
                    <w:keepLines w:val="0"/>
                    <w:widowControl/>
                    <w:suppressLineNumbers w:val="0"/>
                    <w:adjustRightInd/>
                    <w:snapToGrid/>
                    <w:spacing w:before="0" w:beforeAutospacing="0" w:after="0" w:afterAutospacing="0"/>
                    <w:ind w:left="0" w:leftChars="0" w:right="0" w:rightChars="0" w:firstLine="0" w:firstLineChars="0"/>
                    <w:jc w:val="center"/>
                    <w:rPr>
                      <w:rFonts w:hint="eastAsia" w:ascii="Times New Roman" w:hAnsi="Times New Roman" w:eastAsia="宋体" w:cs="Times New Roman"/>
                      <w:snapToGrid w:val="0"/>
                      <w:sz w:val="21"/>
                      <w:szCs w:val="21"/>
                      <w:lang w:val="en-US" w:eastAsia="zh-CN" w:bidi="ar-SA"/>
                    </w:rPr>
                  </w:pPr>
                  <w:r>
                    <w:rPr>
                      <w:rFonts w:hint="eastAsia" w:ascii="Times New Roman" w:hAnsi="Times New Roman" w:eastAsia="宋体"/>
                      <w:lang w:val="en-US" w:eastAsia="zh-CN"/>
                    </w:rPr>
                    <w:t>6月</w:t>
                  </w:r>
                </w:p>
              </w:tc>
              <w:tc>
                <w:tcPr>
                  <w:tcW w:w="943" w:type="pct"/>
                  <w:noWrap w:val="0"/>
                  <w:vAlign w:val="center"/>
                </w:tcPr>
                <w:p w14:paraId="05A47A8E">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lang w:val="en-US" w:eastAsia="zh-CN"/>
                    </w:rPr>
                  </w:pPr>
                  <w:r>
                    <w:rPr>
                      <w:rFonts w:hint="default" w:ascii="Times New Roman" w:hAnsi="Times New Roman" w:eastAsia="宋体"/>
                      <w:lang w:val="en-US" w:eastAsia="zh-CN"/>
                    </w:rPr>
                    <w:t>Ⅲ</w:t>
                  </w:r>
                </w:p>
              </w:tc>
            </w:tr>
            <w:tr w14:paraId="379E77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53" w:hRule="atLeast"/>
                <w:jc w:val="center"/>
              </w:trPr>
              <w:tc>
                <w:tcPr>
                  <w:tcW w:w="640" w:type="pct"/>
                  <w:vMerge w:val="continue"/>
                  <w:noWrap w:val="0"/>
                  <w:vAlign w:val="center"/>
                </w:tcPr>
                <w:p w14:paraId="46F31194">
                  <w:pPr>
                    <w:pStyle w:val="116"/>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zCs w:val="21"/>
                      <w:lang w:val="en-US" w:eastAsia="zh-CN"/>
                    </w:rPr>
                  </w:pPr>
                </w:p>
              </w:tc>
              <w:tc>
                <w:tcPr>
                  <w:tcW w:w="748" w:type="pct"/>
                  <w:vMerge w:val="continue"/>
                  <w:noWrap w:val="0"/>
                  <w:vAlign w:val="center"/>
                </w:tcPr>
                <w:p w14:paraId="5DB85869">
                  <w:pPr>
                    <w:pStyle w:val="116"/>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zCs w:val="21"/>
                      <w:lang w:eastAsia="zh-CN"/>
                    </w:rPr>
                  </w:pPr>
                </w:p>
              </w:tc>
              <w:tc>
                <w:tcPr>
                  <w:tcW w:w="805" w:type="pct"/>
                  <w:vMerge w:val="continue"/>
                  <w:noWrap w:val="0"/>
                  <w:vAlign w:val="center"/>
                </w:tcPr>
                <w:p w14:paraId="3DB46B95">
                  <w:pPr>
                    <w:keepNext w:val="0"/>
                    <w:keepLines w:val="0"/>
                    <w:widowControl/>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zCs w:val="21"/>
                      <w:lang w:eastAsia="zh-CN"/>
                    </w:rPr>
                  </w:pPr>
                </w:p>
              </w:tc>
              <w:tc>
                <w:tcPr>
                  <w:tcW w:w="979" w:type="pct"/>
                  <w:vMerge w:val="continue"/>
                  <w:noWrap w:val="0"/>
                  <w:vAlign w:val="center"/>
                </w:tcPr>
                <w:p w14:paraId="12693263">
                  <w:pPr>
                    <w:pStyle w:val="115"/>
                    <w:keepNext w:val="0"/>
                    <w:keepLines w:val="0"/>
                    <w:widowControl/>
                    <w:suppressLineNumbers w:val="0"/>
                    <w:adjustRightInd/>
                    <w:snapToGrid/>
                    <w:spacing w:before="0" w:beforeAutospacing="0" w:after="0" w:afterAutospacing="0"/>
                    <w:ind w:left="0" w:leftChars="0" w:right="0" w:rightChars="0" w:firstLine="0" w:firstLineChars="0"/>
                    <w:jc w:val="center"/>
                    <w:rPr>
                      <w:rFonts w:hint="default" w:ascii="Times New Roman" w:hAnsi="Times New Roman" w:eastAsia="宋体"/>
                      <w:lang w:val="en-US" w:eastAsia="zh-CN"/>
                    </w:rPr>
                  </w:pPr>
                </w:p>
              </w:tc>
              <w:tc>
                <w:tcPr>
                  <w:tcW w:w="882" w:type="pct"/>
                  <w:shd w:val="clear" w:color="auto" w:fill="auto"/>
                  <w:noWrap w:val="0"/>
                  <w:vAlign w:val="center"/>
                </w:tcPr>
                <w:p w14:paraId="5851921E">
                  <w:pPr>
                    <w:keepNext w:val="0"/>
                    <w:keepLines w:val="0"/>
                    <w:widowControl/>
                    <w:suppressLineNumbers w:val="0"/>
                    <w:adjustRightInd/>
                    <w:snapToGrid/>
                    <w:spacing w:before="0" w:beforeAutospacing="0" w:after="0" w:afterAutospacing="0"/>
                    <w:ind w:left="0" w:leftChars="0" w:right="0" w:rightChars="0" w:firstLine="0" w:firstLineChars="0"/>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lang w:val="en-US" w:eastAsia="zh-CN"/>
                    </w:rPr>
                    <w:t>7月</w:t>
                  </w:r>
                </w:p>
              </w:tc>
              <w:tc>
                <w:tcPr>
                  <w:tcW w:w="943" w:type="pct"/>
                  <w:noWrap w:val="0"/>
                  <w:vAlign w:val="center"/>
                </w:tcPr>
                <w:p w14:paraId="36EB4878">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lang w:val="en-US" w:eastAsia="zh-CN"/>
                    </w:rPr>
                  </w:pPr>
                  <w:r>
                    <w:rPr>
                      <w:rFonts w:hint="default" w:ascii="Times New Roman" w:hAnsi="Times New Roman" w:eastAsia="宋体"/>
                      <w:lang w:val="en-US" w:eastAsia="zh-CN"/>
                    </w:rPr>
                    <w:t>Ⅲ</w:t>
                  </w:r>
                </w:p>
              </w:tc>
            </w:tr>
            <w:tr w14:paraId="1C1B96A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53" w:hRule="atLeast"/>
                <w:jc w:val="center"/>
              </w:trPr>
              <w:tc>
                <w:tcPr>
                  <w:tcW w:w="640" w:type="pct"/>
                  <w:vMerge w:val="continue"/>
                  <w:noWrap w:val="0"/>
                  <w:vAlign w:val="center"/>
                </w:tcPr>
                <w:p w14:paraId="037C2C18">
                  <w:pPr>
                    <w:pStyle w:val="116"/>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zCs w:val="21"/>
                      <w:lang w:val="en-US" w:eastAsia="zh-CN"/>
                    </w:rPr>
                  </w:pPr>
                </w:p>
              </w:tc>
              <w:tc>
                <w:tcPr>
                  <w:tcW w:w="748" w:type="pct"/>
                  <w:vMerge w:val="continue"/>
                  <w:noWrap w:val="0"/>
                  <w:vAlign w:val="center"/>
                </w:tcPr>
                <w:p w14:paraId="138E5EF4">
                  <w:pPr>
                    <w:pStyle w:val="116"/>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zCs w:val="21"/>
                      <w:lang w:eastAsia="zh-CN"/>
                    </w:rPr>
                  </w:pPr>
                </w:p>
              </w:tc>
              <w:tc>
                <w:tcPr>
                  <w:tcW w:w="805" w:type="pct"/>
                  <w:vMerge w:val="continue"/>
                  <w:noWrap w:val="0"/>
                  <w:vAlign w:val="center"/>
                </w:tcPr>
                <w:p w14:paraId="2326D682">
                  <w:pPr>
                    <w:keepNext w:val="0"/>
                    <w:keepLines w:val="0"/>
                    <w:widowControl/>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zCs w:val="21"/>
                      <w:lang w:eastAsia="zh-CN"/>
                    </w:rPr>
                  </w:pPr>
                </w:p>
              </w:tc>
              <w:tc>
                <w:tcPr>
                  <w:tcW w:w="979" w:type="pct"/>
                  <w:vMerge w:val="continue"/>
                  <w:noWrap w:val="0"/>
                  <w:vAlign w:val="center"/>
                </w:tcPr>
                <w:p w14:paraId="72789170">
                  <w:pPr>
                    <w:pStyle w:val="115"/>
                    <w:keepNext w:val="0"/>
                    <w:keepLines w:val="0"/>
                    <w:widowControl/>
                    <w:suppressLineNumbers w:val="0"/>
                    <w:adjustRightInd/>
                    <w:snapToGrid/>
                    <w:spacing w:before="0" w:beforeAutospacing="0" w:after="0" w:afterAutospacing="0"/>
                    <w:ind w:left="0" w:leftChars="0" w:right="0" w:rightChars="0" w:firstLine="0" w:firstLineChars="0"/>
                    <w:jc w:val="center"/>
                    <w:rPr>
                      <w:rFonts w:hint="default" w:ascii="Times New Roman" w:hAnsi="Times New Roman" w:eastAsia="宋体"/>
                      <w:lang w:val="en-US" w:eastAsia="zh-CN"/>
                    </w:rPr>
                  </w:pPr>
                </w:p>
              </w:tc>
              <w:tc>
                <w:tcPr>
                  <w:tcW w:w="882" w:type="pct"/>
                  <w:shd w:val="clear" w:color="auto" w:fill="auto"/>
                  <w:noWrap w:val="0"/>
                  <w:vAlign w:val="center"/>
                </w:tcPr>
                <w:p w14:paraId="6BC4389D">
                  <w:pPr>
                    <w:keepNext w:val="0"/>
                    <w:keepLines w:val="0"/>
                    <w:widowControl/>
                    <w:suppressLineNumbers w:val="0"/>
                    <w:adjustRightInd/>
                    <w:snapToGrid/>
                    <w:spacing w:before="0" w:beforeAutospacing="0" w:after="0" w:afterAutospacing="0"/>
                    <w:ind w:left="0" w:leftChars="0" w:right="0" w:rightChars="0" w:firstLine="0" w:firstLineChars="0"/>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lang w:val="en-US" w:eastAsia="zh-CN"/>
                    </w:rPr>
                    <w:t>8月</w:t>
                  </w:r>
                </w:p>
              </w:tc>
              <w:tc>
                <w:tcPr>
                  <w:tcW w:w="943" w:type="pct"/>
                  <w:noWrap w:val="0"/>
                  <w:vAlign w:val="center"/>
                </w:tcPr>
                <w:p w14:paraId="485F9461">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lang w:val="en-US" w:eastAsia="zh-CN"/>
                    </w:rPr>
                  </w:pPr>
                  <w:r>
                    <w:rPr>
                      <w:rFonts w:hint="default" w:ascii="Times New Roman" w:hAnsi="Times New Roman" w:eastAsia="宋体"/>
                      <w:lang w:val="en-US" w:eastAsia="zh-CN"/>
                    </w:rPr>
                    <w:t>Ⅳ</w:t>
                  </w:r>
                </w:p>
              </w:tc>
            </w:tr>
            <w:tr w14:paraId="6F20208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53" w:hRule="atLeast"/>
                <w:jc w:val="center"/>
              </w:trPr>
              <w:tc>
                <w:tcPr>
                  <w:tcW w:w="640" w:type="pct"/>
                  <w:vMerge w:val="continue"/>
                  <w:noWrap w:val="0"/>
                  <w:vAlign w:val="center"/>
                </w:tcPr>
                <w:p w14:paraId="223145BD">
                  <w:pPr>
                    <w:pStyle w:val="116"/>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zCs w:val="21"/>
                      <w:lang w:val="en-US" w:eastAsia="zh-CN"/>
                    </w:rPr>
                  </w:pPr>
                </w:p>
              </w:tc>
              <w:tc>
                <w:tcPr>
                  <w:tcW w:w="748" w:type="pct"/>
                  <w:vMerge w:val="continue"/>
                  <w:noWrap w:val="0"/>
                  <w:vAlign w:val="center"/>
                </w:tcPr>
                <w:p w14:paraId="309E7F84">
                  <w:pPr>
                    <w:pStyle w:val="116"/>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zCs w:val="21"/>
                      <w:lang w:eastAsia="zh-CN"/>
                    </w:rPr>
                  </w:pPr>
                </w:p>
              </w:tc>
              <w:tc>
                <w:tcPr>
                  <w:tcW w:w="805" w:type="pct"/>
                  <w:vMerge w:val="continue"/>
                  <w:noWrap w:val="0"/>
                  <w:vAlign w:val="center"/>
                </w:tcPr>
                <w:p w14:paraId="08F61AA3">
                  <w:pPr>
                    <w:keepNext w:val="0"/>
                    <w:keepLines w:val="0"/>
                    <w:widowControl/>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zCs w:val="21"/>
                      <w:lang w:eastAsia="zh-CN"/>
                    </w:rPr>
                  </w:pPr>
                </w:p>
              </w:tc>
              <w:tc>
                <w:tcPr>
                  <w:tcW w:w="979" w:type="pct"/>
                  <w:vMerge w:val="continue"/>
                  <w:noWrap w:val="0"/>
                  <w:vAlign w:val="center"/>
                </w:tcPr>
                <w:p w14:paraId="23E989BD">
                  <w:pPr>
                    <w:pStyle w:val="115"/>
                    <w:keepNext w:val="0"/>
                    <w:keepLines w:val="0"/>
                    <w:widowControl/>
                    <w:suppressLineNumbers w:val="0"/>
                    <w:adjustRightInd/>
                    <w:snapToGrid/>
                    <w:spacing w:before="0" w:beforeAutospacing="0" w:after="0" w:afterAutospacing="0"/>
                    <w:ind w:left="0" w:leftChars="0" w:right="0" w:rightChars="0" w:firstLine="0" w:firstLineChars="0"/>
                    <w:jc w:val="center"/>
                    <w:rPr>
                      <w:rFonts w:hint="default" w:ascii="Times New Roman" w:hAnsi="Times New Roman" w:eastAsia="宋体"/>
                      <w:lang w:val="en-US" w:eastAsia="zh-CN"/>
                    </w:rPr>
                  </w:pPr>
                </w:p>
              </w:tc>
              <w:tc>
                <w:tcPr>
                  <w:tcW w:w="882" w:type="pct"/>
                  <w:shd w:val="clear" w:color="auto" w:fill="auto"/>
                  <w:noWrap w:val="0"/>
                  <w:vAlign w:val="center"/>
                </w:tcPr>
                <w:p w14:paraId="3F4D9FA4">
                  <w:pPr>
                    <w:keepNext w:val="0"/>
                    <w:keepLines w:val="0"/>
                    <w:widowControl/>
                    <w:suppressLineNumbers w:val="0"/>
                    <w:adjustRightInd/>
                    <w:snapToGrid/>
                    <w:spacing w:before="0" w:beforeAutospacing="0" w:after="0" w:afterAutospacing="0"/>
                    <w:ind w:left="0" w:leftChars="0" w:right="0" w:rightChars="0" w:firstLine="0" w:firstLineChars="0"/>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lang w:val="en-US" w:eastAsia="zh-CN"/>
                    </w:rPr>
                    <w:t>9月</w:t>
                  </w:r>
                </w:p>
              </w:tc>
              <w:tc>
                <w:tcPr>
                  <w:tcW w:w="943" w:type="pct"/>
                  <w:noWrap w:val="0"/>
                  <w:vAlign w:val="center"/>
                </w:tcPr>
                <w:p w14:paraId="25CE83D7">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lang w:val="en-US" w:eastAsia="zh-CN"/>
                    </w:rPr>
                  </w:pPr>
                  <w:r>
                    <w:rPr>
                      <w:rFonts w:hint="default" w:ascii="Times New Roman" w:hAnsi="Times New Roman" w:eastAsia="宋体"/>
                      <w:lang w:val="en-US" w:eastAsia="zh-CN"/>
                    </w:rPr>
                    <w:t>Ⅲ</w:t>
                  </w:r>
                </w:p>
              </w:tc>
            </w:tr>
            <w:tr w14:paraId="12FD507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53" w:hRule="atLeast"/>
                <w:jc w:val="center"/>
              </w:trPr>
              <w:tc>
                <w:tcPr>
                  <w:tcW w:w="640" w:type="pct"/>
                  <w:vMerge w:val="continue"/>
                  <w:noWrap w:val="0"/>
                  <w:vAlign w:val="center"/>
                </w:tcPr>
                <w:p w14:paraId="187892D1">
                  <w:pPr>
                    <w:pStyle w:val="116"/>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zCs w:val="21"/>
                      <w:lang w:val="en-US" w:eastAsia="zh-CN"/>
                    </w:rPr>
                  </w:pPr>
                </w:p>
              </w:tc>
              <w:tc>
                <w:tcPr>
                  <w:tcW w:w="748" w:type="pct"/>
                  <w:vMerge w:val="continue"/>
                  <w:noWrap w:val="0"/>
                  <w:vAlign w:val="center"/>
                </w:tcPr>
                <w:p w14:paraId="6F618325">
                  <w:pPr>
                    <w:pStyle w:val="116"/>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zCs w:val="21"/>
                      <w:lang w:eastAsia="zh-CN"/>
                    </w:rPr>
                  </w:pPr>
                </w:p>
              </w:tc>
              <w:tc>
                <w:tcPr>
                  <w:tcW w:w="805" w:type="pct"/>
                  <w:vMerge w:val="continue"/>
                  <w:noWrap w:val="0"/>
                  <w:vAlign w:val="center"/>
                </w:tcPr>
                <w:p w14:paraId="53DA3BEB">
                  <w:pPr>
                    <w:keepNext w:val="0"/>
                    <w:keepLines w:val="0"/>
                    <w:widowControl/>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zCs w:val="21"/>
                      <w:lang w:eastAsia="zh-CN"/>
                    </w:rPr>
                  </w:pPr>
                </w:p>
              </w:tc>
              <w:tc>
                <w:tcPr>
                  <w:tcW w:w="979" w:type="pct"/>
                  <w:vMerge w:val="continue"/>
                  <w:noWrap w:val="0"/>
                  <w:vAlign w:val="center"/>
                </w:tcPr>
                <w:p w14:paraId="53F4FA6D">
                  <w:pPr>
                    <w:pStyle w:val="115"/>
                    <w:keepNext w:val="0"/>
                    <w:keepLines w:val="0"/>
                    <w:widowControl/>
                    <w:suppressLineNumbers w:val="0"/>
                    <w:adjustRightInd/>
                    <w:snapToGrid/>
                    <w:spacing w:before="0" w:beforeAutospacing="0" w:after="0" w:afterAutospacing="0"/>
                    <w:ind w:left="0" w:leftChars="0" w:right="0" w:rightChars="0" w:firstLine="0" w:firstLineChars="0"/>
                    <w:jc w:val="center"/>
                    <w:rPr>
                      <w:rFonts w:hint="default" w:ascii="Times New Roman" w:hAnsi="Times New Roman" w:eastAsia="宋体"/>
                      <w:lang w:val="en-US" w:eastAsia="zh-CN"/>
                    </w:rPr>
                  </w:pPr>
                </w:p>
              </w:tc>
              <w:tc>
                <w:tcPr>
                  <w:tcW w:w="882" w:type="pct"/>
                  <w:shd w:val="clear" w:color="auto" w:fill="auto"/>
                  <w:noWrap w:val="0"/>
                  <w:vAlign w:val="center"/>
                </w:tcPr>
                <w:p w14:paraId="6B45FD35">
                  <w:pPr>
                    <w:keepNext w:val="0"/>
                    <w:keepLines w:val="0"/>
                    <w:widowControl/>
                    <w:suppressLineNumbers w:val="0"/>
                    <w:adjustRightInd/>
                    <w:snapToGrid/>
                    <w:spacing w:before="0" w:beforeAutospacing="0" w:after="0" w:afterAutospacing="0"/>
                    <w:ind w:left="0" w:leftChars="0" w:right="0" w:rightChars="0" w:firstLine="0" w:firstLineChars="0"/>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lang w:val="en-US" w:eastAsia="zh-CN"/>
                    </w:rPr>
                    <w:t>10月</w:t>
                  </w:r>
                </w:p>
              </w:tc>
              <w:tc>
                <w:tcPr>
                  <w:tcW w:w="943" w:type="pct"/>
                  <w:noWrap w:val="0"/>
                  <w:vAlign w:val="center"/>
                </w:tcPr>
                <w:p w14:paraId="6B7AB797">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lang w:val="en-US" w:eastAsia="zh-CN"/>
                    </w:rPr>
                  </w:pPr>
                  <w:r>
                    <w:rPr>
                      <w:rFonts w:hint="default" w:ascii="Times New Roman" w:hAnsi="Times New Roman" w:eastAsia="宋体"/>
                      <w:lang w:val="en-US" w:eastAsia="zh-CN"/>
                    </w:rPr>
                    <w:t>Ⅲ</w:t>
                  </w:r>
                </w:p>
              </w:tc>
            </w:tr>
            <w:tr w14:paraId="27EC161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53" w:hRule="atLeast"/>
                <w:jc w:val="center"/>
              </w:trPr>
              <w:tc>
                <w:tcPr>
                  <w:tcW w:w="640" w:type="pct"/>
                  <w:vMerge w:val="continue"/>
                  <w:noWrap w:val="0"/>
                  <w:vAlign w:val="center"/>
                </w:tcPr>
                <w:p w14:paraId="17A3D77D">
                  <w:pPr>
                    <w:pStyle w:val="116"/>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zCs w:val="21"/>
                      <w:lang w:val="en-US" w:eastAsia="zh-CN"/>
                    </w:rPr>
                  </w:pPr>
                </w:p>
              </w:tc>
              <w:tc>
                <w:tcPr>
                  <w:tcW w:w="748" w:type="pct"/>
                  <w:vMerge w:val="continue"/>
                  <w:noWrap w:val="0"/>
                  <w:vAlign w:val="center"/>
                </w:tcPr>
                <w:p w14:paraId="50E2A8F8">
                  <w:pPr>
                    <w:pStyle w:val="116"/>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zCs w:val="21"/>
                      <w:lang w:eastAsia="zh-CN"/>
                    </w:rPr>
                  </w:pPr>
                </w:p>
              </w:tc>
              <w:tc>
                <w:tcPr>
                  <w:tcW w:w="805" w:type="pct"/>
                  <w:vMerge w:val="continue"/>
                  <w:noWrap w:val="0"/>
                  <w:vAlign w:val="center"/>
                </w:tcPr>
                <w:p w14:paraId="3273C256">
                  <w:pPr>
                    <w:keepNext w:val="0"/>
                    <w:keepLines w:val="0"/>
                    <w:widowControl/>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zCs w:val="21"/>
                      <w:lang w:eastAsia="zh-CN"/>
                    </w:rPr>
                  </w:pPr>
                </w:p>
              </w:tc>
              <w:tc>
                <w:tcPr>
                  <w:tcW w:w="979" w:type="pct"/>
                  <w:vMerge w:val="continue"/>
                  <w:noWrap w:val="0"/>
                  <w:vAlign w:val="center"/>
                </w:tcPr>
                <w:p w14:paraId="646A46F6">
                  <w:pPr>
                    <w:pStyle w:val="115"/>
                    <w:keepNext w:val="0"/>
                    <w:keepLines w:val="0"/>
                    <w:widowControl/>
                    <w:suppressLineNumbers w:val="0"/>
                    <w:adjustRightInd/>
                    <w:snapToGrid/>
                    <w:spacing w:before="0" w:beforeAutospacing="0" w:after="0" w:afterAutospacing="0"/>
                    <w:ind w:left="0" w:leftChars="0" w:right="0" w:rightChars="0" w:firstLine="0" w:firstLineChars="0"/>
                    <w:jc w:val="center"/>
                    <w:rPr>
                      <w:rFonts w:hint="default" w:ascii="Times New Roman" w:hAnsi="Times New Roman" w:eastAsia="宋体"/>
                      <w:lang w:val="en-US" w:eastAsia="zh-CN"/>
                    </w:rPr>
                  </w:pPr>
                </w:p>
              </w:tc>
              <w:tc>
                <w:tcPr>
                  <w:tcW w:w="882" w:type="pct"/>
                  <w:shd w:val="clear" w:color="auto" w:fill="auto"/>
                  <w:noWrap w:val="0"/>
                  <w:vAlign w:val="center"/>
                </w:tcPr>
                <w:p w14:paraId="409BB35F">
                  <w:pPr>
                    <w:keepNext w:val="0"/>
                    <w:keepLines w:val="0"/>
                    <w:widowControl/>
                    <w:suppressLineNumbers w:val="0"/>
                    <w:adjustRightInd/>
                    <w:snapToGrid/>
                    <w:spacing w:before="0" w:beforeAutospacing="0" w:after="0" w:afterAutospacing="0"/>
                    <w:ind w:left="0" w:leftChars="0" w:right="0" w:rightChars="0" w:firstLine="0" w:firstLineChars="0"/>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lang w:val="en-US" w:eastAsia="zh-CN"/>
                    </w:rPr>
                    <w:t>11月</w:t>
                  </w:r>
                </w:p>
              </w:tc>
              <w:tc>
                <w:tcPr>
                  <w:tcW w:w="943" w:type="pct"/>
                  <w:noWrap w:val="0"/>
                  <w:vAlign w:val="center"/>
                </w:tcPr>
                <w:p w14:paraId="01E99A8B">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lang w:val="en-US" w:eastAsia="zh-CN"/>
                    </w:rPr>
                  </w:pPr>
                  <w:r>
                    <w:rPr>
                      <w:rFonts w:hint="default" w:ascii="Times New Roman" w:hAnsi="Times New Roman" w:eastAsia="宋体"/>
                      <w:lang w:val="en-US" w:eastAsia="zh-CN"/>
                    </w:rPr>
                    <w:t>Ⅳ</w:t>
                  </w:r>
                </w:p>
              </w:tc>
            </w:tr>
            <w:tr w14:paraId="14C7454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53" w:hRule="atLeast"/>
                <w:jc w:val="center"/>
              </w:trPr>
              <w:tc>
                <w:tcPr>
                  <w:tcW w:w="640" w:type="pct"/>
                  <w:vMerge w:val="continue"/>
                  <w:noWrap w:val="0"/>
                  <w:vAlign w:val="center"/>
                </w:tcPr>
                <w:p w14:paraId="68FA7F65">
                  <w:pPr>
                    <w:pStyle w:val="116"/>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zCs w:val="21"/>
                      <w:lang w:val="en-US" w:eastAsia="zh-CN"/>
                    </w:rPr>
                  </w:pPr>
                </w:p>
              </w:tc>
              <w:tc>
                <w:tcPr>
                  <w:tcW w:w="748" w:type="pct"/>
                  <w:vMerge w:val="continue"/>
                  <w:noWrap w:val="0"/>
                  <w:vAlign w:val="center"/>
                </w:tcPr>
                <w:p w14:paraId="5BF7581D">
                  <w:pPr>
                    <w:pStyle w:val="116"/>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zCs w:val="21"/>
                      <w:lang w:eastAsia="zh-CN"/>
                    </w:rPr>
                  </w:pPr>
                </w:p>
              </w:tc>
              <w:tc>
                <w:tcPr>
                  <w:tcW w:w="805" w:type="pct"/>
                  <w:vMerge w:val="continue"/>
                  <w:noWrap w:val="0"/>
                  <w:vAlign w:val="center"/>
                </w:tcPr>
                <w:p w14:paraId="0D5AB13A">
                  <w:pPr>
                    <w:keepNext w:val="0"/>
                    <w:keepLines w:val="0"/>
                    <w:widowControl/>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zCs w:val="21"/>
                      <w:lang w:eastAsia="zh-CN"/>
                    </w:rPr>
                  </w:pPr>
                </w:p>
              </w:tc>
              <w:tc>
                <w:tcPr>
                  <w:tcW w:w="979" w:type="pct"/>
                  <w:vMerge w:val="continue"/>
                  <w:noWrap w:val="0"/>
                  <w:vAlign w:val="center"/>
                </w:tcPr>
                <w:p w14:paraId="2DE0F139">
                  <w:pPr>
                    <w:pStyle w:val="115"/>
                    <w:keepNext w:val="0"/>
                    <w:keepLines w:val="0"/>
                    <w:widowControl/>
                    <w:suppressLineNumbers w:val="0"/>
                    <w:adjustRightInd/>
                    <w:snapToGrid/>
                    <w:spacing w:before="0" w:beforeAutospacing="0" w:after="0" w:afterAutospacing="0"/>
                    <w:ind w:left="0" w:leftChars="0" w:right="0" w:rightChars="0" w:firstLine="0" w:firstLineChars="0"/>
                    <w:jc w:val="center"/>
                    <w:rPr>
                      <w:rFonts w:hint="default" w:ascii="Times New Roman" w:hAnsi="Times New Roman" w:eastAsia="宋体"/>
                      <w:lang w:val="en-US" w:eastAsia="zh-CN"/>
                    </w:rPr>
                  </w:pPr>
                </w:p>
              </w:tc>
              <w:tc>
                <w:tcPr>
                  <w:tcW w:w="882" w:type="pct"/>
                  <w:shd w:val="clear" w:color="auto" w:fill="auto"/>
                  <w:noWrap w:val="0"/>
                  <w:vAlign w:val="center"/>
                </w:tcPr>
                <w:p w14:paraId="4A3A8E67">
                  <w:pPr>
                    <w:keepNext w:val="0"/>
                    <w:keepLines w:val="0"/>
                    <w:widowControl/>
                    <w:suppressLineNumbers w:val="0"/>
                    <w:adjustRightInd/>
                    <w:snapToGrid/>
                    <w:spacing w:before="0" w:beforeAutospacing="0" w:after="0" w:afterAutospacing="0"/>
                    <w:ind w:left="0" w:leftChars="0" w:right="0" w:rightChars="0" w:firstLine="0" w:firstLineChars="0"/>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lang w:val="en-US" w:eastAsia="zh-CN"/>
                    </w:rPr>
                    <w:t>12月</w:t>
                  </w:r>
                </w:p>
              </w:tc>
              <w:tc>
                <w:tcPr>
                  <w:tcW w:w="943" w:type="pct"/>
                  <w:noWrap w:val="0"/>
                  <w:vAlign w:val="center"/>
                </w:tcPr>
                <w:p w14:paraId="33DED5B2">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lang w:val="en-US" w:eastAsia="zh-CN"/>
                    </w:rPr>
                  </w:pPr>
                  <w:r>
                    <w:rPr>
                      <w:rFonts w:hint="default" w:ascii="Times New Roman" w:hAnsi="Times New Roman" w:eastAsia="宋体"/>
                      <w:lang w:val="en-US" w:eastAsia="zh-CN"/>
                    </w:rPr>
                    <w:t>Ⅱ</w:t>
                  </w:r>
                </w:p>
              </w:tc>
            </w:tr>
          </w:tbl>
          <w:p w14:paraId="0594F44E">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rPr>
              <w:t>综上，本项目</w:t>
            </w:r>
            <w:r>
              <w:rPr>
                <w:rFonts w:hint="eastAsia" w:cs="Times New Roman"/>
                <w:color w:val="auto"/>
                <w:sz w:val="24"/>
                <w:szCs w:val="24"/>
                <w:lang w:val="en-US" w:eastAsia="zh-CN"/>
              </w:rPr>
              <w:t>所在区域地表水体大洪</w:t>
            </w:r>
            <w:r>
              <w:rPr>
                <w:rFonts w:hint="default" w:ascii="Times New Roman" w:hAnsi="Times New Roman" w:eastAsia="宋体" w:cs="Times New Roman"/>
                <w:color w:val="auto"/>
                <w:sz w:val="24"/>
                <w:szCs w:val="24"/>
              </w:rPr>
              <w:t>河岗架大桥断面</w:t>
            </w:r>
            <w:r>
              <w:rPr>
                <w:rFonts w:hint="eastAsia" w:ascii="Times New Roman" w:hAnsi="Times New Roman" w:eastAsia="宋体" w:cs="Times New Roman"/>
                <w:color w:val="auto"/>
                <w:sz w:val="24"/>
                <w:szCs w:val="24"/>
              </w:rPr>
              <w:t>水质能满足《地表水环境质量标准》（GB3838-2002）Ⅲ类</w:t>
            </w:r>
            <w:r>
              <w:rPr>
                <w:rFonts w:hint="eastAsia" w:ascii="Times New Roman" w:hAnsi="Times New Roman" w:eastAsia="宋体" w:cs="Times New Roman"/>
                <w:color w:val="auto"/>
                <w:sz w:val="24"/>
                <w:szCs w:val="24"/>
                <w:lang w:eastAsia="zh-CN"/>
              </w:rPr>
              <w:t>水质标准</w:t>
            </w:r>
            <w:r>
              <w:rPr>
                <w:rFonts w:hint="eastAsia" w:ascii="Times New Roman" w:hAnsi="Times New Roman" w:eastAsia="宋体" w:cs="Times New Roman"/>
                <w:color w:val="auto"/>
                <w:sz w:val="24"/>
                <w:szCs w:val="24"/>
              </w:rPr>
              <w:t>要求</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大洪河黎家乡崔家岩村断面</w:t>
            </w:r>
            <w:r>
              <w:rPr>
                <w:rFonts w:hint="eastAsia" w:cs="Times New Roman"/>
                <w:color w:val="auto"/>
                <w:sz w:val="24"/>
                <w:szCs w:val="24"/>
                <w:lang w:val="en-US" w:eastAsia="zh-CN"/>
              </w:rPr>
              <w:t>2024年5月、8月、11月不能满足</w:t>
            </w:r>
            <w:r>
              <w:rPr>
                <w:rFonts w:hint="eastAsia" w:ascii="Times New Roman" w:hAnsi="Times New Roman" w:eastAsia="宋体" w:cs="Times New Roman"/>
                <w:color w:val="auto"/>
                <w:sz w:val="24"/>
                <w:szCs w:val="24"/>
              </w:rPr>
              <w:t>《地表水环境质量标准》（GB3838-2002）Ⅲ类</w:t>
            </w:r>
            <w:r>
              <w:rPr>
                <w:rFonts w:hint="eastAsia" w:ascii="Times New Roman" w:hAnsi="Times New Roman" w:eastAsia="宋体" w:cs="Times New Roman"/>
                <w:color w:val="auto"/>
                <w:sz w:val="24"/>
                <w:szCs w:val="24"/>
                <w:lang w:eastAsia="zh-CN"/>
              </w:rPr>
              <w:t>水质标准</w:t>
            </w:r>
            <w:r>
              <w:rPr>
                <w:rFonts w:hint="eastAsia" w:ascii="Times New Roman" w:hAnsi="Times New Roman" w:eastAsia="宋体" w:cs="Times New Roman"/>
                <w:color w:val="auto"/>
                <w:sz w:val="24"/>
                <w:szCs w:val="24"/>
              </w:rPr>
              <w:t>要求。</w:t>
            </w:r>
            <w:r>
              <w:rPr>
                <w:rFonts w:hint="eastAsia" w:cs="Times New Roman"/>
                <w:color w:val="auto"/>
                <w:sz w:val="24"/>
                <w:szCs w:val="24"/>
                <w:lang w:val="en-US" w:eastAsia="zh-CN"/>
              </w:rPr>
              <w:t>根据卫星地图查阅及现场踏勘情况，大洪河在邻水县境内</w:t>
            </w:r>
            <w:r>
              <w:rPr>
                <w:rFonts w:hint="eastAsia" w:ascii="Times New Roman" w:hAnsi="Times New Roman" w:eastAsia="宋体" w:cs="Times New Roman"/>
                <w:color w:val="auto"/>
                <w:spacing w:val="-3"/>
                <w:sz w:val="24"/>
                <w:szCs w:val="24"/>
                <w:lang w:eastAsia="zh-CN"/>
              </w:rPr>
              <w:t>主要流经区域为农村环境，河流两岸分布大量农户及耕地，据此分析</w:t>
            </w:r>
            <w:r>
              <w:rPr>
                <w:rFonts w:hint="default" w:ascii="Times New Roman" w:hAnsi="Times New Roman" w:eastAsia="宋体" w:cs="Times New Roman"/>
                <w:color w:val="auto"/>
                <w:sz w:val="24"/>
                <w:szCs w:val="24"/>
                <w:lang w:eastAsia="zh-CN"/>
              </w:rPr>
              <w:t>区域水质超标的主要原因</w:t>
            </w:r>
            <w:r>
              <w:rPr>
                <w:rFonts w:hint="eastAsia" w:ascii="Times New Roman" w:hAnsi="Times New Roman" w:cs="Times New Roman"/>
                <w:color w:val="auto"/>
                <w:sz w:val="24"/>
                <w:szCs w:val="24"/>
                <w:lang w:val="en-US" w:eastAsia="zh-CN"/>
              </w:rPr>
              <w:t>可能是</w:t>
            </w:r>
            <w:r>
              <w:rPr>
                <w:rFonts w:hint="default" w:ascii="Times New Roman" w:hAnsi="Times New Roman" w:eastAsia="宋体" w:cs="Times New Roman"/>
                <w:color w:val="auto"/>
                <w:sz w:val="24"/>
                <w:szCs w:val="24"/>
                <w:lang w:eastAsia="zh-CN"/>
              </w:rPr>
              <w:t>区域生活污水散乱排放、畜禽养殖、农业面源污染等导致</w:t>
            </w:r>
            <w:r>
              <w:rPr>
                <w:rFonts w:hint="eastAsia" w:ascii="Times New Roman" w:hAnsi="Times New Roman" w:eastAsia="宋体" w:cs="Times New Roman"/>
                <w:color w:val="auto"/>
                <w:sz w:val="24"/>
                <w:szCs w:val="24"/>
                <w:lang w:eastAsia="zh-CN"/>
              </w:rPr>
              <w:t>。</w:t>
            </w:r>
            <w:r>
              <w:rPr>
                <w:rFonts w:hint="eastAsia" w:cs="Times New Roman"/>
                <w:color w:val="auto"/>
                <w:sz w:val="24"/>
                <w:szCs w:val="24"/>
                <w:lang w:val="en-US" w:eastAsia="zh-CN"/>
              </w:rPr>
              <w:t>根据项目工程分析，本项目运营期生产废水不外排，生活污水经预处理池处理后经槽罐车转运至邻水县大步口污水处理站进一步处理后排入大洪河，本项目能做到生活污水达标排放，本项目运营不会对大洪河水质造成影响。评价要求建设单位在日常工作中加强管理，避免生产废水和未经处理的初期雨水经雨水管网排出厂外对大洪河水质造成影响。</w:t>
            </w:r>
          </w:p>
          <w:p w14:paraId="223D4384">
            <w:pPr>
              <w:keepNext w:val="0"/>
              <w:keepLines w:val="0"/>
              <w:widowControl/>
              <w:suppressLineNumbers w:val="0"/>
              <w:snapToGrid w:val="0"/>
              <w:spacing w:before="120" w:beforeLines="50" w:beforeAutospacing="0" w:after="0" w:afterAutospacing="0" w:line="360" w:lineRule="auto"/>
              <w:ind w:left="0" w:right="0"/>
              <w:rPr>
                <w:rFonts w:hint="default" w:ascii="Times New Roman" w:hAnsi="Times New Roman" w:eastAsia="宋体" w:cs="Times New Roman"/>
                <w:b/>
                <w:spacing w:val="10"/>
                <w:sz w:val="24"/>
              </w:rPr>
            </w:pPr>
            <w:r>
              <w:rPr>
                <w:rFonts w:hint="default" w:ascii="Times New Roman" w:hAnsi="Times New Roman" w:eastAsia="宋体" w:cs="Times New Roman"/>
                <w:b/>
                <w:sz w:val="24"/>
              </w:rPr>
              <w:t>三、声环境质量现状</w:t>
            </w:r>
          </w:p>
          <w:p w14:paraId="5A243D70">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rPr>
              <w:t>根据《建设项目环境影响报告表编制技术指南》（污染影响类）（试行）中“3.声环境。厂界外周边50米范围内存在声环境保护目标的建设项目，应监测保护目标声环境质量现状并评价达标情况。各点位应监测昼夜间噪声，监测时间不少于1天，项目夜间不生产则仅监测昼间噪声。”本项目位于</w:t>
            </w:r>
            <w:r>
              <w:rPr>
                <w:rFonts w:hint="eastAsia" w:ascii="Times New Roman" w:hAnsi="Times New Roman" w:eastAsia="宋体" w:cs="宋体"/>
                <w:sz w:val="24"/>
              </w:rPr>
              <w:t>邻水县石滓镇晒金村8组</w:t>
            </w:r>
            <w:r>
              <w:rPr>
                <w:rFonts w:hint="eastAsia" w:ascii="Times New Roman" w:hAnsi="Times New Roman" w:eastAsia="宋体" w:cs="Times New Roman"/>
                <w:sz w:val="24"/>
              </w:rPr>
              <w:t>，厂界周边50m范围内声环境保护目标</w:t>
            </w:r>
            <w:r>
              <w:rPr>
                <w:rFonts w:hint="eastAsia" w:cs="Times New Roman"/>
                <w:sz w:val="24"/>
                <w:lang w:val="en-US" w:eastAsia="zh-CN"/>
              </w:rPr>
              <w:t>为大鱼箭1#居民点、大鱼箭2#居民点、张家湾1#居民点</w:t>
            </w:r>
            <w:r>
              <w:rPr>
                <w:rFonts w:hint="eastAsia" w:ascii="Times New Roman" w:hAnsi="Times New Roman" w:eastAsia="宋体" w:cs="Times New Roman"/>
                <w:sz w:val="24"/>
              </w:rPr>
              <w:t>。本次评价委托四川航岛检测科技有限公司对本项目周边环境进行声环境质量现状监测</w:t>
            </w:r>
            <w:r>
              <w:rPr>
                <w:rFonts w:hint="eastAsia" w:ascii="Times New Roman" w:hAnsi="Times New Roman" w:eastAsia="宋体" w:cs="Times New Roman"/>
                <w:sz w:val="24"/>
                <w:lang w:eastAsia="zh-CN"/>
              </w:rPr>
              <w:t>，监测时间为202</w:t>
            </w:r>
            <w:r>
              <w:rPr>
                <w:rFonts w:hint="eastAsia" w:ascii="Times New Roman" w:hAnsi="Times New Roman" w:eastAsia="宋体" w:cs="Times New Roman"/>
                <w:sz w:val="24"/>
                <w:lang w:val="en-US" w:eastAsia="zh-CN"/>
              </w:rPr>
              <w:t>5</w:t>
            </w:r>
            <w:r>
              <w:rPr>
                <w:rFonts w:hint="eastAsia" w:ascii="Times New Roman" w:hAnsi="Times New Roman" w:eastAsia="宋体" w:cs="Times New Roman"/>
                <w:sz w:val="24"/>
                <w:lang w:eastAsia="zh-CN"/>
              </w:rPr>
              <w:t>年</w:t>
            </w:r>
            <w:r>
              <w:rPr>
                <w:rFonts w:hint="eastAsia" w:ascii="Times New Roman" w:hAnsi="Times New Roman" w:eastAsia="宋体" w:cs="Times New Roman"/>
                <w:sz w:val="24"/>
                <w:lang w:val="en-US" w:eastAsia="zh-CN"/>
              </w:rPr>
              <w:t>1</w:t>
            </w:r>
            <w:r>
              <w:rPr>
                <w:rFonts w:hint="eastAsia" w:ascii="Times New Roman" w:hAnsi="Times New Roman" w:eastAsia="宋体" w:cs="Times New Roman"/>
                <w:sz w:val="24"/>
                <w:lang w:eastAsia="zh-CN"/>
              </w:rPr>
              <w:t>月</w:t>
            </w:r>
            <w:r>
              <w:rPr>
                <w:rFonts w:hint="eastAsia" w:ascii="Times New Roman" w:hAnsi="Times New Roman" w:eastAsia="宋体" w:cs="Times New Roman"/>
                <w:sz w:val="24"/>
                <w:lang w:val="en-US" w:eastAsia="zh-CN"/>
              </w:rPr>
              <w:t>6</w:t>
            </w:r>
            <w:r>
              <w:rPr>
                <w:rFonts w:hint="eastAsia" w:ascii="Times New Roman" w:hAnsi="Times New Roman" w:eastAsia="宋体" w:cs="Times New Roman"/>
                <w:sz w:val="24"/>
                <w:lang w:eastAsia="zh-CN"/>
              </w:rPr>
              <w:t>日。</w:t>
            </w:r>
            <w:r>
              <w:rPr>
                <w:rFonts w:hint="eastAsia" w:ascii="Times New Roman" w:hAnsi="Times New Roman" w:eastAsia="宋体" w:cs="Times New Roman"/>
                <w:sz w:val="24"/>
              </w:rPr>
              <w:t>本项目声环境现状监测及评价结果见下表。</w:t>
            </w:r>
          </w:p>
          <w:p w14:paraId="16202127">
            <w:pPr>
              <w:keepNext w:val="0"/>
              <w:keepLines w:val="0"/>
              <w:suppressLineNumbers w:val="0"/>
              <w:spacing w:before="120" w:beforeLines="50" w:beforeAutospacing="0" w:after="0" w:afterAutospacing="0"/>
              <w:ind w:left="0" w:right="0"/>
              <w:jc w:val="center"/>
              <w:rPr>
                <w:rFonts w:hint="default" w:ascii="Times New Roman" w:hAnsi="Times New Roman" w:eastAsia="宋体"/>
                <w:b/>
                <w:bCs/>
                <w:color w:val="auto"/>
                <w:sz w:val="21"/>
                <w:szCs w:val="21"/>
              </w:rPr>
            </w:pPr>
            <w:r>
              <w:rPr>
                <w:rFonts w:hint="eastAsia" w:ascii="Times New Roman" w:hAnsi="Times New Roman" w:eastAsia="宋体"/>
                <w:b/>
                <w:bCs/>
                <w:color w:val="auto"/>
                <w:sz w:val="21"/>
                <w:szCs w:val="21"/>
              </w:rPr>
              <w:t>表3-</w:t>
            </w:r>
            <w:r>
              <w:rPr>
                <w:rFonts w:hint="eastAsia"/>
                <w:b/>
                <w:bCs/>
                <w:color w:val="auto"/>
                <w:sz w:val="21"/>
                <w:szCs w:val="21"/>
                <w:lang w:val="en-US" w:eastAsia="zh-CN"/>
              </w:rPr>
              <w:t>3</w:t>
            </w:r>
            <w:r>
              <w:rPr>
                <w:rFonts w:hint="eastAsia" w:ascii="Times New Roman" w:hAnsi="Times New Roman" w:eastAsia="宋体"/>
                <w:b/>
                <w:bCs/>
                <w:color w:val="auto"/>
                <w:sz w:val="21"/>
                <w:szCs w:val="21"/>
              </w:rPr>
              <w:t xml:space="preserve">  噪声监测结果统计表</w:t>
            </w:r>
          </w:p>
          <w:tbl>
            <w:tblPr>
              <w:tblStyle w:val="25"/>
              <w:tblW w:w="4997"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29"/>
              <w:gridCol w:w="2786"/>
              <w:gridCol w:w="2093"/>
              <w:gridCol w:w="1750"/>
              <w:gridCol w:w="930"/>
            </w:tblGrid>
            <w:tr w14:paraId="3D52A1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4" w:type="pct"/>
                  <w:vMerge w:val="restart"/>
                  <w:tcBorders>
                    <w:tl2br w:val="nil"/>
                    <w:tr2bl w:val="nil"/>
                  </w:tcBorders>
                  <w:vAlign w:val="center"/>
                </w:tcPr>
                <w:p w14:paraId="184BB71E">
                  <w:pPr>
                    <w:pStyle w:val="104"/>
                    <w:keepNext w:val="0"/>
                    <w:keepLines w:val="0"/>
                    <w:widowControl w:val="0"/>
                    <w:suppressLineNumbers w:val="0"/>
                    <w:spacing w:before="0" w:beforeAutospacing="0" w:after="0" w:afterAutospacing="0"/>
                    <w:ind w:left="0" w:right="0"/>
                    <w:rPr>
                      <w:rFonts w:hint="default" w:ascii="Times New Roman" w:hAnsi="Times New Roman" w:eastAsia="宋体"/>
                      <w:b/>
                      <w:bCs/>
                      <w:color w:val="auto"/>
                    </w:rPr>
                  </w:pPr>
                  <w:r>
                    <w:rPr>
                      <w:rFonts w:hint="default" w:ascii="Times New Roman" w:hAnsi="Times New Roman" w:eastAsia="宋体"/>
                      <w:b/>
                      <w:bCs/>
                      <w:color w:val="auto"/>
                    </w:rPr>
                    <w:t>点位编号</w:t>
                  </w:r>
                </w:p>
              </w:tc>
              <w:tc>
                <w:tcPr>
                  <w:tcW w:w="1660" w:type="pct"/>
                  <w:vMerge w:val="restart"/>
                  <w:tcBorders>
                    <w:tl2br w:val="nil"/>
                    <w:tr2bl w:val="nil"/>
                  </w:tcBorders>
                  <w:vAlign w:val="center"/>
                </w:tcPr>
                <w:p w14:paraId="4806DBEB">
                  <w:pPr>
                    <w:pStyle w:val="104"/>
                    <w:keepNext w:val="0"/>
                    <w:keepLines w:val="0"/>
                    <w:widowControl w:val="0"/>
                    <w:suppressLineNumbers w:val="0"/>
                    <w:spacing w:before="0" w:beforeAutospacing="0" w:after="0" w:afterAutospacing="0"/>
                    <w:ind w:left="0" w:right="0"/>
                    <w:rPr>
                      <w:rFonts w:hint="default" w:ascii="Times New Roman" w:hAnsi="Times New Roman" w:eastAsia="宋体"/>
                      <w:b/>
                      <w:bCs/>
                      <w:color w:val="auto"/>
                    </w:rPr>
                  </w:pPr>
                  <w:r>
                    <w:rPr>
                      <w:rFonts w:hint="default" w:ascii="Times New Roman" w:hAnsi="Times New Roman" w:eastAsia="宋体"/>
                      <w:b/>
                      <w:bCs/>
                      <w:color w:val="auto"/>
                    </w:rPr>
                    <w:t>监测位置</w:t>
                  </w:r>
                </w:p>
              </w:tc>
              <w:tc>
                <w:tcPr>
                  <w:tcW w:w="1247" w:type="pct"/>
                  <w:tcBorders>
                    <w:tl2br w:val="nil"/>
                    <w:tr2bl w:val="nil"/>
                  </w:tcBorders>
                  <w:vAlign w:val="center"/>
                </w:tcPr>
                <w:p w14:paraId="39E48742">
                  <w:pPr>
                    <w:pStyle w:val="104"/>
                    <w:keepNext w:val="0"/>
                    <w:keepLines w:val="0"/>
                    <w:widowControl w:val="0"/>
                    <w:suppressLineNumbers w:val="0"/>
                    <w:spacing w:before="0" w:beforeAutospacing="0" w:after="0" w:afterAutospacing="0"/>
                    <w:ind w:left="0" w:right="0"/>
                    <w:rPr>
                      <w:rFonts w:hint="default" w:ascii="Times New Roman" w:hAnsi="Times New Roman" w:eastAsia="宋体"/>
                      <w:b/>
                      <w:bCs/>
                      <w:color w:val="auto"/>
                    </w:rPr>
                  </w:pPr>
                  <w:r>
                    <w:rPr>
                      <w:rFonts w:hint="default" w:ascii="Times New Roman" w:hAnsi="Times New Roman" w:eastAsia="宋体"/>
                      <w:b/>
                      <w:bCs/>
                      <w:color w:val="auto"/>
                    </w:rPr>
                    <w:t>监测结果LeqdB(A)</w:t>
                  </w:r>
                </w:p>
              </w:tc>
              <w:tc>
                <w:tcPr>
                  <w:tcW w:w="1043" w:type="pct"/>
                  <w:vMerge w:val="restart"/>
                  <w:tcBorders>
                    <w:tl2br w:val="nil"/>
                    <w:tr2bl w:val="nil"/>
                  </w:tcBorders>
                  <w:vAlign w:val="center"/>
                </w:tcPr>
                <w:p w14:paraId="5BCE3C4D">
                  <w:pPr>
                    <w:pStyle w:val="104"/>
                    <w:keepNext w:val="0"/>
                    <w:keepLines w:val="0"/>
                    <w:widowControl w:val="0"/>
                    <w:suppressLineNumbers w:val="0"/>
                    <w:spacing w:before="0" w:beforeAutospacing="0" w:after="0" w:afterAutospacing="0"/>
                    <w:ind w:left="0" w:right="0"/>
                    <w:rPr>
                      <w:rFonts w:hint="default" w:ascii="Times New Roman" w:hAnsi="Times New Roman" w:eastAsia="宋体"/>
                      <w:b/>
                      <w:bCs/>
                      <w:color w:val="auto"/>
                    </w:rPr>
                  </w:pPr>
                  <w:r>
                    <w:rPr>
                      <w:rFonts w:hint="default" w:ascii="Times New Roman" w:hAnsi="Times New Roman" w:eastAsia="宋体"/>
                      <w:b/>
                      <w:bCs/>
                      <w:color w:val="auto"/>
                    </w:rPr>
                    <w:t>标准限值</w:t>
                  </w:r>
                </w:p>
              </w:tc>
              <w:tc>
                <w:tcPr>
                  <w:tcW w:w="554" w:type="pct"/>
                  <w:vMerge w:val="restart"/>
                  <w:tcBorders>
                    <w:tl2br w:val="nil"/>
                    <w:tr2bl w:val="nil"/>
                  </w:tcBorders>
                  <w:vAlign w:val="center"/>
                </w:tcPr>
                <w:p w14:paraId="69D7547D">
                  <w:pPr>
                    <w:pStyle w:val="104"/>
                    <w:keepNext w:val="0"/>
                    <w:keepLines w:val="0"/>
                    <w:widowControl w:val="0"/>
                    <w:suppressLineNumbers w:val="0"/>
                    <w:spacing w:before="0" w:beforeAutospacing="0" w:after="0" w:afterAutospacing="0"/>
                    <w:ind w:left="0" w:right="0"/>
                    <w:rPr>
                      <w:rFonts w:hint="default" w:ascii="Times New Roman" w:hAnsi="Times New Roman" w:eastAsia="宋体"/>
                      <w:color w:val="auto"/>
                    </w:rPr>
                  </w:pPr>
                  <w:r>
                    <w:rPr>
                      <w:rFonts w:hint="default" w:ascii="Times New Roman" w:hAnsi="Times New Roman" w:eastAsia="宋体"/>
                      <w:b/>
                      <w:bCs/>
                      <w:color w:val="auto"/>
                    </w:rPr>
                    <w:t>达标判定</w:t>
                  </w:r>
                </w:p>
              </w:tc>
            </w:tr>
            <w:tr w14:paraId="4EF0F0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4" w:type="pct"/>
                  <w:vMerge w:val="continue"/>
                  <w:tcBorders>
                    <w:tl2br w:val="nil"/>
                    <w:tr2bl w:val="nil"/>
                  </w:tcBorders>
                  <w:vAlign w:val="center"/>
                </w:tcPr>
                <w:p w14:paraId="5996D445">
                  <w:pPr>
                    <w:pStyle w:val="104"/>
                    <w:keepNext w:val="0"/>
                    <w:keepLines w:val="0"/>
                    <w:widowControl w:val="0"/>
                    <w:suppressLineNumbers w:val="0"/>
                    <w:spacing w:before="0" w:beforeAutospacing="0" w:after="0" w:afterAutospacing="0"/>
                    <w:ind w:left="0" w:right="0"/>
                    <w:rPr>
                      <w:rFonts w:hint="default" w:ascii="Times New Roman" w:hAnsi="Times New Roman" w:eastAsia="宋体"/>
                      <w:b/>
                      <w:bCs/>
                      <w:color w:val="auto"/>
                    </w:rPr>
                  </w:pPr>
                </w:p>
              </w:tc>
              <w:tc>
                <w:tcPr>
                  <w:tcW w:w="1660" w:type="pct"/>
                  <w:vMerge w:val="continue"/>
                  <w:tcBorders>
                    <w:tl2br w:val="nil"/>
                    <w:tr2bl w:val="nil"/>
                  </w:tcBorders>
                  <w:vAlign w:val="center"/>
                </w:tcPr>
                <w:p w14:paraId="6594C4F0">
                  <w:pPr>
                    <w:pStyle w:val="104"/>
                    <w:keepNext w:val="0"/>
                    <w:keepLines w:val="0"/>
                    <w:widowControl w:val="0"/>
                    <w:suppressLineNumbers w:val="0"/>
                    <w:spacing w:before="0" w:beforeAutospacing="0" w:after="0" w:afterAutospacing="0"/>
                    <w:ind w:left="0" w:right="0"/>
                    <w:rPr>
                      <w:rFonts w:hint="default" w:ascii="Times New Roman" w:hAnsi="Times New Roman" w:eastAsia="宋体"/>
                      <w:b/>
                      <w:bCs/>
                      <w:color w:val="auto"/>
                    </w:rPr>
                  </w:pPr>
                </w:p>
              </w:tc>
              <w:tc>
                <w:tcPr>
                  <w:tcW w:w="1247" w:type="pct"/>
                  <w:tcBorders>
                    <w:tl2br w:val="nil"/>
                    <w:tr2bl w:val="nil"/>
                  </w:tcBorders>
                  <w:vAlign w:val="center"/>
                </w:tcPr>
                <w:p w14:paraId="5EE6606F">
                  <w:pPr>
                    <w:pStyle w:val="104"/>
                    <w:keepNext w:val="0"/>
                    <w:keepLines w:val="0"/>
                    <w:widowControl w:val="0"/>
                    <w:suppressLineNumbers w:val="0"/>
                    <w:spacing w:before="0" w:beforeAutospacing="0" w:after="0" w:afterAutospacing="0"/>
                    <w:ind w:left="0" w:right="0"/>
                    <w:rPr>
                      <w:rFonts w:hint="eastAsia" w:ascii="Times New Roman" w:hAnsi="Times New Roman" w:eastAsia="宋体"/>
                      <w:b/>
                      <w:bCs/>
                      <w:color w:val="auto"/>
                      <w:lang w:eastAsia="zh-CN"/>
                    </w:rPr>
                  </w:pPr>
                  <w:r>
                    <w:rPr>
                      <w:rFonts w:hint="default" w:ascii="Times New Roman" w:hAnsi="Times New Roman" w:eastAsia="宋体"/>
                      <w:b/>
                      <w:bCs/>
                      <w:color w:val="auto"/>
                    </w:rPr>
                    <w:t>202</w:t>
                  </w:r>
                  <w:r>
                    <w:rPr>
                      <w:rFonts w:hint="eastAsia" w:eastAsia="宋体"/>
                      <w:b/>
                      <w:bCs/>
                      <w:color w:val="auto"/>
                      <w:lang w:val="en-US" w:eastAsia="zh-CN"/>
                    </w:rPr>
                    <w:t>5</w:t>
                  </w:r>
                  <w:r>
                    <w:rPr>
                      <w:rFonts w:hint="default" w:ascii="Times New Roman" w:hAnsi="Times New Roman" w:eastAsia="宋体"/>
                      <w:b/>
                      <w:bCs/>
                      <w:color w:val="auto"/>
                    </w:rPr>
                    <w:t>.</w:t>
                  </w:r>
                  <w:r>
                    <w:rPr>
                      <w:rFonts w:hint="eastAsia" w:eastAsia="宋体"/>
                      <w:b/>
                      <w:bCs/>
                      <w:color w:val="auto"/>
                      <w:lang w:val="en-US" w:eastAsia="zh-CN"/>
                    </w:rPr>
                    <w:t>1</w:t>
                  </w:r>
                  <w:r>
                    <w:rPr>
                      <w:rFonts w:hint="default" w:ascii="Times New Roman" w:hAnsi="Times New Roman" w:eastAsia="宋体"/>
                      <w:b/>
                      <w:bCs/>
                      <w:color w:val="auto"/>
                    </w:rPr>
                    <w:t>.</w:t>
                  </w:r>
                  <w:r>
                    <w:rPr>
                      <w:rFonts w:hint="eastAsia" w:eastAsia="宋体"/>
                      <w:b/>
                      <w:bCs/>
                      <w:color w:val="auto"/>
                      <w:lang w:val="en-US" w:eastAsia="zh-CN"/>
                    </w:rPr>
                    <w:t>6</w:t>
                  </w:r>
                </w:p>
              </w:tc>
              <w:tc>
                <w:tcPr>
                  <w:tcW w:w="1043" w:type="pct"/>
                  <w:vMerge w:val="continue"/>
                  <w:tcBorders>
                    <w:tl2br w:val="nil"/>
                    <w:tr2bl w:val="nil"/>
                  </w:tcBorders>
                  <w:vAlign w:val="center"/>
                </w:tcPr>
                <w:p w14:paraId="4E52D39D">
                  <w:pPr>
                    <w:pStyle w:val="104"/>
                    <w:keepNext w:val="0"/>
                    <w:keepLines w:val="0"/>
                    <w:widowControl w:val="0"/>
                    <w:suppressLineNumbers w:val="0"/>
                    <w:spacing w:before="0" w:beforeAutospacing="0" w:after="0" w:afterAutospacing="0"/>
                    <w:ind w:left="0" w:right="0"/>
                    <w:rPr>
                      <w:rFonts w:hint="default" w:ascii="Times New Roman" w:hAnsi="Times New Roman" w:eastAsia="宋体"/>
                      <w:b/>
                      <w:bCs/>
                      <w:color w:val="auto"/>
                    </w:rPr>
                  </w:pPr>
                </w:p>
              </w:tc>
              <w:tc>
                <w:tcPr>
                  <w:tcW w:w="554" w:type="pct"/>
                  <w:vMerge w:val="continue"/>
                  <w:tcBorders>
                    <w:tl2br w:val="nil"/>
                    <w:tr2bl w:val="nil"/>
                  </w:tcBorders>
                  <w:vAlign w:val="center"/>
                </w:tcPr>
                <w:p w14:paraId="4561A93E">
                  <w:pPr>
                    <w:pStyle w:val="104"/>
                    <w:keepNext w:val="0"/>
                    <w:keepLines w:val="0"/>
                    <w:widowControl w:val="0"/>
                    <w:suppressLineNumbers w:val="0"/>
                    <w:spacing w:before="0" w:beforeAutospacing="0" w:after="0" w:afterAutospacing="0"/>
                    <w:ind w:left="0" w:right="0"/>
                    <w:rPr>
                      <w:rFonts w:hint="default" w:ascii="Times New Roman" w:hAnsi="Times New Roman" w:eastAsia="宋体"/>
                      <w:color w:val="auto"/>
                    </w:rPr>
                  </w:pPr>
                </w:p>
              </w:tc>
            </w:tr>
            <w:tr w14:paraId="5BA883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4" w:type="pct"/>
                  <w:vMerge w:val="continue"/>
                  <w:tcBorders>
                    <w:tl2br w:val="nil"/>
                    <w:tr2bl w:val="nil"/>
                  </w:tcBorders>
                  <w:vAlign w:val="center"/>
                </w:tcPr>
                <w:p w14:paraId="19855B25">
                  <w:pPr>
                    <w:pStyle w:val="104"/>
                    <w:keepNext w:val="0"/>
                    <w:keepLines w:val="0"/>
                    <w:widowControl w:val="0"/>
                    <w:suppressLineNumbers w:val="0"/>
                    <w:spacing w:before="0" w:beforeAutospacing="0" w:after="0" w:afterAutospacing="0"/>
                    <w:ind w:left="0" w:right="0"/>
                    <w:rPr>
                      <w:rFonts w:hint="default" w:ascii="Times New Roman" w:hAnsi="Times New Roman" w:eastAsia="宋体"/>
                      <w:b/>
                      <w:bCs/>
                      <w:color w:val="auto"/>
                    </w:rPr>
                  </w:pPr>
                </w:p>
              </w:tc>
              <w:tc>
                <w:tcPr>
                  <w:tcW w:w="1660" w:type="pct"/>
                  <w:vMerge w:val="continue"/>
                  <w:tcBorders>
                    <w:tl2br w:val="nil"/>
                    <w:tr2bl w:val="nil"/>
                  </w:tcBorders>
                  <w:vAlign w:val="center"/>
                </w:tcPr>
                <w:p w14:paraId="79613DEE">
                  <w:pPr>
                    <w:pStyle w:val="104"/>
                    <w:keepNext w:val="0"/>
                    <w:keepLines w:val="0"/>
                    <w:widowControl w:val="0"/>
                    <w:suppressLineNumbers w:val="0"/>
                    <w:spacing w:before="0" w:beforeAutospacing="0" w:after="0" w:afterAutospacing="0"/>
                    <w:ind w:left="0" w:right="0"/>
                    <w:rPr>
                      <w:rFonts w:hint="default" w:ascii="Times New Roman" w:hAnsi="Times New Roman" w:eastAsia="宋体"/>
                      <w:b/>
                      <w:bCs/>
                      <w:color w:val="auto"/>
                    </w:rPr>
                  </w:pPr>
                </w:p>
              </w:tc>
              <w:tc>
                <w:tcPr>
                  <w:tcW w:w="1247" w:type="pct"/>
                  <w:tcBorders>
                    <w:tl2br w:val="nil"/>
                    <w:tr2bl w:val="nil"/>
                  </w:tcBorders>
                  <w:vAlign w:val="center"/>
                </w:tcPr>
                <w:p w14:paraId="60F3BA37">
                  <w:pPr>
                    <w:pStyle w:val="104"/>
                    <w:keepNext w:val="0"/>
                    <w:keepLines w:val="0"/>
                    <w:widowControl w:val="0"/>
                    <w:suppressLineNumbers w:val="0"/>
                    <w:spacing w:before="0" w:beforeAutospacing="0" w:after="0" w:afterAutospacing="0"/>
                    <w:ind w:left="0" w:right="0"/>
                    <w:rPr>
                      <w:rFonts w:hint="default" w:ascii="Times New Roman" w:hAnsi="Times New Roman" w:eastAsia="宋体"/>
                      <w:b/>
                      <w:bCs/>
                      <w:color w:val="auto"/>
                    </w:rPr>
                  </w:pPr>
                  <w:r>
                    <w:rPr>
                      <w:rFonts w:hint="default" w:ascii="Times New Roman" w:hAnsi="Times New Roman" w:eastAsia="宋体"/>
                      <w:b/>
                      <w:bCs/>
                      <w:color w:val="auto"/>
                    </w:rPr>
                    <w:t>昼间</w:t>
                  </w:r>
                </w:p>
              </w:tc>
              <w:tc>
                <w:tcPr>
                  <w:tcW w:w="1043" w:type="pct"/>
                  <w:tcBorders>
                    <w:tl2br w:val="nil"/>
                    <w:tr2bl w:val="nil"/>
                  </w:tcBorders>
                  <w:vAlign w:val="center"/>
                </w:tcPr>
                <w:p w14:paraId="43E33592">
                  <w:pPr>
                    <w:pStyle w:val="104"/>
                    <w:keepNext w:val="0"/>
                    <w:keepLines w:val="0"/>
                    <w:widowControl w:val="0"/>
                    <w:suppressLineNumbers w:val="0"/>
                    <w:spacing w:before="0" w:beforeAutospacing="0" w:after="0" w:afterAutospacing="0"/>
                    <w:ind w:left="0" w:right="0"/>
                    <w:rPr>
                      <w:rFonts w:hint="default" w:ascii="Times New Roman" w:hAnsi="Times New Roman" w:eastAsia="宋体"/>
                      <w:b/>
                      <w:bCs/>
                      <w:color w:val="auto"/>
                    </w:rPr>
                  </w:pPr>
                  <w:r>
                    <w:rPr>
                      <w:rFonts w:hint="default" w:ascii="Times New Roman" w:hAnsi="Times New Roman" w:eastAsia="宋体"/>
                      <w:b/>
                      <w:bCs/>
                      <w:color w:val="auto"/>
                    </w:rPr>
                    <w:t>昼间</w:t>
                  </w:r>
                </w:p>
              </w:tc>
              <w:tc>
                <w:tcPr>
                  <w:tcW w:w="554" w:type="pct"/>
                  <w:vMerge w:val="continue"/>
                  <w:tcBorders>
                    <w:tl2br w:val="nil"/>
                    <w:tr2bl w:val="nil"/>
                  </w:tcBorders>
                  <w:vAlign w:val="center"/>
                </w:tcPr>
                <w:p w14:paraId="439BB148">
                  <w:pPr>
                    <w:pStyle w:val="104"/>
                    <w:keepNext w:val="0"/>
                    <w:keepLines w:val="0"/>
                    <w:widowControl w:val="0"/>
                    <w:suppressLineNumbers w:val="0"/>
                    <w:spacing w:before="0" w:beforeAutospacing="0" w:after="0" w:afterAutospacing="0"/>
                    <w:ind w:left="0" w:right="0"/>
                    <w:rPr>
                      <w:rFonts w:hint="default" w:ascii="Times New Roman" w:hAnsi="Times New Roman" w:eastAsia="宋体"/>
                      <w:color w:val="auto"/>
                    </w:rPr>
                  </w:pPr>
                </w:p>
              </w:tc>
            </w:tr>
            <w:tr w14:paraId="2F7DDD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4" w:type="pct"/>
                  <w:tcBorders>
                    <w:tl2br w:val="nil"/>
                    <w:tr2bl w:val="nil"/>
                  </w:tcBorders>
                  <w:vAlign w:val="center"/>
                </w:tcPr>
                <w:p w14:paraId="7199605E">
                  <w:pPr>
                    <w:keepNext w:val="0"/>
                    <w:keepLines w:val="0"/>
                    <w:suppressLineNumbers w:val="0"/>
                    <w:spacing w:before="0" w:beforeAutospacing="0" w:after="0" w:afterAutospacing="0" w:line="280" w:lineRule="exact"/>
                    <w:ind w:left="0" w:right="0"/>
                    <w:jc w:val="center"/>
                    <w:rPr>
                      <w:rFonts w:hint="default" w:ascii="Times New Roman" w:hAnsi="Times New Roman" w:eastAsia="宋体"/>
                      <w:color w:val="auto"/>
                      <w:sz w:val="21"/>
                      <w:szCs w:val="21"/>
                    </w:rPr>
                  </w:pPr>
                  <w:r>
                    <w:rPr>
                      <w:rFonts w:hint="eastAsia" w:ascii="Times New Roman" w:hAnsi="Times New Roman" w:eastAsia="宋体"/>
                      <w:color w:val="auto"/>
                      <w:sz w:val="21"/>
                      <w:szCs w:val="21"/>
                    </w:rPr>
                    <w:t>N1</w:t>
                  </w:r>
                </w:p>
              </w:tc>
              <w:tc>
                <w:tcPr>
                  <w:tcW w:w="1660" w:type="pct"/>
                  <w:tcBorders>
                    <w:tl2br w:val="nil"/>
                    <w:tr2bl w:val="nil"/>
                  </w:tcBorders>
                  <w:vAlign w:val="center"/>
                </w:tcPr>
                <w:p w14:paraId="65BE1857">
                  <w:pPr>
                    <w:keepNext w:val="0"/>
                    <w:keepLines w:val="0"/>
                    <w:suppressLineNumbers w:val="0"/>
                    <w:spacing w:before="0" w:beforeAutospacing="0" w:after="0" w:afterAutospacing="0" w:line="280" w:lineRule="exact"/>
                    <w:ind w:left="0" w:right="0"/>
                    <w:jc w:val="center"/>
                    <w:rPr>
                      <w:rFonts w:hint="default" w:ascii="Times New Roman" w:hAnsi="Times New Roman" w:eastAsia="宋体"/>
                      <w:color w:val="auto"/>
                      <w:sz w:val="21"/>
                      <w:szCs w:val="21"/>
                    </w:rPr>
                  </w:pPr>
                  <w:r>
                    <w:rPr>
                      <w:rFonts w:hint="eastAsia" w:cs="Times New Roman"/>
                      <w:sz w:val="21"/>
                      <w:szCs w:val="21"/>
                      <w:lang w:val="en-US" w:eastAsia="zh-CN"/>
                    </w:rPr>
                    <w:t>大鱼箭1#居民点</w:t>
                  </w:r>
                  <w:r>
                    <w:rPr>
                      <w:rFonts w:hint="eastAsia" w:ascii="Times New Roman" w:hAnsi="Times New Roman" w:eastAsia="宋体"/>
                      <w:color w:val="auto"/>
                      <w:sz w:val="21"/>
                      <w:szCs w:val="21"/>
                    </w:rPr>
                    <w:t>处</w:t>
                  </w:r>
                </w:p>
              </w:tc>
              <w:tc>
                <w:tcPr>
                  <w:tcW w:w="1247" w:type="pct"/>
                  <w:tcBorders>
                    <w:tl2br w:val="nil"/>
                    <w:tr2bl w:val="nil"/>
                  </w:tcBorders>
                  <w:vAlign w:val="center"/>
                </w:tcPr>
                <w:p w14:paraId="4D680904">
                  <w:pPr>
                    <w:keepNext w:val="0"/>
                    <w:keepLines w:val="0"/>
                    <w:suppressLineNumbers w:val="0"/>
                    <w:spacing w:before="0" w:beforeAutospacing="0" w:after="0" w:afterAutospacing="0"/>
                    <w:ind w:left="0" w:right="0"/>
                    <w:jc w:val="center"/>
                    <w:rPr>
                      <w:rFonts w:hint="default" w:ascii="Times New Roman" w:hAnsi="Times New Roman" w:eastAsia="宋体"/>
                      <w:b w:val="0"/>
                      <w:bCs/>
                      <w:color w:val="auto"/>
                      <w:sz w:val="21"/>
                      <w:szCs w:val="21"/>
                      <w:lang w:val="en-US" w:eastAsia="zh-CN"/>
                    </w:rPr>
                  </w:pPr>
                  <w:r>
                    <w:rPr>
                      <w:rFonts w:hint="eastAsia" w:eastAsia="宋体"/>
                      <w:bCs/>
                      <w:color w:val="auto"/>
                      <w:sz w:val="21"/>
                      <w:szCs w:val="21"/>
                      <w:lang w:val="en-US" w:eastAsia="zh-CN"/>
                    </w:rPr>
                    <w:t>55</w:t>
                  </w:r>
                </w:p>
              </w:tc>
              <w:tc>
                <w:tcPr>
                  <w:tcW w:w="1043" w:type="pct"/>
                  <w:tcBorders>
                    <w:tl2br w:val="nil"/>
                    <w:tr2bl w:val="nil"/>
                  </w:tcBorders>
                  <w:vAlign w:val="center"/>
                </w:tcPr>
                <w:p w14:paraId="1FC379F7">
                  <w:pPr>
                    <w:keepNext w:val="0"/>
                    <w:keepLines w:val="0"/>
                    <w:suppressLineNumbers w:val="0"/>
                    <w:spacing w:before="0" w:beforeAutospacing="0" w:after="0" w:afterAutospacing="0"/>
                    <w:ind w:left="0" w:right="0"/>
                    <w:jc w:val="center"/>
                    <w:rPr>
                      <w:rFonts w:hint="default" w:ascii="Times New Roman" w:hAnsi="Times New Roman" w:eastAsia="宋体"/>
                      <w:bCs/>
                      <w:color w:val="auto"/>
                      <w:sz w:val="21"/>
                      <w:szCs w:val="21"/>
                    </w:rPr>
                  </w:pPr>
                  <w:r>
                    <w:rPr>
                      <w:rFonts w:hint="eastAsia" w:ascii="Times New Roman" w:hAnsi="Times New Roman" w:eastAsia="宋体"/>
                      <w:bCs/>
                      <w:color w:val="auto"/>
                      <w:sz w:val="21"/>
                      <w:szCs w:val="21"/>
                    </w:rPr>
                    <w:t>60</w:t>
                  </w:r>
                </w:p>
              </w:tc>
              <w:tc>
                <w:tcPr>
                  <w:tcW w:w="554" w:type="pct"/>
                  <w:tcBorders>
                    <w:tl2br w:val="nil"/>
                    <w:tr2bl w:val="nil"/>
                  </w:tcBorders>
                  <w:vAlign w:val="center"/>
                </w:tcPr>
                <w:p w14:paraId="14ADD65D">
                  <w:pPr>
                    <w:pStyle w:val="104"/>
                    <w:keepNext w:val="0"/>
                    <w:keepLines w:val="0"/>
                    <w:widowControl w:val="0"/>
                    <w:suppressLineNumbers w:val="0"/>
                    <w:spacing w:before="0" w:beforeAutospacing="0" w:after="0" w:afterAutospacing="0"/>
                    <w:ind w:left="0" w:right="0"/>
                    <w:rPr>
                      <w:rFonts w:hint="default" w:ascii="Times New Roman" w:hAnsi="Times New Roman" w:eastAsia="宋体"/>
                      <w:bCs/>
                      <w:color w:val="auto"/>
                      <w:sz w:val="21"/>
                      <w:szCs w:val="21"/>
                    </w:rPr>
                  </w:pPr>
                  <w:r>
                    <w:rPr>
                      <w:rFonts w:hint="default" w:ascii="Times New Roman" w:hAnsi="Times New Roman" w:eastAsia="宋体"/>
                      <w:bCs/>
                      <w:color w:val="auto"/>
                      <w:sz w:val="21"/>
                      <w:szCs w:val="21"/>
                    </w:rPr>
                    <w:t>达标</w:t>
                  </w:r>
                </w:p>
              </w:tc>
            </w:tr>
            <w:tr w14:paraId="091126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4" w:type="pct"/>
                  <w:tcBorders>
                    <w:tl2br w:val="nil"/>
                    <w:tr2bl w:val="nil"/>
                  </w:tcBorders>
                  <w:vAlign w:val="center"/>
                </w:tcPr>
                <w:p w14:paraId="4313BF60">
                  <w:pPr>
                    <w:keepNext w:val="0"/>
                    <w:keepLines w:val="0"/>
                    <w:suppressLineNumbers w:val="0"/>
                    <w:spacing w:before="0" w:beforeAutospacing="0" w:after="0" w:afterAutospacing="0" w:line="280" w:lineRule="exact"/>
                    <w:ind w:left="0" w:right="0"/>
                    <w:jc w:val="center"/>
                    <w:rPr>
                      <w:rFonts w:hint="default" w:ascii="Times New Roman" w:hAnsi="Times New Roman" w:eastAsia="宋体"/>
                      <w:color w:val="auto"/>
                      <w:sz w:val="21"/>
                      <w:szCs w:val="21"/>
                    </w:rPr>
                  </w:pPr>
                  <w:r>
                    <w:rPr>
                      <w:rFonts w:hint="eastAsia" w:ascii="Times New Roman" w:hAnsi="Times New Roman" w:eastAsia="宋体"/>
                      <w:color w:val="auto"/>
                      <w:sz w:val="21"/>
                      <w:szCs w:val="21"/>
                    </w:rPr>
                    <w:t>N2</w:t>
                  </w:r>
                </w:p>
              </w:tc>
              <w:tc>
                <w:tcPr>
                  <w:tcW w:w="1660" w:type="pct"/>
                  <w:tcBorders>
                    <w:tl2br w:val="nil"/>
                    <w:tr2bl w:val="nil"/>
                  </w:tcBorders>
                  <w:vAlign w:val="center"/>
                </w:tcPr>
                <w:p w14:paraId="14E1F7E8">
                  <w:pPr>
                    <w:keepNext w:val="0"/>
                    <w:keepLines w:val="0"/>
                    <w:suppressLineNumbers w:val="0"/>
                    <w:spacing w:before="0" w:beforeAutospacing="0" w:after="0" w:afterAutospacing="0" w:line="280" w:lineRule="exact"/>
                    <w:ind w:left="0" w:right="0"/>
                    <w:jc w:val="center"/>
                    <w:rPr>
                      <w:rFonts w:hint="default" w:ascii="Times New Roman" w:hAnsi="Times New Roman" w:eastAsia="宋体"/>
                      <w:color w:val="auto"/>
                      <w:sz w:val="21"/>
                      <w:szCs w:val="21"/>
                    </w:rPr>
                  </w:pPr>
                  <w:r>
                    <w:rPr>
                      <w:rFonts w:hint="eastAsia" w:cs="Times New Roman"/>
                      <w:sz w:val="21"/>
                      <w:szCs w:val="21"/>
                      <w:lang w:val="en-US" w:eastAsia="zh-CN"/>
                    </w:rPr>
                    <w:t>大鱼箭2#居民点</w:t>
                  </w:r>
                  <w:r>
                    <w:rPr>
                      <w:rFonts w:hint="eastAsia" w:ascii="Times New Roman" w:hAnsi="Times New Roman" w:eastAsia="宋体"/>
                      <w:color w:val="auto"/>
                      <w:sz w:val="21"/>
                      <w:szCs w:val="21"/>
                    </w:rPr>
                    <w:t>处</w:t>
                  </w:r>
                </w:p>
              </w:tc>
              <w:tc>
                <w:tcPr>
                  <w:tcW w:w="1247" w:type="pct"/>
                  <w:tcBorders>
                    <w:tl2br w:val="nil"/>
                    <w:tr2bl w:val="nil"/>
                  </w:tcBorders>
                  <w:vAlign w:val="center"/>
                </w:tcPr>
                <w:p w14:paraId="7EFA6119">
                  <w:pPr>
                    <w:keepNext w:val="0"/>
                    <w:keepLines w:val="0"/>
                    <w:suppressLineNumbers w:val="0"/>
                    <w:spacing w:before="0" w:beforeAutospacing="0" w:after="0" w:afterAutospacing="0"/>
                    <w:ind w:left="0" w:right="0"/>
                    <w:jc w:val="center"/>
                    <w:rPr>
                      <w:rFonts w:hint="default" w:ascii="Times New Roman" w:hAnsi="Times New Roman" w:eastAsia="宋体"/>
                      <w:b w:val="0"/>
                      <w:bCs/>
                      <w:color w:val="auto"/>
                      <w:sz w:val="21"/>
                      <w:szCs w:val="21"/>
                      <w:lang w:val="en-US" w:eastAsia="zh-CN"/>
                    </w:rPr>
                  </w:pPr>
                  <w:r>
                    <w:rPr>
                      <w:rFonts w:hint="eastAsia" w:eastAsia="宋体"/>
                      <w:bCs/>
                      <w:color w:val="auto"/>
                      <w:sz w:val="21"/>
                      <w:szCs w:val="21"/>
                      <w:lang w:val="en-US" w:eastAsia="zh-CN"/>
                    </w:rPr>
                    <w:t>57</w:t>
                  </w:r>
                </w:p>
              </w:tc>
              <w:tc>
                <w:tcPr>
                  <w:tcW w:w="1043" w:type="pct"/>
                  <w:tcBorders>
                    <w:tl2br w:val="nil"/>
                    <w:tr2bl w:val="nil"/>
                  </w:tcBorders>
                  <w:vAlign w:val="center"/>
                </w:tcPr>
                <w:p w14:paraId="65704964">
                  <w:pPr>
                    <w:keepNext w:val="0"/>
                    <w:keepLines w:val="0"/>
                    <w:suppressLineNumbers w:val="0"/>
                    <w:spacing w:before="0" w:beforeAutospacing="0" w:after="0" w:afterAutospacing="0"/>
                    <w:ind w:left="0" w:right="0"/>
                    <w:jc w:val="center"/>
                    <w:rPr>
                      <w:rFonts w:hint="default" w:ascii="Times New Roman" w:hAnsi="Times New Roman" w:eastAsia="宋体"/>
                      <w:bCs/>
                      <w:color w:val="auto"/>
                      <w:sz w:val="21"/>
                      <w:szCs w:val="21"/>
                    </w:rPr>
                  </w:pPr>
                  <w:r>
                    <w:rPr>
                      <w:rFonts w:hint="eastAsia" w:ascii="Times New Roman" w:hAnsi="Times New Roman" w:eastAsia="宋体"/>
                      <w:bCs/>
                      <w:color w:val="auto"/>
                      <w:sz w:val="21"/>
                      <w:szCs w:val="21"/>
                    </w:rPr>
                    <w:t>60</w:t>
                  </w:r>
                </w:p>
              </w:tc>
              <w:tc>
                <w:tcPr>
                  <w:tcW w:w="554" w:type="pct"/>
                  <w:tcBorders>
                    <w:tl2br w:val="nil"/>
                    <w:tr2bl w:val="nil"/>
                  </w:tcBorders>
                  <w:vAlign w:val="center"/>
                </w:tcPr>
                <w:p w14:paraId="6A136309">
                  <w:pPr>
                    <w:pStyle w:val="104"/>
                    <w:keepNext w:val="0"/>
                    <w:keepLines w:val="0"/>
                    <w:widowControl w:val="0"/>
                    <w:suppressLineNumbers w:val="0"/>
                    <w:spacing w:before="0" w:beforeAutospacing="0" w:after="0" w:afterAutospacing="0"/>
                    <w:ind w:left="0" w:right="0"/>
                    <w:rPr>
                      <w:rFonts w:hint="default" w:ascii="Times New Roman" w:hAnsi="Times New Roman" w:eastAsia="宋体"/>
                      <w:bCs/>
                      <w:color w:val="auto"/>
                      <w:sz w:val="21"/>
                      <w:szCs w:val="21"/>
                    </w:rPr>
                  </w:pPr>
                  <w:r>
                    <w:rPr>
                      <w:rFonts w:hint="default" w:ascii="Times New Roman" w:hAnsi="Times New Roman" w:eastAsia="宋体"/>
                      <w:bCs/>
                      <w:color w:val="auto"/>
                      <w:sz w:val="21"/>
                      <w:szCs w:val="21"/>
                    </w:rPr>
                    <w:t>达标</w:t>
                  </w:r>
                </w:p>
              </w:tc>
            </w:tr>
            <w:tr w14:paraId="3403F4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4" w:type="pct"/>
                  <w:tcBorders>
                    <w:tl2br w:val="nil"/>
                    <w:tr2bl w:val="nil"/>
                  </w:tcBorders>
                  <w:vAlign w:val="center"/>
                </w:tcPr>
                <w:p w14:paraId="1783F5B4">
                  <w:pPr>
                    <w:keepNext w:val="0"/>
                    <w:keepLines w:val="0"/>
                    <w:suppressLineNumbers w:val="0"/>
                    <w:spacing w:before="0" w:beforeAutospacing="0" w:after="0" w:afterAutospacing="0" w:line="280" w:lineRule="exact"/>
                    <w:ind w:left="0" w:right="0"/>
                    <w:jc w:val="center"/>
                    <w:rPr>
                      <w:rFonts w:hint="default" w:ascii="Times New Roman" w:hAnsi="Times New Roman" w:eastAsia="宋体"/>
                      <w:color w:val="auto"/>
                      <w:sz w:val="21"/>
                      <w:szCs w:val="21"/>
                    </w:rPr>
                  </w:pPr>
                  <w:r>
                    <w:rPr>
                      <w:rFonts w:hint="eastAsia" w:ascii="Times New Roman" w:hAnsi="Times New Roman" w:eastAsia="宋体"/>
                      <w:color w:val="auto"/>
                      <w:sz w:val="21"/>
                      <w:szCs w:val="21"/>
                    </w:rPr>
                    <w:t>N3</w:t>
                  </w:r>
                </w:p>
              </w:tc>
              <w:tc>
                <w:tcPr>
                  <w:tcW w:w="1660" w:type="pct"/>
                  <w:tcBorders>
                    <w:tl2br w:val="nil"/>
                    <w:tr2bl w:val="nil"/>
                  </w:tcBorders>
                  <w:vAlign w:val="center"/>
                </w:tcPr>
                <w:p w14:paraId="7CA9385B">
                  <w:pPr>
                    <w:keepNext w:val="0"/>
                    <w:keepLines w:val="0"/>
                    <w:suppressLineNumbers w:val="0"/>
                    <w:spacing w:before="0" w:beforeAutospacing="0" w:after="0" w:afterAutospacing="0" w:line="280" w:lineRule="exact"/>
                    <w:ind w:left="0" w:right="0"/>
                    <w:jc w:val="center"/>
                    <w:rPr>
                      <w:rFonts w:hint="default" w:ascii="Times New Roman" w:hAnsi="Times New Roman" w:eastAsia="宋体"/>
                      <w:color w:val="auto"/>
                      <w:sz w:val="21"/>
                      <w:szCs w:val="21"/>
                      <w:lang w:val="en-US" w:eastAsia="zh-CN"/>
                    </w:rPr>
                  </w:pPr>
                  <w:r>
                    <w:rPr>
                      <w:rFonts w:hint="eastAsia" w:eastAsia="宋体"/>
                      <w:color w:val="auto"/>
                      <w:sz w:val="21"/>
                      <w:szCs w:val="21"/>
                      <w:lang w:val="en-US" w:eastAsia="zh-CN"/>
                    </w:rPr>
                    <w:t>张家湾居民点处</w:t>
                  </w:r>
                  <w:r>
                    <w:rPr>
                      <w:rFonts w:hint="eastAsia" w:cs="Times New Roman"/>
                      <w:sz w:val="24"/>
                      <w:lang w:val="en-US" w:eastAsia="zh-CN"/>
                    </w:rPr>
                    <w:t>1#居民点</w:t>
                  </w:r>
                </w:p>
              </w:tc>
              <w:tc>
                <w:tcPr>
                  <w:tcW w:w="1247" w:type="pct"/>
                  <w:tcBorders>
                    <w:tl2br w:val="nil"/>
                    <w:tr2bl w:val="nil"/>
                  </w:tcBorders>
                  <w:vAlign w:val="center"/>
                </w:tcPr>
                <w:p w14:paraId="2BD98795">
                  <w:pPr>
                    <w:keepNext w:val="0"/>
                    <w:keepLines w:val="0"/>
                    <w:suppressLineNumbers w:val="0"/>
                    <w:spacing w:before="0" w:beforeAutospacing="0" w:after="0" w:afterAutospacing="0"/>
                    <w:ind w:left="0" w:right="0"/>
                    <w:jc w:val="center"/>
                    <w:rPr>
                      <w:rFonts w:hint="default" w:ascii="Times New Roman" w:hAnsi="Times New Roman" w:eastAsia="宋体"/>
                      <w:bCs/>
                      <w:color w:val="auto"/>
                      <w:sz w:val="21"/>
                      <w:szCs w:val="21"/>
                      <w:lang w:val="en-US" w:eastAsia="zh-CN"/>
                    </w:rPr>
                  </w:pPr>
                  <w:r>
                    <w:rPr>
                      <w:rFonts w:hint="eastAsia" w:eastAsia="宋体"/>
                      <w:bCs/>
                      <w:color w:val="auto"/>
                      <w:sz w:val="21"/>
                      <w:szCs w:val="21"/>
                      <w:lang w:val="en-US" w:eastAsia="zh-CN"/>
                    </w:rPr>
                    <w:t>56</w:t>
                  </w:r>
                </w:p>
              </w:tc>
              <w:tc>
                <w:tcPr>
                  <w:tcW w:w="1043" w:type="pct"/>
                  <w:tcBorders>
                    <w:tl2br w:val="nil"/>
                    <w:tr2bl w:val="nil"/>
                  </w:tcBorders>
                  <w:vAlign w:val="center"/>
                </w:tcPr>
                <w:p w14:paraId="130FA889">
                  <w:pPr>
                    <w:keepNext w:val="0"/>
                    <w:keepLines w:val="0"/>
                    <w:suppressLineNumbers w:val="0"/>
                    <w:spacing w:before="0" w:beforeAutospacing="0" w:after="0" w:afterAutospacing="0"/>
                    <w:ind w:left="0" w:right="0"/>
                    <w:jc w:val="center"/>
                    <w:rPr>
                      <w:rFonts w:hint="default" w:ascii="Times New Roman" w:hAnsi="Times New Roman" w:eastAsia="宋体"/>
                      <w:bCs/>
                      <w:color w:val="auto"/>
                      <w:sz w:val="21"/>
                      <w:szCs w:val="21"/>
                    </w:rPr>
                  </w:pPr>
                  <w:r>
                    <w:rPr>
                      <w:rFonts w:hint="eastAsia" w:ascii="Times New Roman" w:hAnsi="Times New Roman" w:eastAsia="宋体"/>
                      <w:bCs/>
                      <w:color w:val="auto"/>
                      <w:sz w:val="21"/>
                      <w:szCs w:val="21"/>
                    </w:rPr>
                    <w:t>60</w:t>
                  </w:r>
                </w:p>
              </w:tc>
              <w:tc>
                <w:tcPr>
                  <w:tcW w:w="554" w:type="pct"/>
                  <w:tcBorders>
                    <w:tl2br w:val="nil"/>
                    <w:tr2bl w:val="nil"/>
                  </w:tcBorders>
                  <w:vAlign w:val="center"/>
                </w:tcPr>
                <w:p w14:paraId="64BC6C2B">
                  <w:pPr>
                    <w:pStyle w:val="104"/>
                    <w:keepNext w:val="0"/>
                    <w:keepLines w:val="0"/>
                    <w:widowControl w:val="0"/>
                    <w:suppressLineNumbers w:val="0"/>
                    <w:spacing w:before="0" w:beforeAutospacing="0" w:after="0" w:afterAutospacing="0"/>
                    <w:ind w:left="0" w:right="0"/>
                    <w:rPr>
                      <w:rFonts w:hint="default" w:ascii="Times New Roman" w:hAnsi="Times New Roman" w:eastAsia="宋体"/>
                      <w:bCs/>
                      <w:color w:val="auto"/>
                      <w:sz w:val="21"/>
                      <w:szCs w:val="21"/>
                    </w:rPr>
                  </w:pPr>
                  <w:r>
                    <w:rPr>
                      <w:rFonts w:hint="default" w:ascii="Times New Roman" w:hAnsi="Times New Roman" w:eastAsia="宋体"/>
                      <w:bCs/>
                      <w:color w:val="auto"/>
                      <w:sz w:val="21"/>
                      <w:szCs w:val="21"/>
                    </w:rPr>
                    <w:t>达标</w:t>
                  </w:r>
                </w:p>
              </w:tc>
            </w:tr>
          </w:tbl>
          <w:p w14:paraId="3BCA131E">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0" w:firstLineChars="200"/>
              <w:textAlignment w:val="auto"/>
              <w:rPr>
                <w:rFonts w:hint="eastAsia" w:ascii="Times New Roman" w:hAnsi="Times New Roman" w:eastAsia="宋体" w:cs="Times New Roman"/>
                <w:sz w:val="24"/>
              </w:rPr>
            </w:pPr>
            <w:r>
              <w:rPr>
                <w:rFonts w:hint="eastAsia" w:ascii="Times New Roman" w:hAnsi="Times New Roman" w:eastAsia="宋体" w:cs="Times New Roman"/>
                <w:sz w:val="24"/>
              </w:rPr>
              <w:t>由上表可知，本项目厂界外50m范围内声环境敏感点声环境质量监测结果均满足《声环境质量标准》（GB3096-2008）中2类标准要求</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项目所在区域声环境质量良好</w:t>
            </w:r>
            <w:r>
              <w:rPr>
                <w:rFonts w:hint="eastAsia" w:ascii="Times New Roman" w:hAnsi="Times New Roman" w:eastAsia="宋体" w:cs="Times New Roman"/>
                <w:sz w:val="24"/>
              </w:rPr>
              <w:t>。</w:t>
            </w:r>
          </w:p>
          <w:p w14:paraId="0D46157B">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sz w:val="24"/>
              </w:rPr>
            </w:pPr>
            <w:r>
              <w:rPr>
                <w:rFonts w:hint="eastAsia" w:ascii="Times New Roman" w:hAnsi="Times New Roman" w:eastAsia="宋体" w:cs="Times New Roman"/>
                <w:b/>
                <w:bCs/>
                <w:sz w:val="24"/>
              </w:rPr>
              <w:t>四</w:t>
            </w:r>
            <w:r>
              <w:rPr>
                <w:rFonts w:hint="default" w:ascii="Times New Roman" w:hAnsi="Times New Roman" w:eastAsia="宋体" w:cs="Times New Roman"/>
                <w:b/>
                <w:bCs/>
                <w:sz w:val="24"/>
              </w:rPr>
              <w:t>、生态环境现状</w:t>
            </w:r>
          </w:p>
          <w:p w14:paraId="0A76EC22">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拟建项目位于</w:t>
            </w:r>
            <w:r>
              <w:rPr>
                <w:rFonts w:hint="eastAsia" w:cs="Times New Roman"/>
                <w:kern w:val="0"/>
                <w:sz w:val="24"/>
                <w:lang w:eastAsia="zh-CN"/>
              </w:rPr>
              <w:t>邻水县石滓镇晒金村8组</w:t>
            </w:r>
            <w:r>
              <w:rPr>
                <w:rFonts w:hint="default" w:ascii="Times New Roman" w:hAnsi="Times New Roman" w:eastAsia="宋体" w:cs="Times New Roman"/>
                <w:kern w:val="0"/>
                <w:sz w:val="24"/>
                <w:lang w:eastAsia="zh-CN"/>
              </w:rPr>
              <w:t>，</w:t>
            </w:r>
            <w:r>
              <w:rPr>
                <w:rFonts w:hint="eastAsia" w:ascii="Times New Roman" w:hAnsi="Times New Roman" w:eastAsia="宋体" w:cs="Times New Roman"/>
                <w:kern w:val="0"/>
                <w:sz w:val="24"/>
                <w:lang w:eastAsia="zh-CN"/>
              </w:rPr>
              <w:t>根据现场踏勘，项目外环境为农村地区，周围主要为农户和耕地</w:t>
            </w:r>
            <w:r>
              <w:rPr>
                <w:rFonts w:hint="default" w:ascii="Times New Roman" w:hAnsi="Times New Roman" w:eastAsia="宋体" w:cs="Times New Roman"/>
                <w:sz w:val="24"/>
              </w:rPr>
              <w:t>，人类活动频繁，结构简单，无珍稀动植物存在。植被为人工栽植的行道树等常见物种。项目选址不涉及自然保护区、风景名胜区、文物保护遗迹、珍稀保护的野生动植物以及古树等。</w:t>
            </w:r>
          </w:p>
        </w:tc>
      </w:tr>
      <w:tr w14:paraId="073AC5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4" w:type="dxa"/>
            <w:noWrap w:val="0"/>
            <w:vAlign w:val="center"/>
          </w:tcPr>
          <w:p w14:paraId="0AE5AC62">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kern w:val="0"/>
                <w:sz w:val="24"/>
              </w:rPr>
            </w:pPr>
            <w:r>
              <w:rPr>
                <w:rFonts w:hint="eastAsia" w:ascii="Times New Roman" w:hAnsi="Times New Roman" w:eastAsia="宋体" w:cs="宋体"/>
                <w:kern w:val="0"/>
                <w:sz w:val="24"/>
              </w:rPr>
              <w:t>环境</w:t>
            </w:r>
          </w:p>
          <w:p w14:paraId="556C8001">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kern w:val="0"/>
                <w:sz w:val="24"/>
              </w:rPr>
            </w:pPr>
            <w:r>
              <w:rPr>
                <w:rFonts w:hint="eastAsia" w:ascii="Times New Roman" w:hAnsi="Times New Roman" w:eastAsia="宋体" w:cs="宋体"/>
                <w:kern w:val="0"/>
                <w:sz w:val="24"/>
              </w:rPr>
              <w:t>保护</w:t>
            </w:r>
          </w:p>
          <w:p w14:paraId="675CE289">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kern w:val="0"/>
                <w:szCs w:val="21"/>
              </w:rPr>
            </w:pPr>
            <w:r>
              <w:rPr>
                <w:rFonts w:hint="eastAsia" w:ascii="Times New Roman" w:hAnsi="Times New Roman" w:eastAsia="宋体" w:cs="宋体"/>
                <w:kern w:val="0"/>
                <w:sz w:val="24"/>
              </w:rPr>
              <w:t>目标</w:t>
            </w:r>
          </w:p>
        </w:tc>
        <w:tc>
          <w:tcPr>
            <w:tcW w:w="8657" w:type="dxa"/>
            <w:noWrap w:val="0"/>
            <w:vAlign w:val="center"/>
          </w:tcPr>
          <w:p w14:paraId="52409FEF">
            <w:pPr>
              <w:keepNext w:val="0"/>
              <w:keepLines w:val="0"/>
              <w:widowControl/>
              <w:suppressLineNumbers w:val="0"/>
              <w:snapToGrid w:val="0"/>
              <w:spacing w:before="0" w:beforeAutospacing="0" w:after="0" w:afterAutospacing="0" w:line="360" w:lineRule="auto"/>
              <w:ind w:left="0" w:right="0"/>
              <w:rPr>
                <w:rFonts w:hint="default" w:ascii="Times New Roman" w:hAnsi="Times New Roman" w:eastAsia="宋体" w:cs="Times New Roman"/>
                <w:sz w:val="24"/>
              </w:rPr>
            </w:pPr>
            <w:r>
              <w:rPr>
                <w:rFonts w:hint="eastAsia" w:ascii="Times New Roman" w:hAnsi="Times New Roman" w:eastAsia="宋体" w:cs="Times New Roman"/>
                <w:b/>
                <w:sz w:val="24"/>
              </w:rPr>
              <w:t>一、</w:t>
            </w:r>
            <w:r>
              <w:rPr>
                <w:rFonts w:hint="eastAsia" w:ascii="Times New Roman" w:hAnsi="Times New Roman" w:eastAsia="宋体" w:cs="Times New Roman"/>
                <w:b/>
                <w:bCs/>
                <w:sz w:val="24"/>
              </w:rPr>
              <w:t>大气</w:t>
            </w:r>
            <w:r>
              <w:rPr>
                <w:rFonts w:hint="default" w:ascii="Times New Roman" w:hAnsi="Times New Roman" w:eastAsia="宋体" w:cs="Times New Roman"/>
                <w:b/>
                <w:bCs/>
                <w:sz w:val="24"/>
              </w:rPr>
              <w:t>环境保护目标</w:t>
            </w:r>
          </w:p>
          <w:p w14:paraId="73AA688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本项目大气环境保护目标为项目所在区域大气环境，确保区域大气环境质量现状不因项目实施降低，评价区域大气环境质量执行《环境空气质量标准》（GB3095-2012）中二级标准。</w:t>
            </w:r>
          </w:p>
          <w:p w14:paraId="023B16CA">
            <w:pPr>
              <w:keepNext w:val="0"/>
              <w:keepLines w:val="0"/>
              <w:widowControl/>
              <w:suppressLineNumbers w:val="0"/>
              <w:snapToGrid w:val="0"/>
              <w:spacing w:before="0" w:beforeAutospacing="0" w:after="0" w:afterAutospacing="0" w:line="360" w:lineRule="auto"/>
              <w:ind w:left="0" w:right="0"/>
              <w:rPr>
                <w:rFonts w:hint="default" w:ascii="Times New Roman" w:hAnsi="Times New Roman" w:eastAsia="宋体" w:cs="Times New Roman"/>
                <w:sz w:val="24"/>
              </w:rPr>
            </w:pPr>
            <w:r>
              <w:rPr>
                <w:rFonts w:hint="eastAsia" w:ascii="Times New Roman" w:hAnsi="Times New Roman" w:eastAsia="宋体" w:cs="Times New Roman"/>
                <w:b/>
                <w:bCs/>
                <w:sz w:val="24"/>
              </w:rPr>
              <w:t>二、</w:t>
            </w:r>
            <w:r>
              <w:rPr>
                <w:rFonts w:hint="default" w:ascii="Times New Roman" w:hAnsi="Times New Roman" w:eastAsia="宋体" w:cs="Times New Roman"/>
                <w:b/>
                <w:bCs/>
                <w:sz w:val="24"/>
              </w:rPr>
              <w:t>地表水环境保护目标</w:t>
            </w:r>
          </w:p>
          <w:p w14:paraId="1CB4BC09">
            <w:pPr>
              <w:keepNext w:val="0"/>
              <w:keepLines w:val="0"/>
              <w:widowControl/>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sz w:val="24"/>
              </w:rPr>
            </w:pPr>
            <w:r>
              <w:rPr>
                <w:rFonts w:hint="eastAsia" w:cs="Times New Roman"/>
                <w:sz w:val="24"/>
                <w:lang w:val="en-US" w:eastAsia="zh-CN"/>
              </w:rPr>
              <w:t>大洪河</w:t>
            </w:r>
            <w:r>
              <w:rPr>
                <w:rFonts w:hint="default" w:ascii="Times New Roman" w:hAnsi="Times New Roman" w:eastAsia="宋体" w:cs="Times New Roman"/>
                <w:sz w:val="24"/>
              </w:rPr>
              <w:t>水质不因本项目的建设和营运而恶化，不改变现有的水体功能，水体水质应达到《地表水环境质量标准》（GB3838-2002）中的</w:t>
            </w:r>
            <w:r>
              <w:rPr>
                <w:rFonts w:hint="eastAsia" w:ascii="Times New Roman" w:hAnsi="Times New Roman" w:eastAsia="宋体" w:cs="Times New Roman"/>
              </w:rPr>
              <w:t>Ⅲ</w:t>
            </w:r>
            <w:r>
              <w:rPr>
                <w:rFonts w:hint="default" w:ascii="Times New Roman" w:hAnsi="Times New Roman" w:eastAsia="宋体" w:cs="Times New Roman"/>
                <w:sz w:val="24"/>
              </w:rPr>
              <w:t>类水域标准要求。</w:t>
            </w:r>
          </w:p>
          <w:p w14:paraId="4A11BA6C">
            <w:pPr>
              <w:keepNext w:val="0"/>
              <w:keepLines w:val="0"/>
              <w:widowControl/>
              <w:suppressLineNumbers w:val="0"/>
              <w:snapToGrid w:val="0"/>
              <w:spacing w:before="0" w:beforeAutospacing="0" w:after="0" w:afterAutospacing="0" w:line="360" w:lineRule="auto"/>
              <w:ind w:left="0" w:right="0"/>
              <w:rPr>
                <w:rFonts w:hint="default" w:ascii="Times New Roman" w:hAnsi="Times New Roman" w:eastAsia="宋体" w:cs="Times New Roman"/>
                <w:sz w:val="24"/>
              </w:rPr>
            </w:pPr>
            <w:r>
              <w:rPr>
                <w:rFonts w:hint="eastAsia" w:ascii="Times New Roman" w:hAnsi="Times New Roman" w:eastAsia="宋体" w:cs="Times New Roman"/>
                <w:b/>
                <w:bCs/>
                <w:sz w:val="24"/>
              </w:rPr>
              <w:t>三、</w:t>
            </w:r>
            <w:r>
              <w:rPr>
                <w:rFonts w:hint="default" w:ascii="Times New Roman" w:hAnsi="Times New Roman" w:eastAsia="宋体" w:cs="Times New Roman"/>
                <w:b/>
                <w:bCs/>
                <w:sz w:val="24"/>
              </w:rPr>
              <w:t>地</w:t>
            </w:r>
            <w:r>
              <w:rPr>
                <w:rFonts w:hint="eastAsia" w:ascii="Times New Roman" w:hAnsi="Times New Roman" w:eastAsia="宋体" w:cs="Times New Roman"/>
                <w:b/>
                <w:bCs/>
                <w:sz w:val="24"/>
              </w:rPr>
              <w:t>下</w:t>
            </w:r>
            <w:r>
              <w:rPr>
                <w:rFonts w:hint="default" w:ascii="Times New Roman" w:hAnsi="Times New Roman" w:eastAsia="宋体" w:cs="Times New Roman"/>
                <w:b/>
                <w:bCs/>
                <w:sz w:val="24"/>
              </w:rPr>
              <w:t>水环境保护目标</w:t>
            </w:r>
          </w:p>
          <w:p w14:paraId="3A9D04A8">
            <w:pPr>
              <w:keepNext w:val="0"/>
              <w:keepLines w:val="0"/>
              <w:widowControl/>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b/>
                <w:bCs/>
                <w:sz w:val="24"/>
              </w:rPr>
            </w:pPr>
            <w:r>
              <w:rPr>
                <w:rFonts w:hint="eastAsia" w:cs="Times New Roman"/>
                <w:sz w:val="24"/>
                <w:lang w:val="en-US" w:eastAsia="zh-CN"/>
              </w:rPr>
              <w:t>根据现场调查，项目所在区域市政自来水管网已投入使用，</w:t>
            </w:r>
            <w:r>
              <w:rPr>
                <w:rFonts w:hint="eastAsia" w:ascii="Times New Roman" w:hAnsi="Times New Roman" w:eastAsia="宋体" w:cs="Times New Roman"/>
                <w:sz w:val="24"/>
              </w:rPr>
              <w:t>本项目</w:t>
            </w:r>
            <w:r>
              <w:rPr>
                <w:rFonts w:hint="default" w:ascii="Times New Roman" w:hAnsi="Times New Roman" w:eastAsia="宋体" w:cs="Times New Roman"/>
                <w:sz w:val="24"/>
              </w:rPr>
              <w:t>厂界外500</w:t>
            </w:r>
            <w:r>
              <w:rPr>
                <w:rFonts w:hint="eastAsia" w:ascii="Times New Roman" w:hAnsi="Times New Roman" w:eastAsia="宋体" w:cs="Times New Roman"/>
                <w:sz w:val="24"/>
              </w:rPr>
              <w:t>m</w:t>
            </w:r>
            <w:r>
              <w:rPr>
                <w:rFonts w:hint="default" w:ascii="Times New Roman" w:hAnsi="Times New Roman" w:eastAsia="宋体" w:cs="Times New Roman"/>
                <w:sz w:val="24"/>
              </w:rPr>
              <w:t>范围内</w:t>
            </w:r>
            <w:r>
              <w:rPr>
                <w:rFonts w:hint="eastAsia" w:ascii="Times New Roman" w:hAnsi="Times New Roman" w:eastAsia="宋体" w:cs="Times New Roman"/>
                <w:sz w:val="24"/>
              </w:rPr>
              <w:t>无</w:t>
            </w:r>
            <w:r>
              <w:rPr>
                <w:rFonts w:hint="default" w:ascii="Times New Roman" w:hAnsi="Times New Roman" w:eastAsia="宋体" w:cs="Times New Roman"/>
                <w:sz w:val="24"/>
              </w:rPr>
              <w:t>地下水集中式饮用水水源和热水、矿泉水、温泉等特殊地下水资源</w:t>
            </w:r>
            <w:r>
              <w:rPr>
                <w:rFonts w:hint="eastAsia" w:ascii="Times New Roman" w:hAnsi="Times New Roman" w:eastAsia="宋体" w:cs="Times New Roman"/>
                <w:sz w:val="24"/>
              </w:rPr>
              <w:t>。地下水</w:t>
            </w:r>
            <w:r>
              <w:rPr>
                <w:rFonts w:hint="default" w:ascii="Times New Roman" w:hAnsi="Times New Roman" w:eastAsia="宋体" w:cs="Times New Roman"/>
                <w:sz w:val="24"/>
              </w:rPr>
              <w:t>水质不因本项目的建设和</w:t>
            </w:r>
            <w:r>
              <w:rPr>
                <w:rFonts w:hint="eastAsia" w:cs="Times New Roman"/>
                <w:sz w:val="24"/>
                <w:lang w:eastAsia="zh-CN"/>
              </w:rPr>
              <w:t>运营</w:t>
            </w:r>
            <w:r>
              <w:rPr>
                <w:rFonts w:hint="default" w:ascii="Times New Roman" w:hAnsi="Times New Roman" w:eastAsia="宋体" w:cs="Times New Roman"/>
                <w:sz w:val="24"/>
              </w:rPr>
              <w:t>而恶化，不改变现有的水体功能，评价区域内水体水质应达到《地</w:t>
            </w:r>
            <w:r>
              <w:rPr>
                <w:rFonts w:hint="eastAsia" w:ascii="Times New Roman" w:hAnsi="Times New Roman" w:eastAsia="宋体" w:cs="Times New Roman"/>
                <w:sz w:val="24"/>
              </w:rPr>
              <w:t>下</w:t>
            </w:r>
            <w:r>
              <w:rPr>
                <w:rFonts w:hint="default" w:ascii="Times New Roman" w:hAnsi="Times New Roman" w:eastAsia="宋体" w:cs="Times New Roman"/>
                <w:sz w:val="24"/>
              </w:rPr>
              <w:t>水质量标准》（GB</w:t>
            </w:r>
            <w:r>
              <w:rPr>
                <w:rFonts w:hint="eastAsia" w:ascii="Times New Roman" w:hAnsi="Times New Roman" w:eastAsia="宋体" w:cs="Times New Roman"/>
                <w:sz w:val="24"/>
              </w:rPr>
              <w:t>/T14848</w:t>
            </w:r>
            <w:r>
              <w:rPr>
                <w:rFonts w:hint="default" w:ascii="Times New Roman" w:hAnsi="Times New Roman" w:eastAsia="宋体" w:cs="Times New Roman"/>
                <w:sz w:val="24"/>
              </w:rPr>
              <w:t>-20</w:t>
            </w:r>
            <w:r>
              <w:rPr>
                <w:rFonts w:hint="eastAsia" w:ascii="Times New Roman" w:hAnsi="Times New Roman" w:eastAsia="宋体" w:cs="Times New Roman"/>
                <w:sz w:val="24"/>
              </w:rPr>
              <w:t>17</w:t>
            </w:r>
            <w:r>
              <w:rPr>
                <w:rFonts w:hint="default" w:ascii="Times New Roman" w:hAnsi="Times New Roman" w:eastAsia="宋体" w:cs="Times New Roman"/>
                <w:sz w:val="24"/>
              </w:rPr>
              <w:t>）中的</w:t>
            </w:r>
            <w:r>
              <w:rPr>
                <w:rFonts w:hint="eastAsia" w:cs="Times New Roman"/>
                <w:sz w:val="24"/>
                <w:lang w:eastAsia="zh-CN"/>
              </w:rPr>
              <w:t>Ⅲ类</w:t>
            </w:r>
            <w:r>
              <w:rPr>
                <w:rFonts w:hint="default" w:ascii="Times New Roman" w:hAnsi="Times New Roman" w:eastAsia="宋体" w:cs="Times New Roman"/>
                <w:sz w:val="24"/>
              </w:rPr>
              <w:t>标准要求。</w:t>
            </w:r>
          </w:p>
          <w:p w14:paraId="4473DFD2">
            <w:pPr>
              <w:keepNext w:val="0"/>
              <w:keepLines w:val="0"/>
              <w:widowControl/>
              <w:suppressLineNumbers w:val="0"/>
              <w:snapToGrid w:val="0"/>
              <w:spacing w:before="0" w:beforeAutospacing="0" w:after="0" w:afterAutospacing="0" w:line="360" w:lineRule="auto"/>
              <w:ind w:left="0" w:right="0"/>
              <w:rPr>
                <w:rFonts w:hint="default" w:ascii="Times New Roman" w:hAnsi="Times New Roman" w:eastAsia="宋体" w:cs="Times New Roman"/>
                <w:sz w:val="24"/>
              </w:rPr>
            </w:pPr>
            <w:r>
              <w:rPr>
                <w:rFonts w:hint="eastAsia" w:ascii="Times New Roman" w:hAnsi="Times New Roman" w:eastAsia="宋体" w:cs="Times New Roman"/>
                <w:b/>
                <w:bCs/>
                <w:sz w:val="24"/>
              </w:rPr>
              <w:t>四、</w:t>
            </w:r>
            <w:r>
              <w:rPr>
                <w:rFonts w:hint="default" w:ascii="Times New Roman" w:hAnsi="Times New Roman" w:eastAsia="宋体" w:cs="Times New Roman"/>
                <w:b/>
                <w:bCs/>
                <w:sz w:val="24"/>
              </w:rPr>
              <w:t>声环境保护目标</w:t>
            </w:r>
          </w:p>
          <w:p w14:paraId="572C84CB">
            <w:pPr>
              <w:keepNext w:val="0"/>
              <w:keepLines w:val="0"/>
              <w:widowControl/>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本项目</w:t>
            </w:r>
            <w:r>
              <w:rPr>
                <w:rFonts w:hint="eastAsia" w:cs="Times New Roman"/>
                <w:sz w:val="24"/>
                <w:lang w:val="en-US" w:eastAsia="zh-CN"/>
              </w:rPr>
              <w:t>厂界</w:t>
            </w:r>
            <w:r>
              <w:rPr>
                <w:rFonts w:hint="default" w:ascii="Times New Roman" w:hAnsi="Times New Roman" w:eastAsia="宋体" w:cs="Times New Roman"/>
                <w:sz w:val="24"/>
              </w:rPr>
              <w:t>周边</w:t>
            </w:r>
            <w:r>
              <w:rPr>
                <w:rFonts w:hint="eastAsia" w:ascii="Times New Roman" w:hAnsi="Times New Roman" w:eastAsia="宋体" w:cs="Times New Roman"/>
                <w:sz w:val="24"/>
              </w:rPr>
              <w:t>5</w:t>
            </w:r>
            <w:r>
              <w:rPr>
                <w:rFonts w:hint="default" w:ascii="Times New Roman" w:hAnsi="Times New Roman" w:eastAsia="宋体" w:cs="Times New Roman"/>
                <w:sz w:val="24"/>
              </w:rPr>
              <w:t>0m范围</w:t>
            </w:r>
            <w:r>
              <w:rPr>
                <w:rFonts w:hint="eastAsia" w:ascii="Times New Roman" w:hAnsi="Times New Roman" w:eastAsia="宋体" w:cs="Times New Roman"/>
                <w:sz w:val="24"/>
              </w:rPr>
              <w:t>声环境保护目标</w:t>
            </w:r>
            <w:r>
              <w:rPr>
                <w:rFonts w:hint="eastAsia" w:cs="Times New Roman"/>
                <w:sz w:val="24"/>
                <w:lang w:val="en-US" w:eastAsia="zh-CN"/>
              </w:rPr>
              <w:t>为大鱼箭1#居民点、大鱼箭2#居民点、张家湾1#居民点</w:t>
            </w:r>
            <w:r>
              <w:rPr>
                <w:rFonts w:hint="default" w:ascii="Times New Roman" w:hAnsi="Times New Roman" w:eastAsia="宋体" w:cs="Times New Roman"/>
                <w:sz w:val="24"/>
              </w:rPr>
              <w:t>。环境噪声质量应满足《声环境质量标准》（GB3096-2008）中</w:t>
            </w:r>
            <w:r>
              <w:rPr>
                <w:rFonts w:hint="eastAsia" w:cs="Times New Roman"/>
                <w:sz w:val="24"/>
                <w:lang w:val="en-US" w:eastAsia="zh-CN"/>
              </w:rPr>
              <w:t>2</w:t>
            </w:r>
            <w:r>
              <w:rPr>
                <w:rFonts w:hint="default" w:ascii="Times New Roman" w:hAnsi="Times New Roman" w:eastAsia="宋体" w:cs="Times New Roman"/>
                <w:sz w:val="24"/>
              </w:rPr>
              <w:t>类区域标准限值要求。</w:t>
            </w:r>
          </w:p>
          <w:p w14:paraId="660E9CC9">
            <w:pPr>
              <w:keepNext w:val="0"/>
              <w:keepLines w:val="0"/>
              <w:widowControl/>
              <w:suppressLineNumbers w:val="0"/>
              <w:snapToGrid w:val="0"/>
              <w:spacing w:before="0" w:beforeAutospacing="0" w:after="0" w:afterAutospacing="0" w:line="360" w:lineRule="auto"/>
              <w:ind w:left="0" w:right="0"/>
              <w:rPr>
                <w:rFonts w:hint="default" w:ascii="Times New Roman" w:hAnsi="Times New Roman" w:eastAsia="宋体" w:cs="Times New Roman"/>
                <w:b/>
                <w:bCs/>
                <w:sz w:val="24"/>
              </w:rPr>
            </w:pPr>
            <w:r>
              <w:rPr>
                <w:rFonts w:hint="eastAsia" w:ascii="Times New Roman" w:hAnsi="Times New Roman" w:eastAsia="宋体" w:cs="Times New Roman"/>
                <w:b/>
                <w:bCs/>
                <w:sz w:val="24"/>
              </w:rPr>
              <w:t>五、</w:t>
            </w:r>
            <w:r>
              <w:rPr>
                <w:rFonts w:hint="default" w:ascii="Times New Roman" w:hAnsi="Times New Roman" w:eastAsia="宋体" w:cs="Times New Roman"/>
                <w:b/>
                <w:bCs/>
                <w:sz w:val="24"/>
              </w:rPr>
              <w:t>生态环境</w:t>
            </w:r>
          </w:p>
          <w:p w14:paraId="180E5828">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sz w:val="24"/>
              </w:rPr>
            </w:pPr>
            <w:r>
              <w:rPr>
                <w:rFonts w:hint="default" w:ascii="Times New Roman" w:hAnsi="Times New Roman" w:eastAsia="宋体" w:cs="Times New Roman"/>
                <w:sz w:val="24"/>
              </w:rPr>
              <w:t>本项目位于邻水县石滓镇晒金村8组，系</w:t>
            </w:r>
            <w:r>
              <w:rPr>
                <w:rFonts w:hint="eastAsia" w:cs="Times New Roman"/>
                <w:sz w:val="24"/>
                <w:lang w:val="en-US" w:eastAsia="zh-CN"/>
              </w:rPr>
              <w:t>租赁大宇洪砖厂闲置的工矿用地进行建设</w:t>
            </w:r>
            <w:r>
              <w:rPr>
                <w:rFonts w:hint="default" w:ascii="Times New Roman" w:hAnsi="Times New Roman" w:eastAsia="宋体" w:cs="Times New Roman"/>
                <w:sz w:val="24"/>
              </w:rPr>
              <w:t>，</w:t>
            </w:r>
            <w:r>
              <w:rPr>
                <w:rFonts w:hint="eastAsia" w:cs="Times New Roman"/>
                <w:sz w:val="24"/>
                <w:lang w:val="en-US" w:eastAsia="zh-CN"/>
              </w:rPr>
              <w:t>目前该地块已由出租方进行了初步的土地平整，本项目建设</w:t>
            </w:r>
            <w:r>
              <w:rPr>
                <w:rFonts w:hint="default" w:ascii="Times New Roman" w:hAnsi="Times New Roman" w:eastAsia="宋体" w:cs="Times New Roman"/>
                <w:sz w:val="24"/>
              </w:rPr>
              <w:t>不涉及生态环境保护目标。</w:t>
            </w:r>
          </w:p>
          <w:p w14:paraId="0F9FA058">
            <w:pPr>
              <w:keepNext w:val="0"/>
              <w:keepLines w:val="0"/>
              <w:widowControl/>
              <w:suppressLineNumbers w:val="0"/>
              <w:snapToGrid w:val="0"/>
              <w:spacing w:before="0" w:beforeAutospacing="0" w:after="0" w:afterAutospacing="0" w:line="336" w:lineRule="auto"/>
              <w:ind w:left="0" w:right="0"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本项目</w:t>
            </w:r>
            <w:r>
              <w:rPr>
                <w:rFonts w:hint="eastAsia" w:ascii="Times New Roman" w:hAnsi="Times New Roman" w:eastAsia="宋体" w:cs="Times New Roman"/>
                <w:sz w:val="24"/>
              </w:rPr>
              <w:t>主要</w:t>
            </w:r>
            <w:r>
              <w:rPr>
                <w:rFonts w:hint="default" w:ascii="Times New Roman" w:hAnsi="Times New Roman" w:eastAsia="宋体" w:cs="Times New Roman"/>
                <w:sz w:val="24"/>
              </w:rPr>
              <w:t>环境保护目标详见</w:t>
            </w:r>
            <w:r>
              <w:rPr>
                <w:rFonts w:hint="eastAsia" w:ascii="Times New Roman" w:hAnsi="Times New Roman" w:eastAsia="宋体" w:cs="Times New Roman"/>
                <w:sz w:val="24"/>
              </w:rPr>
              <w:t>下</w:t>
            </w:r>
            <w:r>
              <w:rPr>
                <w:rFonts w:hint="default" w:ascii="Times New Roman" w:hAnsi="Times New Roman" w:eastAsia="宋体" w:cs="Times New Roman"/>
                <w:sz w:val="24"/>
              </w:rPr>
              <w:t>表。</w:t>
            </w:r>
          </w:p>
          <w:p w14:paraId="7613F437">
            <w:pPr>
              <w:keepNext w:val="0"/>
              <w:keepLines w:val="0"/>
              <w:widowControl/>
              <w:suppressLineNumbers w:val="0"/>
              <w:snapToGrid w:val="0"/>
              <w:spacing w:before="0" w:beforeAutospacing="0" w:after="0" w:afterAutospacing="0" w:line="240" w:lineRule="auto"/>
              <w:ind w:left="0" w:right="0"/>
              <w:jc w:val="center"/>
              <w:rPr>
                <w:rFonts w:hint="eastAsia" w:ascii="Times New Roman" w:hAnsi="Times New Roman" w:eastAsia="宋体" w:cs="Times New Roman"/>
                <w:b/>
                <w:sz w:val="24"/>
              </w:rPr>
            </w:pPr>
            <w:r>
              <w:rPr>
                <w:rFonts w:hint="default" w:ascii="Times New Roman" w:hAnsi="Times New Roman" w:eastAsia="宋体" w:cs="Times New Roman"/>
                <w:b/>
                <w:szCs w:val="21"/>
              </w:rPr>
              <w:t>表3-</w:t>
            </w:r>
            <w:r>
              <w:rPr>
                <w:rFonts w:hint="eastAsia" w:cs="Times New Roman"/>
                <w:b/>
                <w:szCs w:val="21"/>
                <w:lang w:val="en-US" w:eastAsia="zh-CN"/>
              </w:rPr>
              <w:t>4</w:t>
            </w:r>
            <w:r>
              <w:rPr>
                <w:rFonts w:hint="default" w:ascii="Times New Roman" w:hAnsi="Times New Roman" w:eastAsia="宋体" w:cs="Times New Roman"/>
                <w:b/>
                <w:szCs w:val="21"/>
              </w:rPr>
              <w:t xml:space="preserve"> </w:t>
            </w:r>
            <w:r>
              <w:rPr>
                <w:rFonts w:hint="eastAsia" w:ascii="Times New Roman" w:hAnsi="Times New Roman" w:eastAsia="宋体" w:cs="Times New Roman"/>
                <w:b/>
                <w:szCs w:val="21"/>
                <w:lang w:val="en-US" w:eastAsia="zh-CN"/>
              </w:rPr>
              <w:t xml:space="preserve"> </w:t>
            </w:r>
            <w:r>
              <w:rPr>
                <w:rFonts w:hint="eastAsia" w:ascii="Times New Roman" w:hAnsi="Times New Roman" w:eastAsia="宋体" w:cs="Times New Roman"/>
                <w:b/>
                <w:szCs w:val="21"/>
              </w:rPr>
              <w:t>本项目</w:t>
            </w:r>
            <w:r>
              <w:rPr>
                <w:rFonts w:hint="default" w:ascii="Times New Roman" w:hAnsi="Times New Roman" w:eastAsia="宋体" w:cs="Times New Roman"/>
                <w:b/>
                <w:szCs w:val="21"/>
              </w:rPr>
              <w:t>主要环境保护目标</w:t>
            </w:r>
            <w:r>
              <w:rPr>
                <w:rFonts w:hint="eastAsia" w:ascii="Times New Roman" w:hAnsi="Times New Roman" w:eastAsia="宋体" w:cs="Times New Roman"/>
                <w:b/>
                <w:szCs w:val="21"/>
              </w:rPr>
              <w:t>一览表</w:t>
            </w:r>
          </w:p>
          <w:tbl>
            <w:tblPr>
              <w:tblStyle w:val="25"/>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83"/>
              <w:gridCol w:w="1240"/>
              <w:gridCol w:w="715"/>
              <w:gridCol w:w="958"/>
              <w:gridCol w:w="933"/>
              <w:gridCol w:w="930"/>
              <w:gridCol w:w="2429"/>
            </w:tblGrid>
            <w:tr w14:paraId="53656B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705" w:type="pct"/>
                  <w:noWrap w:val="0"/>
                  <w:vAlign w:val="center"/>
                </w:tcPr>
                <w:p w14:paraId="65BF9E50">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rPr>
                  </w:pPr>
                  <w:r>
                    <w:rPr>
                      <w:rFonts w:hint="default" w:ascii="Times New Roman" w:hAnsi="Times New Roman" w:eastAsia="宋体" w:cs="Times New Roman"/>
                      <w:b/>
                      <w:bCs/>
                    </w:rPr>
                    <w:t>环境</w:t>
                  </w:r>
                  <w:r>
                    <w:rPr>
                      <w:rFonts w:hint="eastAsia" w:ascii="Times New Roman" w:hAnsi="Times New Roman" w:eastAsia="宋体" w:cs="Times New Roman"/>
                      <w:b/>
                      <w:bCs/>
                    </w:rPr>
                    <w:t>保护</w:t>
                  </w:r>
                  <w:r>
                    <w:rPr>
                      <w:rFonts w:hint="default" w:ascii="Times New Roman" w:hAnsi="Times New Roman" w:eastAsia="宋体" w:cs="Times New Roman"/>
                      <w:b/>
                      <w:bCs/>
                    </w:rPr>
                    <w:t>要素</w:t>
                  </w:r>
                </w:p>
              </w:tc>
              <w:tc>
                <w:tcPr>
                  <w:tcW w:w="739" w:type="pct"/>
                  <w:noWrap w:val="0"/>
                  <w:vAlign w:val="center"/>
                </w:tcPr>
                <w:p w14:paraId="15F24478">
                  <w:pPr>
                    <w:keepNext w:val="0"/>
                    <w:keepLines w:val="0"/>
                    <w:suppressLineNumbers w:val="0"/>
                    <w:snapToGrid w:val="0"/>
                    <w:spacing w:before="0" w:beforeAutospacing="0" w:after="0" w:afterAutospacing="0"/>
                    <w:ind w:left="0" w:right="0"/>
                    <w:jc w:val="center"/>
                    <w:rPr>
                      <w:rFonts w:hint="eastAsia" w:ascii="Times New Roman" w:hAnsi="Times New Roman" w:eastAsia="宋体" w:cs="Times New Roman"/>
                      <w:b/>
                      <w:bCs/>
                    </w:rPr>
                  </w:pPr>
                  <w:r>
                    <w:rPr>
                      <w:rFonts w:hint="default" w:ascii="Times New Roman" w:hAnsi="Times New Roman" w:eastAsia="宋体" w:cs="Times New Roman"/>
                      <w:b/>
                      <w:bCs/>
                    </w:rPr>
                    <w:t>保护目标</w:t>
                  </w:r>
                  <w:r>
                    <w:rPr>
                      <w:rFonts w:hint="eastAsia" w:ascii="Times New Roman" w:hAnsi="Times New Roman" w:eastAsia="宋体" w:cs="Times New Roman"/>
                      <w:b/>
                      <w:bCs/>
                    </w:rPr>
                    <w:t>名称</w:t>
                  </w:r>
                </w:p>
              </w:tc>
              <w:tc>
                <w:tcPr>
                  <w:tcW w:w="426" w:type="pct"/>
                  <w:noWrap w:val="0"/>
                  <w:vAlign w:val="center"/>
                </w:tcPr>
                <w:p w14:paraId="505FE83F">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rPr>
                  </w:pPr>
                  <w:r>
                    <w:rPr>
                      <w:rFonts w:hint="default" w:ascii="Times New Roman" w:hAnsi="Times New Roman" w:eastAsia="宋体" w:cs="Times New Roman"/>
                      <w:b/>
                      <w:bCs/>
                    </w:rPr>
                    <w:t>方位</w:t>
                  </w:r>
                </w:p>
              </w:tc>
              <w:tc>
                <w:tcPr>
                  <w:tcW w:w="571" w:type="pct"/>
                  <w:noWrap w:val="0"/>
                  <w:vAlign w:val="center"/>
                </w:tcPr>
                <w:p w14:paraId="5D7BD725">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rPr>
                  </w:pPr>
                  <w:r>
                    <w:rPr>
                      <w:rFonts w:hint="eastAsia" w:cs="Times New Roman"/>
                      <w:b/>
                      <w:bCs/>
                      <w:lang w:val="en-US" w:eastAsia="zh-CN"/>
                    </w:rPr>
                    <w:t>与厂界最近</w:t>
                  </w:r>
                  <w:r>
                    <w:rPr>
                      <w:rFonts w:hint="default" w:ascii="Times New Roman" w:hAnsi="Times New Roman" w:eastAsia="宋体" w:cs="Times New Roman"/>
                      <w:b/>
                      <w:bCs/>
                    </w:rPr>
                    <w:t>距离（m）</w:t>
                  </w:r>
                </w:p>
              </w:tc>
              <w:tc>
                <w:tcPr>
                  <w:tcW w:w="556" w:type="pct"/>
                  <w:noWrap w:val="0"/>
                  <w:vAlign w:val="center"/>
                </w:tcPr>
                <w:p w14:paraId="776ECBE7">
                  <w:pPr>
                    <w:keepNext w:val="0"/>
                    <w:keepLines w:val="0"/>
                    <w:suppressLineNumbers w:val="0"/>
                    <w:snapToGrid w:val="0"/>
                    <w:spacing w:before="0" w:beforeAutospacing="0" w:after="0" w:afterAutospacing="0"/>
                    <w:ind w:left="0" w:right="0"/>
                    <w:jc w:val="center"/>
                    <w:rPr>
                      <w:rFonts w:hint="default" w:cs="Times New Roman"/>
                      <w:b/>
                      <w:bCs/>
                      <w:lang w:val="en-US" w:eastAsia="zh-CN"/>
                    </w:rPr>
                  </w:pPr>
                  <w:r>
                    <w:rPr>
                      <w:rFonts w:hint="eastAsia"/>
                      <w:b/>
                      <w:bCs/>
                      <w:vertAlign w:val="baseline"/>
                      <w:lang w:val="en-US" w:eastAsia="zh-CN"/>
                    </w:rPr>
                    <w:t>与生产车间最近距离</w:t>
                  </w:r>
                  <w:r>
                    <w:rPr>
                      <w:rFonts w:hint="default" w:ascii="Times New Roman" w:hAnsi="Times New Roman" w:eastAsia="宋体" w:cs="Times New Roman"/>
                      <w:b/>
                      <w:bCs/>
                    </w:rPr>
                    <w:t>（m）</w:t>
                  </w:r>
                </w:p>
              </w:tc>
              <w:tc>
                <w:tcPr>
                  <w:tcW w:w="554" w:type="pct"/>
                  <w:noWrap w:val="0"/>
                  <w:vAlign w:val="center"/>
                </w:tcPr>
                <w:p w14:paraId="28962EF5">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rPr>
                  </w:pPr>
                  <w:r>
                    <w:rPr>
                      <w:rFonts w:hint="eastAsia" w:cs="Times New Roman"/>
                      <w:b/>
                      <w:bCs/>
                      <w:lang w:val="en-US" w:eastAsia="zh-CN"/>
                    </w:rPr>
                    <w:t>性质/</w:t>
                  </w:r>
                  <w:r>
                    <w:rPr>
                      <w:rFonts w:hint="default" w:ascii="Times New Roman" w:hAnsi="Times New Roman" w:eastAsia="宋体" w:cs="Times New Roman"/>
                      <w:b/>
                      <w:bCs/>
                    </w:rPr>
                    <w:t>规模</w:t>
                  </w:r>
                </w:p>
              </w:tc>
              <w:tc>
                <w:tcPr>
                  <w:tcW w:w="1447" w:type="pct"/>
                  <w:noWrap w:val="0"/>
                  <w:vAlign w:val="center"/>
                </w:tcPr>
                <w:p w14:paraId="2AD81F2B">
                  <w:pPr>
                    <w:keepNext w:val="0"/>
                    <w:keepLines w:val="0"/>
                    <w:suppressLineNumbers w:val="0"/>
                    <w:snapToGrid w:val="0"/>
                    <w:spacing w:before="0" w:beforeAutospacing="0" w:after="0" w:afterAutospacing="0"/>
                    <w:ind w:left="0" w:right="0"/>
                    <w:jc w:val="center"/>
                    <w:rPr>
                      <w:rFonts w:hint="eastAsia" w:ascii="Times New Roman" w:hAnsi="Times New Roman" w:eastAsia="宋体" w:cs="Times New Roman"/>
                      <w:b/>
                      <w:bCs/>
                    </w:rPr>
                  </w:pPr>
                  <w:r>
                    <w:rPr>
                      <w:rFonts w:hint="eastAsia" w:ascii="Times New Roman" w:hAnsi="Times New Roman" w:eastAsia="宋体" w:cs="Times New Roman"/>
                      <w:b/>
                      <w:bCs/>
                    </w:rPr>
                    <w:t>保护级别</w:t>
                  </w:r>
                </w:p>
              </w:tc>
            </w:tr>
            <w:tr w14:paraId="48F603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705" w:type="pct"/>
                  <w:noWrap w:val="0"/>
                  <w:vAlign w:val="center"/>
                </w:tcPr>
                <w:p w14:paraId="05664911">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地表水环境</w:t>
                  </w:r>
                </w:p>
              </w:tc>
              <w:tc>
                <w:tcPr>
                  <w:tcW w:w="739" w:type="pct"/>
                  <w:noWrap w:val="0"/>
                  <w:vAlign w:val="center"/>
                </w:tcPr>
                <w:p w14:paraId="3C9C45C4">
                  <w:pPr>
                    <w:keepNext w:val="0"/>
                    <w:keepLines w:val="0"/>
                    <w:suppressLineNumbers w:val="0"/>
                    <w:snapToGrid w:val="0"/>
                    <w:spacing w:before="0" w:beforeAutospacing="0" w:after="0" w:afterAutospacing="0"/>
                    <w:ind w:left="0" w:right="0"/>
                    <w:jc w:val="center"/>
                    <w:rPr>
                      <w:rFonts w:hint="eastAsia" w:ascii="Times New Roman" w:hAnsi="Times New Roman" w:eastAsia="宋体" w:cs="Times New Roman"/>
                    </w:rPr>
                  </w:pPr>
                  <w:r>
                    <w:rPr>
                      <w:rFonts w:hint="eastAsia" w:cs="Times New Roman"/>
                      <w:lang w:val="en-US" w:eastAsia="zh-CN"/>
                    </w:rPr>
                    <w:t>大洪</w:t>
                  </w:r>
                  <w:r>
                    <w:rPr>
                      <w:rFonts w:hint="eastAsia" w:ascii="Times New Roman" w:hAnsi="Times New Roman" w:eastAsia="宋体" w:cs="Times New Roman"/>
                    </w:rPr>
                    <w:t>河</w:t>
                  </w:r>
                </w:p>
              </w:tc>
              <w:tc>
                <w:tcPr>
                  <w:tcW w:w="426" w:type="pct"/>
                  <w:noWrap w:val="0"/>
                  <w:vAlign w:val="center"/>
                </w:tcPr>
                <w:p w14:paraId="25D015AD">
                  <w:pPr>
                    <w:keepNext w:val="0"/>
                    <w:keepLines w:val="0"/>
                    <w:suppressLineNumbers w:val="0"/>
                    <w:snapToGrid w:val="0"/>
                    <w:spacing w:before="0" w:beforeAutospacing="0" w:after="0" w:afterAutospacing="0"/>
                    <w:ind w:left="0" w:right="0"/>
                    <w:jc w:val="center"/>
                    <w:rPr>
                      <w:rFonts w:hint="eastAsia" w:ascii="Times New Roman" w:hAnsi="Times New Roman" w:eastAsia="宋体" w:cs="Times New Roman"/>
                    </w:rPr>
                  </w:pPr>
                  <w:r>
                    <w:rPr>
                      <w:rFonts w:hint="eastAsia" w:cs="Times New Roman"/>
                      <w:lang w:val="en-US" w:eastAsia="zh-CN"/>
                    </w:rPr>
                    <w:t>东南</w:t>
                  </w:r>
                  <w:r>
                    <w:rPr>
                      <w:rFonts w:hint="eastAsia" w:ascii="Times New Roman" w:hAnsi="Times New Roman" w:eastAsia="宋体" w:cs="Times New Roman"/>
                    </w:rPr>
                    <w:t>侧</w:t>
                  </w:r>
                </w:p>
              </w:tc>
              <w:tc>
                <w:tcPr>
                  <w:tcW w:w="571" w:type="pct"/>
                  <w:noWrap w:val="0"/>
                  <w:vAlign w:val="center"/>
                </w:tcPr>
                <w:p w14:paraId="249D563A">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lang w:val="en-US" w:eastAsia="zh-CN"/>
                    </w:rPr>
                  </w:pPr>
                  <w:r>
                    <w:rPr>
                      <w:rFonts w:hint="eastAsia" w:cs="Times New Roman"/>
                      <w:lang w:val="en-US" w:eastAsia="zh-CN"/>
                    </w:rPr>
                    <w:t>65</w:t>
                  </w:r>
                </w:p>
              </w:tc>
              <w:tc>
                <w:tcPr>
                  <w:tcW w:w="556" w:type="pct"/>
                  <w:noWrap w:val="0"/>
                  <w:vAlign w:val="center"/>
                </w:tcPr>
                <w:p w14:paraId="39CA01E4">
                  <w:pPr>
                    <w:keepNext w:val="0"/>
                    <w:keepLines w:val="0"/>
                    <w:suppressLineNumbers w:val="0"/>
                    <w:snapToGrid w:val="0"/>
                    <w:spacing w:before="0" w:beforeAutospacing="0" w:after="0" w:afterAutospacing="0"/>
                    <w:ind w:left="0" w:right="0"/>
                    <w:jc w:val="center"/>
                    <w:rPr>
                      <w:rFonts w:hint="default" w:cs="Times New Roman"/>
                      <w:lang w:val="en-US" w:eastAsia="zh-CN"/>
                    </w:rPr>
                  </w:pPr>
                  <w:r>
                    <w:rPr>
                      <w:rFonts w:hint="eastAsia" w:cs="Times New Roman"/>
                      <w:lang w:val="en-US" w:eastAsia="zh-CN"/>
                    </w:rPr>
                    <w:t>108</w:t>
                  </w:r>
                </w:p>
              </w:tc>
              <w:tc>
                <w:tcPr>
                  <w:tcW w:w="554" w:type="pct"/>
                  <w:noWrap w:val="0"/>
                  <w:vAlign w:val="center"/>
                </w:tcPr>
                <w:p w14:paraId="4D8D9198">
                  <w:pPr>
                    <w:keepNext w:val="0"/>
                    <w:keepLines w:val="0"/>
                    <w:suppressLineNumbers w:val="0"/>
                    <w:snapToGrid w:val="0"/>
                    <w:spacing w:before="0" w:beforeAutospacing="0" w:after="0" w:afterAutospacing="0"/>
                    <w:ind w:left="0" w:right="0"/>
                    <w:jc w:val="center"/>
                    <w:rPr>
                      <w:rFonts w:hint="eastAsia" w:ascii="Times New Roman" w:hAnsi="Times New Roman" w:eastAsia="宋体" w:cs="Times New Roman"/>
                    </w:rPr>
                  </w:pPr>
                  <w:r>
                    <w:rPr>
                      <w:rFonts w:hint="default" w:ascii="Times New Roman" w:hAnsi="Times New Roman" w:eastAsia="宋体" w:cs="Times New Roman"/>
                      <w:szCs w:val="21"/>
                    </w:rPr>
                    <w:t>行洪</w:t>
                  </w:r>
                  <w:r>
                    <w:rPr>
                      <w:rFonts w:hint="eastAsia" w:ascii="Times New Roman" w:hAnsi="Times New Roman" w:eastAsia="宋体" w:cs="Times New Roman"/>
                      <w:szCs w:val="21"/>
                    </w:rPr>
                    <w:t>、</w:t>
                  </w:r>
                  <w:r>
                    <w:rPr>
                      <w:rFonts w:hint="default" w:ascii="Times New Roman" w:hAnsi="Times New Roman" w:eastAsia="宋体" w:cs="Times New Roman"/>
                      <w:szCs w:val="21"/>
                    </w:rPr>
                    <w:t>纳污</w:t>
                  </w:r>
                  <w:r>
                    <w:rPr>
                      <w:rFonts w:hint="eastAsia" w:ascii="Times New Roman" w:hAnsi="Times New Roman" w:eastAsia="宋体" w:cs="Times New Roman"/>
                      <w:szCs w:val="21"/>
                    </w:rPr>
                    <w:t>、</w:t>
                  </w:r>
                  <w:r>
                    <w:rPr>
                      <w:rFonts w:hint="default" w:ascii="Times New Roman" w:hAnsi="Times New Roman" w:eastAsia="宋体" w:cs="Times New Roman"/>
                      <w:szCs w:val="21"/>
                    </w:rPr>
                    <w:t>灌溉</w:t>
                  </w:r>
                </w:p>
              </w:tc>
              <w:tc>
                <w:tcPr>
                  <w:tcW w:w="1447" w:type="pct"/>
                  <w:noWrap w:val="0"/>
                  <w:vAlign w:val="center"/>
                </w:tcPr>
                <w:p w14:paraId="6090E2EC">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《地表水环境质量标准》(GB3838-2002)中</w:t>
                  </w:r>
                  <w:r>
                    <w:rPr>
                      <w:rFonts w:hint="eastAsia" w:ascii="Times New Roman" w:hAnsi="Times New Roman" w:eastAsia="宋体" w:cs="Times New Roman"/>
                      <w:szCs w:val="21"/>
                    </w:rPr>
                    <w:t>Ⅲ</w:t>
                  </w:r>
                  <w:r>
                    <w:rPr>
                      <w:rFonts w:hint="default" w:ascii="Times New Roman" w:hAnsi="Times New Roman" w:eastAsia="宋体" w:cs="Times New Roman"/>
                    </w:rPr>
                    <w:t>类标准</w:t>
                  </w:r>
                </w:p>
              </w:tc>
            </w:tr>
            <w:tr w14:paraId="13BD82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705" w:type="pct"/>
                  <w:vMerge w:val="restart"/>
                  <w:noWrap w:val="0"/>
                  <w:vAlign w:val="center"/>
                </w:tcPr>
                <w:p w14:paraId="53F3A2A1">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声环境</w:t>
                  </w:r>
                </w:p>
              </w:tc>
              <w:tc>
                <w:tcPr>
                  <w:tcW w:w="739" w:type="pct"/>
                  <w:noWrap w:val="0"/>
                  <w:vAlign w:val="center"/>
                </w:tcPr>
                <w:p w14:paraId="3A570F94">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lang w:val="en-US" w:eastAsia="zh-CN"/>
                    </w:rPr>
                  </w:pPr>
                  <w:r>
                    <w:rPr>
                      <w:rFonts w:hint="eastAsia"/>
                      <w:vertAlign w:val="baseline"/>
                      <w:lang w:val="en-US" w:eastAsia="zh-CN"/>
                    </w:rPr>
                    <w:t>大鱼箭1#居民点</w:t>
                  </w:r>
                </w:p>
              </w:tc>
              <w:tc>
                <w:tcPr>
                  <w:tcW w:w="426" w:type="pct"/>
                  <w:noWrap w:val="0"/>
                  <w:vAlign w:val="center"/>
                </w:tcPr>
                <w:p w14:paraId="1D9BEB1E">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rPr>
                  </w:pPr>
                  <w:r>
                    <w:rPr>
                      <w:rFonts w:hint="eastAsia" w:ascii="Times New Roman" w:hAnsi="Times New Roman" w:eastAsia="宋体"/>
                      <w:color w:val="auto"/>
                      <w:sz w:val="21"/>
                      <w:szCs w:val="21"/>
                      <w:lang w:val="en-US" w:eastAsia="zh-CN"/>
                    </w:rPr>
                    <w:t>南</w:t>
                  </w:r>
                  <w:r>
                    <w:rPr>
                      <w:rFonts w:hint="eastAsia" w:ascii="Times New Roman" w:hAnsi="Times New Roman" w:eastAsia="宋体"/>
                      <w:color w:val="auto"/>
                      <w:sz w:val="21"/>
                      <w:szCs w:val="21"/>
                    </w:rPr>
                    <w:t>侧</w:t>
                  </w:r>
                </w:p>
              </w:tc>
              <w:tc>
                <w:tcPr>
                  <w:tcW w:w="571" w:type="pct"/>
                  <w:noWrap w:val="0"/>
                  <w:vAlign w:val="center"/>
                </w:tcPr>
                <w:p w14:paraId="4B36A6B7">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default" w:ascii="Times New Roman" w:hAnsi="Times New Roman" w:eastAsia="宋体" w:cs="Times New Roman"/>
                    </w:rPr>
                  </w:pPr>
                  <w:r>
                    <w:rPr>
                      <w:rFonts w:hint="eastAsia" w:ascii="Times New Roman" w:hAnsi="Times New Roman" w:eastAsia="宋体"/>
                      <w:color w:val="auto"/>
                      <w:sz w:val="21"/>
                      <w:szCs w:val="21"/>
                      <w:lang w:val="en-US" w:eastAsia="zh-CN"/>
                    </w:rPr>
                    <w:t>25</w:t>
                  </w:r>
                </w:p>
              </w:tc>
              <w:tc>
                <w:tcPr>
                  <w:tcW w:w="556" w:type="pct"/>
                  <w:noWrap w:val="0"/>
                  <w:vAlign w:val="center"/>
                </w:tcPr>
                <w:p w14:paraId="1A42914E">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72</w:t>
                  </w:r>
                </w:p>
              </w:tc>
              <w:tc>
                <w:tcPr>
                  <w:tcW w:w="554" w:type="pct"/>
                  <w:noWrap w:val="0"/>
                  <w:vAlign w:val="center"/>
                </w:tcPr>
                <w:p w14:paraId="15A86C89">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rPr>
                  </w:pPr>
                  <w:r>
                    <w:rPr>
                      <w:rFonts w:hint="eastAsia" w:cs="Times New Roman"/>
                      <w:szCs w:val="21"/>
                      <w:lang w:val="en-US" w:eastAsia="zh-CN"/>
                    </w:rPr>
                    <w:t>2户，6人</w:t>
                  </w:r>
                </w:p>
              </w:tc>
              <w:tc>
                <w:tcPr>
                  <w:tcW w:w="1447" w:type="pct"/>
                  <w:vMerge w:val="restart"/>
                  <w:noWrap w:val="0"/>
                  <w:vAlign w:val="center"/>
                </w:tcPr>
                <w:p w14:paraId="16F4B40C">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《声环境质量标准》(GB3096-</w:t>
                  </w:r>
                  <w:r>
                    <w:rPr>
                      <w:rFonts w:hint="eastAsia" w:ascii="Times New Roman" w:hAnsi="Times New Roman" w:eastAsia="宋体" w:cs="Times New Roman"/>
                    </w:rPr>
                    <w:t>2</w:t>
                  </w:r>
                  <w:r>
                    <w:rPr>
                      <w:rFonts w:hint="default" w:ascii="Times New Roman" w:hAnsi="Times New Roman" w:eastAsia="宋体" w:cs="Times New Roman"/>
                    </w:rPr>
                    <w:t>008)中的</w:t>
                  </w:r>
                  <w:r>
                    <w:rPr>
                      <w:rFonts w:hint="eastAsia" w:cs="Times New Roman"/>
                      <w:lang w:val="en-US" w:eastAsia="zh-CN"/>
                    </w:rPr>
                    <w:t>2</w:t>
                  </w:r>
                  <w:r>
                    <w:rPr>
                      <w:rFonts w:hint="default" w:ascii="Times New Roman" w:hAnsi="Times New Roman" w:eastAsia="宋体" w:cs="Times New Roman"/>
                    </w:rPr>
                    <w:t>类标准</w:t>
                  </w:r>
                </w:p>
              </w:tc>
            </w:tr>
            <w:tr w14:paraId="04F248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705" w:type="pct"/>
                  <w:vMerge w:val="continue"/>
                  <w:noWrap w:val="0"/>
                  <w:vAlign w:val="center"/>
                </w:tcPr>
                <w:p w14:paraId="64A6C73E">
                  <w:pPr>
                    <w:keepNext w:val="0"/>
                    <w:keepLines w:val="0"/>
                    <w:suppressLineNumbers w:val="0"/>
                    <w:snapToGrid w:val="0"/>
                    <w:spacing w:before="0" w:beforeAutospacing="0" w:after="0" w:afterAutospacing="0"/>
                    <w:ind w:left="0" w:right="0"/>
                    <w:jc w:val="center"/>
                    <w:rPr>
                      <w:rFonts w:hint="default"/>
                    </w:rPr>
                  </w:pPr>
                </w:p>
              </w:tc>
              <w:tc>
                <w:tcPr>
                  <w:tcW w:w="739" w:type="pct"/>
                  <w:noWrap w:val="0"/>
                  <w:vAlign w:val="center"/>
                </w:tcPr>
                <w:p w14:paraId="3097186F">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rPr>
                  </w:pPr>
                  <w:r>
                    <w:rPr>
                      <w:rFonts w:hint="eastAsia"/>
                      <w:vertAlign w:val="baseline"/>
                      <w:lang w:val="en-US" w:eastAsia="zh-CN"/>
                    </w:rPr>
                    <w:t>大鱼箭2#居民点</w:t>
                  </w:r>
                </w:p>
              </w:tc>
              <w:tc>
                <w:tcPr>
                  <w:tcW w:w="426" w:type="pct"/>
                  <w:noWrap w:val="0"/>
                  <w:vAlign w:val="center"/>
                </w:tcPr>
                <w:p w14:paraId="71E1A40D">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rPr>
                  </w:pPr>
                  <w:r>
                    <w:rPr>
                      <w:rFonts w:hint="eastAsia" w:ascii="Times New Roman" w:hAnsi="Times New Roman" w:eastAsia="宋体"/>
                      <w:color w:val="auto"/>
                      <w:sz w:val="21"/>
                      <w:szCs w:val="21"/>
                      <w:lang w:val="en-US" w:eastAsia="zh-CN"/>
                    </w:rPr>
                    <w:t>西南</w:t>
                  </w:r>
                  <w:r>
                    <w:rPr>
                      <w:rFonts w:hint="eastAsia" w:ascii="Times New Roman" w:hAnsi="Times New Roman" w:eastAsia="宋体"/>
                      <w:color w:val="auto"/>
                      <w:sz w:val="21"/>
                      <w:szCs w:val="21"/>
                    </w:rPr>
                    <w:t>侧</w:t>
                  </w:r>
                </w:p>
              </w:tc>
              <w:tc>
                <w:tcPr>
                  <w:tcW w:w="571" w:type="pct"/>
                  <w:noWrap w:val="0"/>
                  <w:vAlign w:val="center"/>
                </w:tcPr>
                <w:p w14:paraId="23258904">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default" w:ascii="Times New Roman" w:hAnsi="Times New Roman" w:eastAsia="宋体" w:cs="Times New Roman"/>
                    </w:rPr>
                  </w:pPr>
                  <w:r>
                    <w:rPr>
                      <w:rFonts w:hint="eastAsia" w:ascii="Times New Roman" w:hAnsi="Times New Roman" w:eastAsia="宋体"/>
                      <w:color w:val="auto"/>
                      <w:sz w:val="21"/>
                      <w:szCs w:val="21"/>
                      <w:lang w:val="en-US" w:eastAsia="zh-CN"/>
                    </w:rPr>
                    <w:t>50</w:t>
                  </w:r>
                </w:p>
              </w:tc>
              <w:tc>
                <w:tcPr>
                  <w:tcW w:w="556" w:type="pct"/>
                  <w:noWrap w:val="0"/>
                  <w:vAlign w:val="center"/>
                </w:tcPr>
                <w:p w14:paraId="233D6BC6">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70</w:t>
                  </w:r>
                </w:p>
              </w:tc>
              <w:tc>
                <w:tcPr>
                  <w:tcW w:w="554" w:type="pct"/>
                  <w:noWrap w:val="0"/>
                  <w:vAlign w:val="center"/>
                </w:tcPr>
                <w:p w14:paraId="76A7BC6F">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rPr>
                  </w:pPr>
                  <w:r>
                    <w:rPr>
                      <w:rFonts w:hint="eastAsia" w:cs="Times New Roman"/>
                      <w:szCs w:val="21"/>
                      <w:lang w:val="en-US" w:eastAsia="zh-CN"/>
                    </w:rPr>
                    <w:t>约40户，150人</w:t>
                  </w:r>
                </w:p>
              </w:tc>
              <w:tc>
                <w:tcPr>
                  <w:tcW w:w="1447" w:type="pct"/>
                  <w:vMerge w:val="continue"/>
                  <w:noWrap w:val="0"/>
                  <w:vAlign w:val="center"/>
                </w:tcPr>
                <w:p w14:paraId="6417205A">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rPr>
                  </w:pPr>
                </w:p>
              </w:tc>
            </w:tr>
            <w:tr w14:paraId="7C3AD7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705" w:type="pct"/>
                  <w:vMerge w:val="continue"/>
                  <w:noWrap w:val="0"/>
                  <w:vAlign w:val="center"/>
                </w:tcPr>
                <w:p w14:paraId="1A404CE8">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rPr>
                  </w:pPr>
                </w:p>
              </w:tc>
              <w:tc>
                <w:tcPr>
                  <w:tcW w:w="739" w:type="pct"/>
                  <w:noWrap w:val="0"/>
                  <w:vAlign w:val="center"/>
                </w:tcPr>
                <w:p w14:paraId="694EF90E">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lang w:val="en-US"/>
                    </w:rPr>
                  </w:pPr>
                  <w:r>
                    <w:rPr>
                      <w:rFonts w:hint="eastAsia" w:ascii="Times New Roman" w:hAnsi="Times New Roman" w:eastAsia="宋体"/>
                      <w:color w:val="auto"/>
                      <w:sz w:val="21"/>
                      <w:szCs w:val="21"/>
                      <w:lang w:val="en-US" w:eastAsia="zh-CN"/>
                    </w:rPr>
                    <w:t>张家湾居民点</w:t>
                  </w:r>
                  <w:r>
                    <w:rPr>
                      <w:rFonts w:hint="eastAsia"/>
                      <w:color w:val="auto"/>
                      <w:sz w:val="21"/>
                      <w:szCs w:val="21"/>
                      <w:lang w:val="en-US" w:eastAsia="zh-CN"/>
                    </w:rPr>
                    <w:t>1#居民点</w:t>
                  </w:r>
                </w:p>
              </w:tc>
              <w:tc>
                <w:tcPr>
                  <w:tcW w:w="426" w:type="pct"/>
                  <w:noWrap w:val="0"/>
                  <w:vAlign w:val="center"/>
                </w:tcPr>
                <w:p w14:paraId="7127C9B2">
                  <w:pPr>
                    <w:keepNext w:val="0"/>
                    <w:keepLines w:val="0"/>
                    <w:suppressLineNumbers w:val="0"/>
                    <w:snapToGrid w:val="0"/>
                    <w:spacing w:before="0" w:beforeAutospacing="0" w:after="0" w:afterAutospacing="0"/>
                    <w:ind w:left="0" w:right="0"/>
                    <w:jc w:val="center"/>
                    <w:rPr>
                      <w:rFonts w:hint="eastAsia" w:ascii="Times New Roman" w:hAnsi="Times New Roman" w:eastAsia="宋体" w:cs="Times New Roman"/>
                      <w:lang w:val="en-US" w:eastAsia="zh-CN"/>
                    </w:rPr>
                  </w:pPr>
                  <w:r>
                    <w:rPr>
                      <w:rFonts w:hint="eastAsia" w:cs="Times New Roman"/>
                      <w:lang w:val="en-US" w:eastAsia="zh-CN"/>
                    </w:rPr>
                    <w:t>东侧</w:t>
                  </w:r>
                </w:p>
              </w:tc>
              <w:tc>
                <w:tcPr>
                  <w:tcW w:w="571" w:type="pct"/>
                  <w:noWrap w:val="0"/>
                  <w:vAlign w:val="center"/>
                </w:tcPr>
                <w:p w14:paraId="50933B08">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default" w:ascii="Times New Roman" w:hAnsi="Times New Roman" w:eastAsia="宋体" w:cs="Times New Roman"/>
                    </w:rPr>
                  </w:pPr>
                  <w:r>
                    <w:rPr>
                      <w:rFonts w:hint="eastAsia" w:ascii="Times New Roman" w:hAnsi="Times New Roman" w:eastAsia="宋体"/>
                      <w:color w:val="auto"/>
                      <w:sz w:val="21"/>
                      <w:szCs w:val="21"/>
                      <w:lang w:val="en-US" w:eastAsia="zh-CN"/>
                    </w:rPr>
                    <w:t>34</w:t>
                  </w:r>
                </w:p>
              </w:tc>
              <w:tc>
                <w:tcPr>
                  <w:tcW w:w="556" w:type="pct"/>
                  <w:noWrap w:val="0"/>
                  <w:vAlign w:val="center"/>
                </w:tcPr>
                <w:p w14:paraId="21DEC5F5">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60</w:t>
                  </w:r>
                </w:p>
              </w:tc>
              <w:tc>
                <w:tcPr>
                  <w:tcW w:w="554" w:type="pct"/>
                  <w:noWrap w:val="0"/>
                  <w:vAlign w:val="center"/>
                </w:tcPr>
                <w:p w14:paraId="6F987FF7">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both"/>
                    <w:textAlignment w:val="auto"/>
                    <w:rPr>
                      <w:rFonts w:hint="default" w:ascii="Times New Roman" w:hAnsi="Times New Roman" w:eastAsia="宋体" w:cs="Times New Roman"/>
                    </w:rPr>
                  </w:pPr>
                  <w:r>
                    <w:rPr>
                      <w:rFonts w:hint="eastAsia" w:cs="Times New Roman"/>
                      <w:szCs w:val="21"/>
                      <w:lang w:val="en-US" w:eastAsia="zh-CN"/>
                    </w:rPr>
                    <w:t>2户，6人</w:t>
                  </w:r>
                </w:p>
              </w:tc>
              <w:tc>
                <w:tcPr>
                  <w:tcW w:w="1447" w:type="pct"/>
                  <w:vMerge w:val="continue"/>
                  <w:noWrap w:val="0"/>
                  <w:vAlign w:val="center"/>
                </w:tcPr>
                <w:p w14:paraId="51AB13F0">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rPr>
                  </w:pPr>
                </w:p>
              </w:tc>
            </w:tr>
            <w:tr w14:paraId="3A1E06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705" w:type="pct"/>
                  <w:vMerge w:val="restart"/>
                  <w:noWrap w:val="0"/>
                  <w:vAlign w:val="center"/>
                </w:tcPr>
                <w:p w14:paraId="33E248DE">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大气环境</w:t>
                  </w:r>
                </w:p>
              </w:tc>
              <w:tc>
                <w:tcPr>
                  <w:tcW w:w="739" w:type="pct"/>
                  <w:noWrap w:val="0"/>
                  <w:vAlign w:val="center"/>
                </w:tcPr>
                <w:p w14:paraId="626E2369">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ascii="Times New Roman" w:hAnsi="Times New Roman" w:eastAsia="宋体" w:cs="宋体"/>
                      <w:szCs w:val="21"/>
                      <w:lang w:val="en-US" w:eastAsia="zh-CN"/>
                    </w:rPr>
                  </w:pPr>
                  <w:r>
                    <w:rPr>
                      <w:rFonts w:hint="eastAsia"/>
                      <w:vertAlign w:val="baseline"/>
                      <w:lang w:val="en-US" w:eastAsia="zh-CN"/>
                    </w:rPr>
                    <w:t>大鱼箭1#居民点</w:t>
                  </w:r>
                </w:p>
              </w:tc>
              <w:tc>
                <w:tcPr>
                  <w:tcW w:w="426" w:type="pct"/>
                  <w:noWrap w:val="0"/>
                  <w:vAlign w:val="center"/>
                </w:tcPr>
                <w:p w14:paraId="44ADFAC6">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ascii="Times New Roman" w:hAnsi="Times New Roman" w:eastAsia="宋体" w:cs="Times New Roman"/>
                    </w:rPr>
                  </w:pPr>
                  <w:r>
                    <w:rPr>
                      <w:rFonts w:hint="eastAsia" w:ascii="Times New Roman" w:hAnsi="Times New Roman" w:eastAsia="宋体"/>
                      <w:color w:val="auto"/>
                      <w:sz w:val="21"/>
                      <w:szCs w:val="21"/>
                      <w:lang w:val="en-US" w:eastAsia="zh-CN"/>
                    </w:rPr>
                    <w:t>南</w:t>
                  </w:r>
                  <w:r>
                    <w:rPr>
                      <w:rFonts w:hint="eastAsia" w:ascii="Times New Roman" w:hAnsi="Times New Roman" w:eastAsia="宋体"/>
                      <w:color w:val="auto"/>
                      <w:sz w:val="21"/>
                      <w:szCs w:val="21"/>
                    </w:rPr>
                    <w:t>侧</w:t>
                  </w:r>
                </w:p>
              </w:tc>
              <w:tc>
                <w:tcPr>
                  <w:tcW w:w="571" w:type="pct"/>
                  <w:noWrap w:val="0"/>
                  <w:vAlign w:val="center"/>
                </w:tcPr>
                <w:p w14:paraId="466FD0B2">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ascii="Times New Roman" w:hAnsi="Times New Roman" w:eastAsia="宋体" w:cs="Times New Roman"/>
                    </w:rPr>
                  </w:pPr>
                  <w:r>
                    <w:rPr>
                      <w:rFonts w:hint="eastAsia" w:ascii="Times New Roman" w:hAnsi="Times New Roman" w:eastAsia="宋体"/>
                      <w:color w:val="auto"/>
                      <w:sz w:val="21"/>
                      <w:szCs w:val="21"/>
                      <w:lang w:val="en-US" w:eastAsia="zh-CN"/>
                    </w:rPr>
                    <w:t>25</w:t>
                  </w:r>
                  <w:r>
                    <w:rPr>
                      <w:rFonts w:hint="eastAsia" w:ascii="Times New Roman" w:hAnsi="Times New Roman" w:eastAsia="宋体"/>
                      <w:color w:val="auto"/>
                      <w:sz w:val="21"/>
                      <w:szCs w:val="21"/>
                    </w:rPr>
                    <w:t>m</w:t>
                  </w:r>
                </w:p>
              </w:tc>
              <w:tc>
                <w:tcPr>
                  <w:tcW w:w="556" w:type="pct"/>
                  <w:noWrap w:val="0"/>
                  <w:vAlign w:val="center"/>
                </w:tcPr>
                <w:p w14:paraId="588DFD2C">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72</w:t>
                  </w:r>
                  <w:r>
                    <w:rPr>
                      <w:rFonts w:hint="eastAsia" w:ascii="Times New Roman" w:hAnsi="Times New Roman" w:eastAsia="宋体"/>
                      <w:color w:val="auto"/>
                      <w:sz w:val="21"/>
                      <w:szCs w:val="21"/>
                    </w:rPr>
                    <w:t>m</w:t>
                  </w:r>
                </w:p>
              </w:tc>
              <w:tc>
                <w:tcPr>
                  <w:tcW w:w="554" w:type="pct"/>
                  <w:noWrap w:val="0"/>
                  <w:vAlign w:val="center"/>
                </w:tcPr>
                <w:p w14:paraId="5BB655AC">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ascii="Times New Roman" w:hAnsi="Times New Roman" w:eastAsia="宋体" w:cs="Times New Roman"/>
                    </w:rPr>
                  </w:pPr>
                  <w:r>
                    <w:rPr>
                      <w:rFonts w:hint="eastAsia" w:cs="Times New Roman"/>
                      <w:szCs w:val="21"/>
                      <w:lang w:val="en-US" w:eastAsia="zh-CN"/>
                    </w:rPr>
                    <w:t>3户，10人</w:t>
                  </w:r>
                </w:p>
              </w:tc>
              <w:tc>
                <w:tcPr>
                  <w:tcW w:w="1447" w:type="pct"/>
                  <w:vMerge w:val="restart"/>
                  <w:noWrap w:val="0"/>
                  <w:vAlign w:val="center"/>
                </w:tcPr>
                <w:p w14:paraId="50325A66">
                  <w:pPr>
                    <w:keepNext w:val="0"/>
                    <w:keepLines w:val="0"/>
                    <w:suppressLineNumbers w:val="0"/>
                    <w:snapToGrid w:val="0"/>
                    <w:spacing w:before="0" w:beforeAutospacing="0" w:after="0" w:afterAutospacing="0"/>
                    <w:ind w:left="0" w:right="0"/>
                    <w:jc w:val="center"/>
                    <w:rPr>
                      <w:rFonts w:hint="eastAsia" w:ascii="Times New Roman" w:hAnsi="Times New Roman" w:eastAsia="宋体" w:cs="宋体"/>
                      <w:szCs w:val="21"/>
                      <w:lang w:bidi="ar"/>
                    </w:rPr>
                  </w:pPr>
                  <w:r>
                    <w:rPr>
                      <w:rFonts w:hint="eastAsia" w:ascii="Times New Roman" w:hAnsi="Times New Roman" w:eastAsia="宋体" w:cs="宋体"/>
                      <w:szCs w:val="21"/>
                      <w:lang w:bidi="ar"/>
                    </w:rPr>
                    <w:t>《环境空气质量标准》（</w:t>
                  </w:r>
                  <w:r>
                    <w:rPr>
                      <w:rFonts w:hint="default" w:ascii="Times New Roman" w:hAnsi="Times New Roman" w:eastAsia="宋体" w:cs="Times New Roman"/>
                      <w:szCs w:val="21"/>
                      <w:lang w:bidi="ar"/>
                    </w:rPr>
                    <w:t>GB3095-2012</w:t>
                  </w:r>
                  <w:r>
                    <w:rPr>
                      <w:rFonts w:hint="eastAsia" w:ascii="Times New Roman" w:hAnsi="Times New Roman" w:eastAsia="宋体" w:cs="宋体"/>
                      <w:szCs w:val="21"/>
                      <w:lang w:bidi="ar"/>
                    </w:rPr>
                    <w:t>）二级标准</w:t>
                  </w:r>
                </w:p>
                <w:p w14:paraId="29F050E7">
                  <w:pPr>
                    <w:keepNext w:val="0"/>
                    <w:keepLines w:val="0"/>
                    <w:suppressLineNumbers w:val="0"/>
                    <w:snapToGrid w:val="0"/>
                    <w:spacing w:before="0" w:beforeAutospacing="0" w:after="0" w:afterAutospacing="0"/>
                    <w:ind w:left="0" w:right="0"/>
                    <w:jc w:val="center"/>
                    <w:rPr>
                      <w:rFonts w:hint="eastAsia" w:ascii="Times New Roman" w:hAnsi="Times New Roman" w:eastAsia="宋体" w:cs="Times New Roman"/>
                    </w:rPr>
                  </w:pPr>
                  <w:r>
                    <w:rPr>
                      <w:rFonts w:hint="eastAsia" w:ascii="Times New Roman" w:hAnsi="Times New Roman" w:eastAsia="宋体" w:cs="Times New Roman"/>
                    </w:rPr>
                    <w:t>/</w:t>
                  </w:r>
                </w:p>
                <w:p w14:paraId="0F90608C">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rPr>
                  </w:pPr>
                  <w:r>
                    <w:rPr>
                      <w:rFonts w:hint="eastAsia" w:ascii="Times New Roman" w:hAnsi="Times New Roman" w:eastAsia="宋体" w:cs="Times New Roman"/>
                    </w:rPr>
                    <w:t>/</w:t>
                  </w:r>
                </w:p>
              </w:tc>
            </w:tr>
            <w:tr w14:paraId="426879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705" w:type="pct"/>
                  <w:vMerge w:val="continue"/>
                  <w:noWrap w:val="0"/>
                  <w:vAlign w:val="center"/>
                </w:tcPr>
                <w:p w14:paraId="586A8796">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rPr>
                  </w:pPr>
                </w:p>
              </w:tc>
              <w:tc>
                <w:tcPr>
                  <w:tcW w:w="739" w:type="pct"/>
                  <w:noWrap w:val="0"/>
                  <w:vAlign w:val="center"/>
                </w:tcPr>
                <w:p w14:paraId="7B56B825">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ascii="Times New Roman" w:hAnsi="Times New Roman" w:eastAsia="宋体" w:cs="宋体"/>
                      <w:szCs w:val="21"/>
                      <w:lang w:val="en-US" w:eastAsia="zh-CN"/>
                    </w:rPr>
                  </w:pPr>
                  <w:r>
                    <w:rPr>
                      <w:rFonts w:hint="eastAsia"/>
                      <w:vertAlign w:val="baseline"/>
                      <w:lang w:val="en-US" w:eastAsia="zh-CN"/>
                    </w:rPr>
                    <w:t>大鱼箭2#居民点</w:t>
                  </w:r>
                </w:p>
              </w:tc>
              <w:tc>
                <w:tcPr>
                  <w:tcW w:w="426" w:type="pct"/>
                  <w:noWrap w:val="0"/>
                  <w:vAlign w:val="center"/>
                </w:tcPr>
                <w:p w14:paraId="1D9C0020">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ascii="Times New Roman" w:hAnsi="Times New Roman" w:eastAsia="宋体" w:cs="Times New Roman"/>
                    </w:rPr>
                  </w:pPr>
                  <w:r>
                    <w:rPr>
                      <w:rFonts w:hint="eastAsia" w:ascii="Times New Roman" w:hAnsi="Times New Roman" w:eastAsia="宋体"/>
                      <w:color w:val="auto"/>
                      <w:sz w:val="21"/>
                      <w:szCs w:val="21"/>
                      <w:lang w:val="en-US" w:eastAsia="zh-CN"/>
                    </w:rPr>
                    <w:t>西南</w:t>
                  </w:r>
                  <w:r>
                    <w:rPr>
                      <w:rFonts w:hint="eastAsia" w:ascii="Times New Roman" w:hAnsi="Times New Roman" w:eastAsia="宋体"/>
                      <w:color w:val="auto"/>
                      <w:sz w:val="21"/>
                      <w:szCs w:val="21"/>
                    </w:rPr>
                    <w:t>侧</w:t>
                  </w:r>
                </w:p>
              </w:tc>
              <w:tc>
                <w:tcPr>
                  <w:tcW w:w="571" w:type="pct"/>
                  <w:noWrap w:val="0"/>
                  <w:vAlign w:val="center"/>
                </w:tcPr>
                <w:p w14:paraId="2F9C9997">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ascii="Times New Roman" w:hAnsi="Times New Roman" w:eastAsia="宋体" w:cs="Times New Roman"/>
                    </w:rPr>
                  </w:pPr>
                  <w:r>
                    <w:rPr>
                      <w:rFonts w:hint="eastAsia" w:ascii="Times New Roman" w:hAnsi="Times New Roman" w:eastAsia="宋体"/>
                      <w:color w:val="auto"/>
                      <w:sz w:val="21"/>
                      <w:szCs w:val="21"/>
                      <w:lang w:val="en-US" w:eastAsia="zh-CN"/>
                    </w:rPr>
                    <w:t>50</w:t>
                  </w:r>
                  <w:r>
                    <w:rPr>
                      <w:rFonts w:hint="eastAsia" w:ascii="Times New Roman" w:hAnsi="Times New Roman" w:eastAsia="宋体"/>
                      <w:color w:val="auto"/>
                      <w:sz w:val="21"/>
                      <w:szCs w:val="21"/>
                    </w:rPr>
                    <w:t>m</w:t>
                  </w:r>
                </w:p>
              </w:tc>
              <w:tc>
                <w:tcPr>
                  <w:tcW w:w="556" w:type="pct"/>
                  <w:noWrap w:val="0"/>
                  <w:vAlign w:val="center"/>
                </w:tcPr>
                <w:p w14:paraId="6ADC6B29">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70</w:t>
                  </w:r>
                  <w:r>
                    <w:rPr>
                      <w:rFonts w:hint="eastAsia" w:ascii="Times New Roman" w:hAnsi="Times New Roman" w:eastAsia="宋体"/>
                      <w:color w:val="auto"/>
                      <w:sz w:val="21"/>
                      <w:szCs w:val="21"/>
                    </w:rPr>
                    <w:t>m</w:t>
                  </w:r>
                </w:p>
              </w:tc>
              <w:tc>
                <w:tcPr>
                  <w:tcW w:w="554" w:type="pct"/>
                  <w:noWrap w:val="0"/>
                  <w:vAlign w:val="center"/>
                </w:tcPr>
                <w:p w14:paraId="6A79EC90">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ascii="Times New Roman" w:hAnsi="Times New Roman" w:eastAsia="宋体" w:cs="Times New Roman"/>
                    </w:rPr>
                  </w:pPr>
                  <w:r>
                    <w:rPr>
                      <w:rFonts w:hint="eastAsia" w:cs="Times New Roman"/>
                      <w:szCs w:val="21"/>
                      <w:lang w:val="en-US" w:eastAsia="zh-CN"/>
                    </w:rPr>
                    <w:t>2户，6人</w:t>
                  </w:r>
                </w:p>
              </w:tc>
              <w:tc>
                <w:tcPr>
                  <w:tcW w:w="1447" w:type="pct"/>
                  <w:vMerge w:val="continue"/>
                  <w:noWrap w:val="0"/>
                  <w:vAlign w:val="center"/>
                </w:tcPr>
                <w:p w14:paraId="20AA65A6">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rPr>
                  </w:pPr>
                </w:p>
              </w:tc>
            </w:tr>
            <w:tr w14:paraId="51B7B3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705" w:type="pct"/>
                  <w:vMerge w:val="continue"/>
                  <w:noWrap w:val="0"/>
                  <w:vAlign w:val="center"/>
                </w:tcPr>
                <w:p w14:paraId="71CF5320">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rPr>
                  </w:pPr>
                </w:p>
              </w:tc>
              <w:tc>
                <w:tcPr>
                  <w:tcW w:w="739" w:type="pct"/>
                  <w:noWrap w:val="0"/>
                  <w:vAlign w:val="center"/>
                </w:tcPr>
                <w:p w14:paraId="09E1311E">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ascii="Times New Roman" w:hAnsi="Times New Roman" w:eastAsia="宋体" w:cs="Times New Roman"/>
                      <w:color w:val="auto"/>
                      <w:sz w:val="21"/>
                      <w:szCs w:val="21"/>
                      <w:lang w:val="en-US" w:eastAsia="zh-CN"/>
                    </w:rPr>
                  </w:pPr>
                  <w:r>
                    <w:rPr>
                      <w:rFonts w:hint="eastAsia"/>
                      <w:vertAlign w:val="baseline"/>
                      <w:lang w:val="en-US" w:eastAsia="zh-CN"/>
                    </w:rPr>
                    <w:t>大鱼箭3#居民点</w:t>
                  </w:r>
                </w:p>
              </w:tc>
              <w:tc>
                <w:tcPr>
                  <w:tcW w:w="426" w:type="pct"/>
                  <w:noWrap w:val="0"/>
                  <w:vAlign w:val="center"/>
                </w:tcPr>
                <w:p w14:paraId="1C0E87FB">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olor w:val="auto"/>
                      <w:sz w:val="21"/>
                      <w:szCs w:val="21"/>
                      <w:lang w:val="en-US" w:eastAsia="zh-CN"/>
                    </w:rPr>
                    <w:t>西南</w:t>
                  </w:r>
                  <w:r>
                    <w:rPr>
                      <w:rFonts w:hint="eastAsia" w:ascii="Times New Roman" w:hAnsi="Times New Roman" w:eastAsia="宋体"/>
                      <w:color w:val="auto"/>
                      <w:sz w:val="21"/>
                      <w:szCs w:val="21"/>
                    </w:rPr>
                    <w:t>侧</w:t>
                  </w:r>
                </w:p>
              </w:tc>
              <w:tc>
                <w:tcPr>
                  <w:tcW w:w="571" w:type="pct"/>
                  <w:noWrap w:val="0"/>
                  <w:vAlign w:val="center"/>
                </w:tcPr>
                <w:p w14:paraId="2A82D729">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olor w:val="auto"/>
                      <w:sz w:val="21"/>
                      <w:szCs w:val="21"/>
                      <w:lang w:val="en-US" w:eastAsia="zh-CN"/>
                    </w:rPr>
                    <w:t>88</w:t>
                  </w:r>
                  <w:r>
                    <w:rPr>
                      <w:rFonts w:hint="eastAsia" w:ascii="Times New Roman" w:hAnsi="Times New Roman" w:eastAsia="宋体"/>
                      <w:color w:val="auto"/>
                      <w:sz w:val="21"/>
                      <w:szCs w:val="21"/>
                    </w:rPr>
                    <w:t>m</w:t>
                  </w:r>
                </w:p>
              </w:tc>
              <w:tc>
                <w:tcPr>
                  <w:tcW w:w="556" w:type="pct"/>
                  <w:noWrap w:val="0"/>
                  <w:vAlign w:val="center"/>
                </w:tcPr>
                <w:p w14:paraId="06BF1C5C">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113</w:t>
                  </w:r>
                  <w:r>
                    <w:rPr>
                      <w:rFonts w:hint="eastAsia" w:ascii="Times New Roman" w:hAnsi="Times New Roman" w:eastAsia="宋体"/>
                      <w:color w:val="auto"/>
                      <w:sz w:val="21"/>
                      <w:szCs w:val="21"/>
                    </w:rPr>
                    <w:t>m</w:t>
                  </w:r>
                </w:p>
              </w:tc>
              <w:tc>
                <w:tcPr>
                  <w:tcW w:w="554" w:type="pct"/>
                  <w:noWrap w:val="0"/>
                  <w:vAlign w:val="center"/>
                </w:tcPr>
                <w:p w14:paraId="044638E0">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ascii="Times New Roman" w:hAnsi="Times New Roman" w:eastAsia="宋体" w:cs="Times New Roman"/>
                    </w:rPr>
                  </w:pPr>
                  <w:r>
                    <w:rPr>
                      <w:rFonts w:hint="eastAsia" w:cs="Times New Roman"/>
                      <w:szCs w:val="21"/>
                      <w:lang w:val="en-US" w:eastAsia="zh-CN"/>
                    </w:rPr>
                    <w:t>约11户，35人</w:t>
                  </w:r>
                </w:p>
              </w:tc>
              <w:tc>
                <w:tcPr>
                  <w:tcW w:w="1447" w:type="pct"/>
                  <w:vMerge w:val="continue"/>
                  <w:noWrap w:val="0"/>
                  <w:vAlign w:val="center"/>
                </w:tcPr>
                <w:p w14:paraId="0088B0AB">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rPr>
                  </w:pPr>
                </w:p>
              </w:tc>
            </w:tr>
            <w:tr w14:paraId="7457B4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705" w:type="pct"/>
                  <w:vMerge w:val="continue"/>
                  <w:noWrap w:val="0"/>
                  <w:vAlign w:val="center"/>
                </w:tcPr>
                <w:p w14:paraId="5E4F4855">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rPr>
                  </w:pPr>
                </w:p>
              </w:tc>
              <w:tc>
                <w:tcPr>
                  <w:tcW w:w="739" w:type="pct"/>
                  <w:noWrap w:val="0"/>
                  <w:vAlign w:val="center"/>
                </w:tcPr>
                <w:p w14:paraId="0C5722D3">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ascii="Times New Roman" w:hAnsi="Times New Roman" w:eastAsia="宋体" w:cs="Times New Roman"/>
                      <w:color w:val="auto"/>
                      <w:sz w:val="21"/>
                      <w:szCs w:val="21"/>
                      <w:lang w:val="en-US" w:eastAsia="zh-CN"/>
                    </w:rPr>
                  </w:pPr>
                  <w:r>
                    <w:rPr>
                      <w:rFonts w:hint="eastAsia"/>
                      <w:vertAlign w:val="baseline"/>
                      <w:lang w:val="en-US" w:eastAsia="zh-CN"/>
                    </w:rPr>
                    <w:t>大鱼箭4#居民点</w:t>
                  </w:r>
                </w:p>
              </w:tc>
              <w:tc>
                <w:tcPr>
                  <w:tcW w:w="426" w:type="pct"/>
                  <w:noWrap w:val="0"/>
                  <w:vAlign w:val="center"/>
                </w:tcPr>
                <w:p w14:paraId="651833B4">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olor w:val="auto"/>
                      <w:sz w:val="21"/>
                      <w:szCs w:val="21"/>
                      <w:lang w:val="en-US" w:eastAsia="zh-CN"/>
                    </w:rPr>
                    <w:t>西南</w:t>
                  </w:r>
                  <w:r>
                    <w:rPr>
                      <w:rFonts w:hint="eastAsia" w:ascii="Times New Roman" w:hAnsi="Times New Roman" w:eastAsia="宋体"/>
                      <w:color w:val="auto"/>
                      <w:sz w:val="21"/>
                      <w:szCs w:val="21"/>
                    </w:rPr>
                    <w:t>侧</w:t>
                  </w:r>
                </w:p>
              </w:tc>
              <w:tc>
                <w:tcPr>
                  <w:tcW w:w="571" w:type="pct"/>
                  <w:noWrap w:val="0"/>
                  <w:vAlign w:val="center"/>
                </w:tcPr>
                <w:p w14:paraId="04C01E9B">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olor w:val="auto"/>
                      <w:sz w:val="21"/>
                      <w:szCs w:val="21"/>
                      <w:lang w:val="en-US" w:eastAsia="zh-CN"/>
                    </w:rPr>
                    <w:t>92</w:t>
                  </w:r>
                  <w:r>
                    <w:rPr>
                      <w:rFonts w:hint="eastAsia" w:ascii="Times New Roman" w:hAnsi="Times New Roman" w:eastAsia="宋体"/>
                      <w:color w:val="auto"/>
                      <w:sz w:val="21"/>
                      <w:szCs w:val="21"/>
                    </w:rPr>
                    <w:t>m</w:t>
                  </w:r>
                </w:p>
              </w:tc>
              <w:tc>
                <w:tcPr>
                  <w:tcW w:w="556" w:type="pct"/>
                  <w:noWrap w:val="0"/>
                  <w:vAlign w:val="center"/>
                </w:tcPr>
                <w:p w14:paraId="49252980">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107</w:t>
                  </w:r>
                  <w:r>
                    <w:rPr>
                      <w:rFonts w:hint="eastAsia" w:ascii="Times New Roman" w:hAnsi="Times New Roman" w:eastAsia="宋体"/>
                      <w:color w:val="auto"/>
                      <w:sz w:val="21"/>
                      <w:szCs w:val="21"/>
                    </w:rPr>
                    <w:t>m</w:t>
                  </w:r>
                </w:p>
              </w:tc>
              <w:tc>
                <w:tcPr>
                  <w:tcW w:w="554" w:type="pct"/>
                  <w:noWrap w:val="0"/>
                  <w:vAlign w:val="center"/>
                </w:tcPr>
                <w:p w14:paraId="4F3F1AB4">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ascii="Times New Roman" w:hAnsi="Times New Roman" w:eastAsia="宋体" w:cs="Times New Roman"/>
                    </w:rPr>
                  </w:pPr>
                  <w:r>
                    <w:rPr>
                      <w:rFonts w:hint="eastAsia" w:cs="Times New Roman"/>
                      <w:szCs w:val="21"/>
                      <w:lang w:val="en-US" w:eastAsia="zh-CN"/>
                    </w:rPr>
                    <w:t>约20户，70人</w:t>
                  </w:r>
                </w:p>
              </w:tc>
              <w:tc>
                <w:tcPr>
                  <w:tcW w:w="1447" w:type="pct"/>
                  <w:vMerge w:val="continue"/>
                  <w:noWrap w:val="0"/>
                  <w:vAlign w:val="center"/>
                </w:tcPr>
                <w:p w14:paraId="4ED581C0">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rPr>
                  </w:pPr>
                </w:p>
              </w:tc>
            </w:tr>
            <w:tr w14:paraId="335590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705" w:type="pct"/>
                  <w:vMerge w:val="continue"/>
                  <w:noWrap w:val="0"/>
                  <w:vAlign w:val="center"/>
                </w:tcPr>
                <w:p w14:paraId="51880122">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rPr>
                  </w:pPr>
                </w:p>
              </w:tc>
              <w:tc>
                <w:tcPr>
                  <w:tcW w:w="739" w:type="pct"/>
                  <w:noWrap w:val="0"/>
                  <w:vAlign w:val="center"/>
                </w:tcPr>
                <w:p w14:paraId="72F72D8C">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olor w:val="auto"/>
                      <w:sz w:val="21"/>
                      <w:szCs w:val="21"/>
                      <w:lang w:val="en-US" w:eastAsia="zh-CN"/>
                    </w:rPr>
                    <w:t>栀子坝1#居民点</w:t>
                  </w:r>
                </w:p>
              </w:tc>
              <w:tc>
                <w:tcPr>
                  <w:tcW w:w="426" w:type="pct"/>
                  <w:noWrap w:val="0"/>
                  <w:vAlign w:val="center"/>
                </w:tcPr>
                <w:p w14:paraId="226297E7">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olor w:val="auto"/>
                      <w:sz w:val="21"/>
                      <w:szCs w:val="21"/>
                      <w:lang w:val="en-US" w:eastAsia="zh-CN"/>
                    </w:rPr>
                    <w:t>西南</w:t>
                  </w:r>
                  <w:r>
                    <w:rPr>
                      <w:rFonts w:hint="eastAsia" w:ascii="Times New Roman" w:hAnsi="Times New Roman" w:eastAsia="宋体"/>
                      <w:color w:val="auto"/>
                      <w:sz w:val="21"/>
                      <w:szCs w:val="21"/>
                    </w:rPr>
                    <w:t>侧</w:t>
                  </w:r>
                </w:p>
              </w:tc>
              <w:tc>
                <w:tcPr>
                  <w:tcW w:w="571" w:type="pct"/>
                  <w:noWrap w:val="0"/>
                  <w:vAlign w:val="center"/>
                </w:tcPr>
                <w:p w14:paraId="7FB6F88E">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olor w:val="auto"/>
                      <w:sz w:val="21"/>
                      <w:szCs w:val="21"/>
                      <w:lang w:val="en-US" w:eastAsia="zh-CN"/>
                    </w:rPr>
                    <w:t>230</w:t>
                  </w:r>
                  <w:r>
                    <w:rPr>
                      <w:rFonts w:hint="eastAsia" w:ascii="Times New Roman" w:hAnsi="Times New Roman" w:eastAsia="宋体"/>
                      <w:color w:val="auto"/>
                      <w:sz w:val="21"/>
                      <w:szCs w:val="21"/>
                    </w:rPr>
                    <w:t>m</w:t>
                  </w:r>
                </w:p>
              </w:tc>
              <w:tc>
                <w:tcPr>
                  <w:tcW w:w="556" w:type="pct"/>
                  <w:noWrap w:val="0"/>
                  <w:vAlign w:val="center"/>
                </w:tcPr>
                <w:p w14:paraId="7052838F">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255</w:t>
                  </w:r>
                  <w:r>
                    <w:rPr>
                      <w:rFonts w:hint="eastAsia" w:ascii="Times New Roman" w:hAnsi="Times New Roman" w:eastAsia="宋体"/>
                      <w:color w:val="auto"/>
                      <w:sz w:val="21"/>
                      <w:szCs w:val="21"/>
                    </w:rPr>
                    <w:t>m</w:t>
                  </w:r>
                </w:p>
              </w:tc>
              <w:tc>
                <w:tcPr>
                  <w:tcW w:w="554" w:type="pct"/>
                  <w:noWrap w:val="0"/>
                  <w:vAlign w:val="center"/>
                </w:tcPr>
                <w:p w14:paraId="0ED5E0D8">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ascii="Times New Roman" w:hAnsi="Times New Roman" w:eastAsia="宋体" w:cs="Times New Roman"/>
                    </w:rPr>
                  </w:pPr>
                  <w:r>
                    <w:rPr>
                      <w:rFonts w:hint="eastAsia" w:cs="Times New Roman"/>
                      <w:szCs w:val="21"/>
                      <w:lang w:val="en-US" w:eastAsia="zh-CN"/>
                    </w:rPr>
                    <w:t>约16户，50人</w:t>
                  </w:r>
                </w:p>
              </w:tc>
              <w:tc>
                <w:tcPr>
                  <w:tcW w:w="1447" w:type="pct"/>
                  <w:vMerge w:val="continue"/>
                  <w:noWrap w:val="0"/>
                  <w:vAlign w:val="center"/>
                </w:tcPr>
                <w:p w14:paraId="20BE18E6">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rPr>
                  </w:pPr>
                </w:p>
              </w:tc>
            </w:tr>
            <w:tr w14:paraId="4C084D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705" w:type="pct"/>
                  <w:vMerge w:val="continue"/>
                  <w:noWrap w:val="0"/>
                  <w:vAlign w:val="center"/>
                </w:tcPr>
                <w:p w14:paraId="4B1D1BB0">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rPr>
                  </w:pPr>
                </w:p>
              </w:tc>
              <w:tc>
                <w:tcPr>
                  <w:tcW w:w="739" w:type="pct"/>
                  <w:noWrap w:val="0"/>
                  <w:vAlign w:val="center"/>
                </w:tcPr>
                <w:p w14:paraId="066D2E91">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olor w:val="auto"/>
                      <w:sz w:val="21"/>
                      <w:szCs w:val="21"/>
                      <w:lang w:val="en-US" w:eastAsia="zh-CN"/>
                    </w:rPr>
                    <w:t>栀子坝2#居民点</w:t>
                  </w:r>
                </w:p>
              </w:tc>
              <w:tc>
                <w:tcPr>
                  <w:tcW w:w="426" w:type="pct"/>
                  <w:noWrap w:val="0"/>
                  <w:vAlign w:val="center"/>
                </w:tcPr>
                <w:p w14:paraId="086B80FD">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olor w:val="auto"/>
                      <w:sz w:val="21"/>
                      <w:szCs w:val="21"/>
                      <w:lang w:val="en-US" w:eastAsia="zh-CN"/>
                    </w:rPr>
                    <w:t>西南</w:t>
                  </w:r>
                  <w:r>
                    <w:rPr>
                      <w:rFonts w:hint="eastAsia" w:ascii="Times New Roman" w:hAnsi="Times New Roman" w:eastAsia="宋体"/>
                      <w:color w:val="auto"/>
                      <w:sz w:val="21"/>
                      <w:szCs w:val="21"/>
                    </w:rPr>
                    <w:t>侧</w:t>
                  </w:r>
                </w:p>
              </w:tc>
              <w:tc>
                <w:tcPr>
                  <w:tcW w:w="571" w:type="pct"/>
                  <w:noWrap w:val="0"/>
                  <w:vAlign w:val="center"/>
                </w:tcPr>
                <w:p w14:paraId="2EECCC24">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olor w:val="auto"/>
                      <w:sz w:val="21"/>
                      <w:szCs w:val="21"/>
                      <w:lang w:val="en-US" w:eastAsia="zh-CN"/>
                    </w:rPr>
                    <w:t>398m</w:t>
                  </w:r>
                </w:p>
              </w:tc>
              <w:tc>
                <w:tcPr>
                  <w:tcW w:w="556" w:type="pct"/>
                  <w:noWrap w:val="0"/>
                  <w:vAlign w:val="center"/>
                </w:tcPr>
                <w:p w14:paraId="0CBFDAE5">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427m</w:t>
                  </w:r>
                </w:p>
              </w:tc>
              <w:tc>
                <w:tcPr>
                  <w:tcW w:w="554" w:type="pct"/>
                  <w:noWrap w:val="0"/>
                  <w:vAlign w:val="center"/>
                </w:tcPr>
                <w:p w14:paraId="0FBAFBE3">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ascii="Times New Roman" w:hAnsi="Times New Roman" w:eastAsia="宋体" w:cs="Times New Roman"/>
                    </w:rPr>
                  </w:pPr>
                  <w:r>
                    <w:rPr>
                      <w:rFonts w:hint="eastAsia" w:cs="Times New Roman"/>
                      <w:szCs w:val="21"/>
                      <w:lang w:val="en-US" w:eastAsia="zh-CN"/>
                    </w:rPr>
                    <w:t>约23户，70人</w:t>
                  </w:r>
                </w:p>
              </w:tc>
              <w:tc>
                <w:tcPr>
                  <w:tcW w:w="1447" w:type="pct"/>
                  <w:vMerge w:val="continue"/>
                  <w:noWrap w:val="0"/>
                  <w:vAlign w:val="center"/>
                </w:tcPr>
                <w:p w14:paraId="2C68F005">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rPr>
                  </w:pPr>
                </w:p>
              </w:tc>
            </w:tr>
            <w:tr w14:paraId="15025B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705" w:type="pct"/>
                  <w:vMerge w:val="continue"/>
                  <w:noWrap w:val="0"/>
                  <w:vAlign w:val="center"/>
                </w:tcPr>
                <w:p w14:paraId="76288835">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rPr>
                  </w:pPr>
                </w:p>
              </w:tc>
              <w:tc>
                <w:tcPr>
                  <w:tcW w:w="739" w:type="pct"/>
                  <w:noWrap w:val="0"/>
                  <w:vAlign w:val="center"/>
                </w:tcPr>
                <w:p w14:paraId="63ACBB50">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ascii="Times New Roman" w:hAnsi="Times New Roman" w:eastAsia="宋体" w:cs="Times New Roman"/>
                      <w:color w:val="auto"/>
                      <w:sz w:val="21"/>
                      <w:szCs w:val="21"/>
                      <w:lang w:val="en-US" w:eastAsia="zh-CN"/>
                    </w:rPr>
                  </w:pPr>
                  <w:r>
                    <w:rPr>
                      <w:rFonts w:hint="eastAsia"/>
                      <w:vertAlign w:val="baseline"/>
                      <w:lang w:val="en-US" w:eastAsia="zh-CN"/>
                    </w:rPr>
                    <w:t>大鱼箭4#居民点</w:t>
                  </w:r>
                </w:p>
              </w:tc>
              <w:tc>
                <w:tcPr>
                  <w:tcW w:w="426" w:type="pct"/>
                  <w:noWrap w:val="0"/>
                  <w:vAlign w:val="center"/>
                </w:tcPr>
                <w:p w14:paraId="1043F1C6">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olor w:val="auto"/>
                      <w:sz w:val="21"/>
                      <w:szCs w:val="21"/>
                      <w:lang w:val="en-US" w:eastAsia="zh-CN"/>
                    </w:rPr>
                    <w:t>西</w:t>
                  </w:r>
                  <w:r>
                    <w:rPr>
                      <w:rFonts w:hint="eastAsia" w:ascii="Times New Roman" w:hAnsi="Times New Roman" w:eastAsia="宋体"/>
                      <w:color w:val="auto"/>
                      <w:sz w:val="21"/>
                      <w:szCs w:val="21"/>
                    </w:rPr>
                    <w:t>侧</w:t>
                  </w:r>
                </w:p>
              </w:tc>
              <w:tc>
                <w:tcPr>
                  <w:tcW w:w="571" w:type="pct"/>
                  <w:noWrap w:val="0"/>
                  <w:vAlign w:val="center"/>
                </w:tcPr>
                <w:p w14:paraId="283915D7">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olor w:val="auto"/>
                      <w:sz w:val="21"/>
                      <w:szCs w:val="21"/>
                      <w:lang w:val="en-US" w:eastAsia="zh-CN"/>
                    </w:rPr>
                    <w:t>62</w:t>
                  </w:r>
                  <w:r>
                    <w:rPr>
                      <w:rFonts w:hint="eastAsia" w:ascii="Times New Roman" w:hAnsi="Times New Roman" w:eastAsia="宋体"/>
                      <w:color w:val="auto"/>
                      <w:sz w:val="21"/>
                      <w:szCs w:val="21"/>
                    </w:rPr>
                    <w:t>m</w:t>
                  </w:r>
                </w:p>
              </w:tc>
              <w:tc>
                <w:tcPr>
                  <w:tcW w:w="556" w:type="pct"/>
                  <w:noWrap w:val="0"/>
                  <w:vAlign w:val="center"/>
                </w:tcPr>
                <w:p w14:paraId="260299C4">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66</w:t>
                  </w:r>
                  <w:r>
                    <w:rPr>
                      <w:rFonts w:hint="eastAsia" w:ascii="Times New Roman" w:hAnsi="Times New Roman" w:eastAsia="宋体"/>
                      <w:color w:val="auto"/>
                      <w:sz w:val="21"/>
                      <w:szCs w:val="21"/>
                    </w:rPr>
                    <w:t>m</w:t>
                  </w:r>
                </w:p>
              </w:tc>
              <w:tc>
                <w:tcPr>
                  <w:tcW w:w="554" w:type="pct"/>
                  <w:noWrap w:val="0"/>
                  <w:vAlign w:val="center"/>
                </w:tcPr>
                <w:p w14:paraId="13902FA3">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ascii="Times New Roman" w:hAnsi="Times New Roman" w:eastAsia="宋体" w:cs="Times New Roman"/>
                    </w:rPr>
                  </w:pPr>
                  <w:r>
                    <w:rPr>
                      <w:rFonts w:hint="eastAsia" w:cs="Times New Roman"/>
                      <w:szCs w:val="21"/>
                      <w:lang w:val="en-US" w:eastAsia="zh-CN"/>
                    </w:rPr>
                    <w:t>2户，6人</w:t>
                  </w:r>
                </w:p>
              </w:tc>
              <w:tc>
                <w:tcPr>
                  <w:tcW w:w="1447" w:type="pct"/>
                  <w:vMerge w:val="continue"/>
                  <w:noWrap w:val="0"/>
                  <w:vAlign w:val="center"/>
                </w:tcPr>
                <w:p w14:paraId="1DBB7B4A">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rPr>
                  </w:pPr>
                </w:p>
              </w:tc>
            </w:tr>
            <w:tr w14:paraId="72E001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705" w:type="pct"/>
                  <w:vMerge w:val="continue"/>
                  <w:noWrap w:val="0"/>
                  <w:vAlign w:val="center"/>
                </w:tcPr>
                <w:p w14:paraId="024B3233">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rPr>
                  </w:pPr>
                </w:p>
              </w:tc>
              <w:tc>
                <w:tcPr>
                  <w:tcW w:w="739" w:type="pct"/>
                  <w:noWrap w:val="0"/>
                  <w:vAlign w:val="center"/>
                </w:tcPr>
                <w:p w14:paraId="74A00397">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ascii="Times New Roman" w:hAnsi="Times New Roman" w:eastAsia="宋体" w:cs="Times New Roman"/>
                      <w:color w:val="auto"/>
                      <w:sz w:val="21"/>
                      <w:szCs w:val="21"/>
                      <w:lang w:val="en-US" w:eastAsia="zh-CN"/>
                    </w:rPr>
                  </w:pPr>
                  <w:r>
                    <w:rPr>
                      <w:rFonts w:hint="eastAsia"/>
                      <w:vertAlign w:val="baseline"/>
                      <w:lang w:val="en-US" w:eastAsia="zh-CN"/>
                    </w:rPr>
                    <w:t>大鱼箭5#居民点</w:t>
                  </w:r>
                </w:p>
              </w:tc>
              <w:tc>
                <w:tcPr>
                  <w:tcW w:w="426" w:type="pct"/>
                  <w:noWrap w:val="0"/>
                  <w:vAlign w:val="center"/>
                </w:tcPr>
                <w:p w14:paraId="7310546F">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olor w:val="auto"/>
                      <w:sz w:val="21"/>
                      <w:szCs w:val="21"/>
                      <w:lang w:val="en-US" w:eastAsia="zh-CN"/>
                    </w:rPr>
                    <w:t>西</w:t>
                  </w:r>
                  <w:r>
                    <w:rPr>
                      <w:rFonts w:hint="eastAsia" w:ascii="Times New Roman" w:hAnsi="Times New Roman" w:eastAsia="宋体"/>
                      <w:color w:val="auto"/>
                      <w:sz w:val="21"/>
                      <w:szCs w:val="21"/>
                    </w:rPr>
                    <w:t>侧</w:t>
                  </w:r>
                </w:p>
              </w:tc>
              <w:tc>
                <w:tcPr>
                  <w:tcW w:w="571" w:type="pct"/>
                  <w:noWrap w:val="0"/>
                  <w:vAlign w:val="center"/>
                </w:tcPr>
                <w:p w14:paraId="4571D57B">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olor w:val="auto"/>
                      <w:sz w:val="21"/>
                      <w:szCs w:val="21"/>
                      <w:lang w:val="en-US" w:eastAsia="zh-CN"/>
                    </w:rPr>
                    <w:t>116</w:t>
                  </w:r>
                  <w:r>
                    <w:rPr>
                      <w:rFonts w:hint="eastAsia" w:ascii="Times New Roman" w:hAnsi="Times New Roman" w:eastAsia="宋体"/>
                      <w:color w:val="auto"/>
                      <w:sz w:val="21"/>
                      <w:szCs w:val="21"/>
                    </w:rPr>
                    <w:t>m</w:t>
                  </w:r>
                </w:p>
              </w:tc>
              <w:tc>
                <w:tcPr>
                  <w:tcW w:w="556" w:type="pct"/>
                  <w:noWrap w:val="0"/>
                  <w:vAlign w:val="center"/>
                </w:tcPr>
                <w:p w14:paraId="3EDB2DF7">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120</w:t>
                  </w:r>
                  <w:r>
                    <w:rPr>
                      <w:rFonts w:hint="eastAsia" w:ascii="Times New Roman" w:hAnsi="Times New Roman" w:eastAsia="宋体"/>
                      <w:color w:val="auto"/>
                      <w:sz w:val="21"/>
                      <w:szCs w:val="21"/>
                    </w:rPr>
                    <w:t>m</w:t>
                  </w:r>
                </w:p>
              </w:tc>
              <w:tc>
                <w:tcPr>
                  <w:tcW w:w="554" w:type="pct"/>
                  <w:noWrap w:val="0"/>
                  <w:vAlign w:val="center"/>
                </w:tcPr>
                <w:p w14:paraId="675BEA1D">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ascii="Times New Roman" w:hAnsi="Times New Roman" w:eastAsia="宋体" w:cs="Times New Roman"/>
                    </w:rPr>
                  </w:pPr>
                  <w:r>
                    <w:rPr>
                      <w:rFonts w:hint="eastAsia" w:cs="Times New Roman"/>
                      <w:szCs w:val="21"/>
                      <w:lang w:val="en-US" w:eastAsia="zh-CN"/>
                    </w:rPr>
                    <w:t>1户，3人</w:t>
                  </w:r>
                </w:p>
              </w:tc>
              <w:tc>
                <w:tcPr>
                  <w:tcW w:w="1447" w:type="pct"/>
                  <w:vMerge w:val="continue"/>
                  <w:noWrap w:val="0"/>
                  <w:vAlign w:val="center"/>
                </w:tcPr>
                <w:p w14:paraId="595D8743">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rPr>
                  </w:pPr>
                </w:p>
              </w:tc>
            </w:tr>
            <w:tr w14:paraId="3920F8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705" w:type="pct"/>
                  <w:vMerge w:val="continue"/>
                  <w:noWrap w:val="0"/>
                  <w:vAlign w:val="center"/>
                </w:tcPr>
                <w:p w14:paraId="246E040A">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rPr>
                  </w:pPr>
                </w:p>
              </w:tc>
              <w:tc>
                <w:tcPr>
                  <w:tcW w:w="739" w:type="pct"/>
                  <w:noWrap w:val="0"/>
                  <w:vAlign w:val="center"/>
                </w:tcPr>
                <w:p w14:paraId="3C99FFAF">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ascii="Times New Roman" w:hAnsi="Times New Roman" w:eastAsia="宋体" w:cs="Times New Roman"/>
                      <w:color w:val="auto"/>
                      <w:sz w:val="21"/>
                      <w:szCs w:val="21"/>
                      <w:lang w:val="en-US" w:eastAsia="zh-CN"/>
                    </w:rPr>
                  </w:pPr>
                  <w:r>
                    <w:rPr>
                      <w:rFonts w:hint="eastAsia"/>
                      <w:vertAlign w:val="baseline"/>
                      <w:lang w:val="en-US" w:eastAsia="zh-CN"/>
                    </w:rPr>
                    <w:t>朝门湾居民点</w:t>
                  </w:r>
                </w:p>
              </w:tc>
              <w:tc>
                <w:tcPr>
                  <w:tcW w:w="426" w:type="pct"/>
                  <w:noWrap w:val="0"/>
                  <w:vAlign w:val="center"/>
                </w:tcPr>
                <w:p w14:paraId="7FD8BCBB">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olor w:val="auto"/>
                      <w:sz w:val="21"/>
                      <w:szCs w:val="21"/>
                      <w:lang w:val="en-US" w:eastAsia="zh-CN"/>
                    </w:rPr>
                    <w:t>西</w:t>
                  </w:r>
                  <w:r>
                    <w:rPr>
                      <w:rFonts w:hint="eastAsia" w:ascii="Times New Roman" w:hAnsi="Times New Roman" w:eastAsia="宋体"/>
                      <w:color w:val="auto"/>
                      <w:sz w:val="21"/>
                      <w:szCs w:val="21"/>
                    </w:rPr>
                    <w:t>侧</w:t>
                  </w:r>
                </w:p>
              </w:tc>
              <w:tc>
                <w:tcPr>
                  <w:tcW w:w="571" w:type="pct"/>
                  <w:noWrap w:val="0"/>
                  <w:vAlign w:val="center"/>
                </w:tcPr>
                <w:p w14:paraId="000CD664">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olor w:val="auto"/>
                      <w:sz w:val="21"/>
                      <w:szCs w:val="21"/>
                      <w:lang w:val="en-US" w:eastAsia="zh-CN"/>
                    </w:rPr>
                    <w:t>198m</w:t>
                  </w:r>
                </w:p>
              </w:tc>
              <w:tc>
                <w:tcPr>
                  <w:tcW w:w="556" w:type="pct"/>
                  <w:noWrap w:val="0"/>
                  <w:vAlign w:val="center"/>
                </w:tcPr>
                <w:p w14:paraId="6EA172E8">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201m</w:t>
                  </w:r>
                </w:p>
              </w:tc>
              <w:tc>
                <w:tcPr>
                  <w:tcW w:w="554" w:type="pct"/>
                  <w:noWrap w:val="0"/>
                  <w:vAlign w:val="center"/>
                </w:tcPr>
                <w:p w14:paraId="36AB746D">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ascii="Times New Roman" w:hAnsi="Times New Roman" w:eastAsia="宋体" w:cs="Times New Roman"/>
                    </w:rPr>
                  </w:pPr>
                  <w:r>
                    <w:rPr>
                      <w:rFonts w:hint="eastAsia" w:cs="Times New Roman"/>
                      <w:szCs w:val="21"/>
                      <w:lang w:val="en-US" w:eastAsia="zh-CN"/>
                    </w:rPr>
                    <w:t>19户，60人</w:t>
                  </w:r>
                </w:p>
              </w:tc>
              <w:tc>
                <w:tcPr>
                  <w:tcW w:w="1447" w:type="pct"/>
                  <w:vMerge w:val="continue"/>
                  <w:noWrap w:val="0"/>
                  <w:vAlign w:val="center"/>
                </w:tcPr>
                <w:p w14:paraId="39ECD795">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rPr>
                  </w:pPr>
                </w:p>
              </w:tc>
            </w:tr>
            <w:tr w14:paraId="2194AB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705" w:type="pct"/>
                  <w:vMerge w:val="continue"/>
                  <w:noWrap w:val="0"/>
                  <w:vAlign w:val="center"/>
                </w:tcPr>
                <w:p w14:paraId="68B64B56">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rPr>
                  </w:pPr>
                </w:p>
              </w:tc>
              <w:tc>
                <w:tcPr>
                  <w:tcW w:w="739" w:type="pct"/>
                  <w:noWrap w:val="0"/>
                  <w:vAlign w:val="center"/>
                </w:tcPr>
                <w:p w14:paraId="7B089FBE">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ascii="Times New Roman" w:hAnsi="Times New Roman" w:eastAsia="宋体" w:cs="Times New Roman"/>
                      <w:color w:val="auto"/>
                      <w:sz w:val="21"/>
                      <w:szCs w:val="21"/>
                      <w:lang w:val="en-US" w:eastAsia="zh-CN"/>
                    </w:rPr>
                  </w:pPr>
                  <w:r>
                    <w:rPr>
                      <w:rFonts w:hint="eastAsia"/>
                      <w:vertAlign w:val="baseline"/>
                      <w:lang w:val="en-US" w:eastAsia="zh-CN"/>
                    </w:rPr>
                    <w:t>新湾居民点</w:t>
                  </w:r>
                </w:p>
              </w:tc>
              <w:tc>
                <w:tcPr>
                  <w:tcW w:w="426" w:type="pct"/>
                  <w:noWrap w:val="0"/>
                  <w:vAlign w:val="center"/>
                </w:tcPr>
                <w:p w14:paraId="4FF27F9D">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olor w:val="auto"/>
                      <w:sz w:val="21"/>
                      <w:szCs w:val="21"/>
                      <w:lang w:val="en-US" w:eastAsia="zh-CN"/>
                    </w:rPr>
                    <w:t>西</w:t>
                  </w:r>
                  <w:r>
                    <w:rPr>
                      <w:rFonts w:hint="eastAsia" w:ascii="Times New Roman" w:hAnsi="Times New Roman" w:eastAsia="宋体"/>
                      <w:color w:val="auto"/>
                      <w:sz w:val="21"/>
                      <w:szCs w:val="21"/>
                    </w:rPr>
                    <w:t>侧</w:t>
                  </w:r>
                </w:p>
              </w:tc>
              <w:tc>
                <w:tcPr>
                  <w:tcW w:w="571" w:type="pct"/>
                  <w:noWrap w:val="0"/>
                  <w:vAlign w:val="center"/>
                </w:tcPr>
                <w:p w14:paraId="5FEE37F7">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olor w:val="auto"/>
                      <w:sz w:val="21"/>
                      <w:szCs w:val="21"/>
                      <w:lang w:val="en-US" w:eastAsia="zh-CN"/>
                    </w:rPr>
                    <w:t>280m</w:t>
                  </w:r>
                </w:p>
              </w:tc>
              <w:tc>
                <w:tcPr>
                  <w:tcW w:w="556" w:type="pct"/>
                  <w:noWrap w:val="0"/>
                  <w:vAlign w:val="center"/>
                </w:tcPr>
                <w:p w14:paraId="0D5B5ADD">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286m</w:t>
                  </w:r>
                </w:p>
              </w:tc>
              <w:tc>
                <w:tcPr>
                  <w:tcW w:w="554" w:type="pct"/>
                  <w:noWrap w:val="0"/>
                  <w:vAlign w:val="center"/>
                </w:tcPr>
                <w:p w14:paraId="505EB456">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ascii="Times New Roman" w:hAnsi="Times New Roman" w:eastAsia="宋体" w:cs="Times New Roman"/>
                    </w:rPr>
                  </w:pPr>
                  <w:r>
                    <w:rPr>
                      <w:rFonts w:hint="eastAsia" w:cs="Times New Roman"/>
                      <w:szCs w:val="21"/>
                      <w:lang w:val="en-US" w:eastAsia="zh-CN"/>
                    </w:rPr>
                    <w:t>约21户，65人</w:t>
                  </w:r>
                </w:p>
              </w:tc>
              <w:tc>
                <w:tcPr>
                  <w:tcW w:w="1447" w:type="pct"/>
                  <w:vMerge w:val="continue"/>
                  <w:noWrap w:val="0"/>
                  <w:vAlign w:val="center"/>
                </w:tcPr>
                <w:p w14:paraId="69526E95">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rPr>
                  </w:pPr>
                </w:p>
              </w:tc>
            </w:tr>
            <w:tr w14:paraId="5DCE00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705" w:type="pct"/>
                  <w:vMerge w:val="continue"/>
                  <w:noWrap w:val="0"/>
                  <w:vAlign w:val="center"/>
                </w:tcPr>
                <w:p w14:paraId="37197F72">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rPr>
                  </w:pPr>
                </w:p>
              </w:tc>
              <w:tc>
                <w:tcPr>
                  <w:tcW w:w="739" w:type="pct"/>
                  <w:noWrap w:val="0"/>
                  <w:vAlign w:val="center"/>
                </w:tcPr>
                <w:p w14:paraId="7F435590">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olor w:val="auto"/>
                      <w:sz w:val="21"/>
                      <w:szCs w:val="21"/>
                      <w:lang w:val="en-US" w:eastAsia="zh-CN"/>
                    </w:rPr>
                    <w:t>坛子湾居民点</w:t>
                  </w:r>
                </w:p>
              </w:tc>
              <w:tc>
                <w:tcPr>
                  <w:tcW w:w="426" w:type="pct"/>
                  <w:noWrap w:val="0"/>
                  <w:vAlign w:val="center"/>
                </w:tcPr>
                <w:p w14:paraId="3C5B48A1">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outlineLvl w:val="1"/>
                    <w:rPr>
                      <w:rFonts w:hint="eastAsia" w:ascii="Times New Roman" w:hAnsi="Times New Roman" w:eastAsia="宋体" w:cs="Times New Roman"/>
                      <w:color w:val="auto"/>
                      <w:sz w:val="21"/>
                      <w:szCs w:val="21"/>
                      <w:lang w:val="en-US" w:eastAsia="zh-CN"/>
                    </w:rPr>
                  </w:pPr>
                  <w:r>
                    <w:rPr>
                      <w:rFonts w:hint="eastAsia" w:ascii="Times New Roman" w:hAnsi="Times New Roman" w:eastAsia="宋体"/>
                      <w:color w:val="auto"/>
                      <w:sz w:val="21"/>
                      <w:szCs w:val="21"/>
                      <w:lang w:val="en-US" w:eastAsia="zh-CN"/>
                    </w:rPr>
                    <w:t>西</w:t>
                  </w:r>
                  <w:r>
                    <w:rPr>
                      <w:rFonts w:hint="eastAsia" w:ascii="Times New Roman" w:hAnsi="Times New Roman" w:eastAsia="宋体"/>
                      <w:color w:val="auto"/>
                      <w:sz w:val="21"/>
                      <w:szCs w:val="21"/>
                    </w:rPr>
                    <w:t>侧</w:t>
                  </w:r>
                </w:p>
              </w:tc>
              <w:tc>
                <w:tcPr>
                  <w:tcW w:w="571" w:type="pct"/>
                  <w:noWrap w:val="0"/>
                  <w:vAlign w:val="center"/>
                </w:tcPr>
                <w:p w14:paraId="0CFB443D">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outlineLvl w:val="1"/>
                    <w:rPr>
                      <w:rFonts w:hint="eastAsia" w:ascii="Times New Roman" w:hAnsi="Times New Roman" w:eastAsia="宋体" w:cs="Times New Roman"/>
                      <w:color w:val="auto"/>
                      <w:sz w:val="21"/>
                      <w:szCs w:val="21"/>
                      <w:lang w:val="en-US" w:eastAsia="zh-CN"/>
                    </w:rPr>
                  </w:pPr>
                  <w:r>
                    <w:rPr>
                      <w:rFonts w:hint="eastAsia" w:ascii="Times New Roman" w:hAnsi="Times New Roman" w:eastAsia="宋体"/>
                      <w:color w:val="auto"/>
                      <w:sz w:val="21"/>
                      <w:szCs w:val="21"/>
                      <w:lang w:val="en-US" w:eastAsia="zh-CN"/>
                    </w:rPr>
                    <w:t>433m</w:t>
                  </w:r>
                </w:p>
              </w:tc>
              <w:tc>
                <w:tcPr>
                  <w:tcW w:w="556" w:type="pct"/>
                  <w:noWrap w:val="0"/>
                  <w:vAlign w:val="center"/>
                </w:tcPr>
                <w:p w14:paraId="70C413AC">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outlineLvl w:val="1"/>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439m</w:t>
                  </w:r>
                </w:p>
              </w:tc>
              <w:tc>
                <w:tcPr>
                  <w:tcW w:w="554" w:type="pct"/>
                  <w:noWrap w:val="0"/>
                  <w:vAlign w:val="center"/>
                </w:tcPr>
                <w:p w14:paraId="48C81BC8">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ascii="Times New Roman" w:hAnsi="Times New Roman" w:eastAsia="宋体" w:cs="Times New Roman"/>
                    </w:rPr>
                  </w:pPr>
                  <w:r>
                    <w:rPr>
                      <w:rFonts w:hint="eastAsia" w:cs="Times New Roman"/>
                      <w:szCs w:val="21"/>
                      <w:lang w:val="en-US" w:eastAsia="zh-CN"/>
                    </w:rPr>
                    <w:t>约12户，40人</w:t>
                  </w:r>
                </w:p>
              </w:tc>
              <w:tc>
                <w:tcPr>
                  <w:tcW w:w="1447" w:type="pct"/>
                  <w:vMerge w:val="continue"/>
                  <w:noWrap w:val="0"/>
                  <w:vAlign w:val="center"/>
                </w:tcPr>
                <w:p w14:paraId="7FEB9953">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rPr>
                  </w:pPr>
                </w:p>
              </w:tc>
            </w:tr>
            <w:tr w14:paraId="088A01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705" w:type="pct"/>
                  <w:vMerge w:val="continue"/>
                  <w:noWrap w:val="0"/>
                  <w:vAlign w:val="center"/>
                </w:tcPr>
                <w:p w14:paraId="2F71FC4A">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rPr>
                  </w:pPr>
                </w:p>
              </w:tc>
              <w:tc>
                <w:tcPr>
                  <w:tcW w:w="739" w:type="pct"/>
                  <w:noWrap w:val="0"/>
                  <w:vAlign w:val="center"/>
                </w:tcPr>
                <w:p w14:paraId="7F39F75C">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ascii="Times New Roman" w:hAnsi="Times New Roman" w:eastAsia="宋体" w:cs="Times New Roman"/>
                      <w:color w:val="auto"/>
                      <w:sz w:val="21"/>
                      <w:szCs w:val="21"/>
                      <w:lang w:val="en-US" w:eastAsia="zh-CN"/>
                    </w:rPr>
                  </w:pPr>
                  <w:r>
                    <w:rPr>
                      <w:rFonts w:hint="eastAsia"/>
                      <w:vertAlign w:val="baseline"/>
                      <w:lang w:val="en-US" w:eastAsia="zh-CN"/>
                    </w:rPr>
                    <w:t>张家湾1#居民点</w:t>
                  </w:r>
                </w:p>
              </w:tc>
              <w:tc>
                <w:tcPr>
                  <w:tcW w:w="426" w:type="pct"/>
                  <w:noWrap w:val="0"/>
                  <w:vAlign w:val="center"/>
                </w:tcPr>
                <w:p w14:paraId="1EEB7D83">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olor w:val="auto"/>
                      <w:sz w:val="21"/>
                      <w:szCs w:val="21"/>
                      <w:lang w:val="en-US" w:eastAsia="zh-CN"/>
                    </w:rPr>
                    <w:t>东</w:t>
                  </w:r>
                  <w:r>
                    <w:rPr>
                      <w:rFonts w:hint="eastAsia" w:ascii="Times New Roman" w:hAnsi="Times New Roman" w:eastAsia="宋体"/>
                      <w:color w:val="auto"/>
                      <w:sz w:val="21"/>
                      <w:szCs w:val="21"/>
                    </w:rPr>
                    <w:t>侧</w:t>
                  </w:r>
                </w:p>
              </w:tc>
              <w:tc>
                <w:tcPr>
                  <w:tcW w:w="571" w:type="pct"/>
                  <w:noWrap w:val="0"/>
                  <w:vAlign w:val="center"/>
                </w:tcPr>
                <w:p w14:paraId="039A2F00">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olor w:val="auto"/>
                      <w:sz w:val="21"/>
                      <w:szCs w:val="21"/>
                      <w:lang w:val="en-US" w:eastAsia="zh-CN"/>
                    </w:rPr>
                    <w:t>34m</w:t>
                  </w:r>
                </w:p>
              </w:tc>
              <w:tc>
                <w:tcPr>
                  <w:tcW w:w="556" w:type="pct"/>
                  <w:noWrap w:val="0"/>
                  <w:vAlign w:val="center"/>
                </w:tcPr>
                <w:p w14:paraId="3EE4072E">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lang w:val="en-US" w:eastAsia="zh-CN"/>
                    </w:rPr>
                    <w:t>60m</w:t>
                  </w:r>
                </w:p>
              </w:tc>
              <w:tc>
                <w:tcPr>
                  <w:tcW w:w="554" w:type="pct"/>
                  <w:noWrap w:val="0"/>
                  <w:vAlign w:val="center"/>
                </w:tcPr>
                <w:p w14:paraId="5264E860">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ascii="Times New Roman" w:hAnsi="Times New Roman" w:eastAsia="宋体" w:cs="Times New Roman"/>
                    </w:rPr>
                  </w:pPr>
                  <w:r>
                    <w:rPr>
                      <w:rFonts w:hint="eastAsia" w:cs="Times New Roman"/>
                      <w:szCs w:val="21"/>
                      <w:lang w:val="en-US" w:eastAsia="zh-CN"/>
                    </w:rPr>
                    <w:t>2户，6人</w:t>
                  </w:r>
                </w:p>
              </w:tc>
              <w:tc>
                <w:tcPr>
                  <w:tcW w:w="1447" w:type="pct"/>
                  <w:vMerge w:val="continue"/>
                  <w:noWrap w:val="0"/>
                  <w:vAlign w:val="center"/>
                </w:tcPr>
                <w:p w14:paraId="4D19606C">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rPr>
                  </w:pPr>
                </w:p>
              </w:tc>
            </w:tr>
            <w:tr w14:paraId="3FF70E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705" w:type="pct"/>
                  <w:vMerge w:val="continue"/>
                  <w:noWrap w:val="0"/>
                  <w:vAlign w:val="center"/>
                </w:tcPr>
                <w:p w14:paraId="09CC9C70">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rPr>
                  </w:pPr>
                </w:p>
              </w:tc>
              <w:tc>
                <w:tcPr>
                  <w:tcW w:w="739" w:type="pct"/>
                  <w:noWrap w:val="0"/>
                  <w:vAlign w:val="center"/>
                </w:tcPr>
                <w:p w14:paraId="76D2BF32">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vertAlign w:val="baseline"/>
                      <w:lang w:val="en-US" w:eastAsia="zh-CN"/>
                    </w:rPr>
                  </w:pPr>
                  <w:r>
                    <w:rPr>
                      <w:rFonts w:hint="eastAsia"/>
                      <w:vertAlign w:val="baseline"/>
                      <w:lang w:val="en-US" w:eastAsia="zh-CN"/>
                    </w:rPr>
                    <w:t>张家湾2#居民点</w:t>
                  </w:r>
                </w:p>
              </w:tc>
              <w:tc>
                <w:tcPr>
                  <w:tcW w:w="426" w:type="pct"/>
                  <w:noWrap w:val="0"/>
                  <w:vAlign w:val="center"/>
                </w:tcPr>
                <w:p w14:paraId="7AA2C563">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outlineLvl w:val="1"/>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东</w:t>
                  </w:r>
                  <w:r>
                    <w:rPr>
                      <w:rFonts w:hint="eastAsia" w:ascii="Times New Roman" w:hAnsi="Times New Roman" w:eastAsia="宋体"/>
                      <w:color w:val="auto"/>
                      <w:sz w:val="21"/>
                      <w:szCs w:val="21"/>
                    </w:rPr>
                    <w:t>侧</w:t>
                  </w:r>
                </w:p>
              </w:tc>
              <w:tc>
                <w:tcPr>
                  <w:tcW w:w="571" w:type="pct"/>
                  <w:noWrap w:val="0"/>
                  <w:vAlign w:val="center"/>
                </w:tcPr>
                <w:p w14:paraId="3CAFD729">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outlineLvl w:val="1"/>
                    <w:rPr>
                      <w:rFonts w:hint="eastAsia" w:ascii="Times New Roman" w:hAnsi="Times New Roman" w:eastAsia="宋体"/>
                      <w:color w:val="auto"/>
                      <w:sz w:val="21"/>
                      <w:szCs w:val="21"/>
                    </w:rPr>
                  </w:pPr>
                  <w:r>
                    <w:rPr>
                      <w:rFonts w:hint="eastAsia" w:ascii="Times New Roman" w:hAnsi="Times New Roman" w:eastAsia="宋体"/>
                      <w:color w:val="auto"/>
                      <w:sz w:val="21"/>
                      <w:szCs w:val="21"/>
                      <w:lang w:val="en-US" w:eastAsia="zh-CN"/>
                    </w:rPr>
                    <w:t>88m</w:t>
                  </w:r>
                </w:p>
              </w:tc>
              <w:tc>
                <w:tcPr>
                  <w:tcW w:w="556" w:type="pct"/>
                  <w:noWrap w:val="0"/>
                  <w:vAlign w:val="center"/>
                </w:tcPr>
                <w:p w14:paraId="53296419">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outlineLvl w:val="1"/>
                    <w:rPr>
                      <w:rFonts w:hint="eastAsia" w:ascii="Times New Roman" w:hAnsi="Times New Roman" w:eastAsia="宋体"/>
                      <w:color w:val="auto"/>
                      <w:sz w:val="21"/>
                      <w:szCs w:val="21"/>
                    </w:rPr>
                  </w:pPr>
                  <w:r>
                    <w:rPr>
                      <w:rFonts w:hint="eastAsia" w:ascii="Times New Roman" w:hAnsi="Times New Roman" w:eastAsia="宋体"/>
                      <w:color w:val="auto"/>
                      <w:sz w:val="21"/>
                      <w:szCs w:val="21"/>
                      <w:lang w:val="en-US" w:eastAsia="zh-CN"/>
                    </w:rPr>
                    <w:t>118m</w:t>
                  </w:r>
                </w:p>
              </w:tc>
              <w:tc>
                <w:tcPr>
                  <w:tcW w:w="554" w:type="pct"/>
                  <w:noWrap w:val="0"/>
                  <w:vAlign w:val="center"/>
                </w:tcPr>
                <w:p w14:paraId="7E8B2B97">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cs="Times New Roman"/>
                      <w:szCs w:val="21"/>
                      <w:lang w:val="en-US" w:eastAsia="zh-CN"/>
                    </w:rPr>
                  </w:pPr>
                  <w:r>
                    <w:rPr>
                      <w:rFonts w:hint="eastAsia" w:cs="Times New Roman"/>
                      <w:szCs w:val="21"/>
                      <w:lang w:val="en-US" w:eastAsia="zh-CN"/>
                    </w:rPr>
                    <w:t>约15户，50人</w:t>
                  </w:r>
                </w:p>
              </w:tc>
              <w:tc>
                <w:tcPr>
                  <w:tcW w:w="1447" w:type="pct"/>
                  <w:vMerge w:val="continue"/>
                  <w:noWrap w:val="0"/>
                  <w:vAlign w:val="center"/>
                </w:tcPr>
                <w:p w14:paraId="6B5A3340">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rPr>
                  </w:pPr>
                </w:p>
              </w:tc>
            </w:tr>
            <w:tr w14:paraId="0FC55C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705" w:type="pct"/>
                  <w:vMerge w:val="continue"/>
                  <w:noWrap w:val="0"/>
                  <w:vAlign w:val="center"/>
                </w:tcPr>
                <w:p w14:paraId="750A9248">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rPr>
                  </w:pPr>
                </w:p>
              </w:tc>
              <w:tc>
                <w:tcPr>
                  <w:tcW w:w="739" w:type="pct"/>
                  <w:noWrap w:val="0"/>
                  <w:vAlign w:val="center"/>
                </w:tcPr>
                <w:p w14:paraId="34B4BDAC">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vertAlign w:val="baseline"/>
                      <w:lang w:val="en-US" w:eastAsia="zh-CN"/>
                    </w:rPr>
                  </w:pPr>
                  <w:r>
                    <w:rPr>
                      <w:rFonts w:hint="eastAsia"/>
                      <w:vertAlign w:val="baseline"/>
                      <w:lang w:val="en-US" w:eastAsia="zh-CN"/>
                    </w:rPr>
                    <w:t>张家湾3#居民点</w:t>
                  </w:r>
                </w:p>
              </w:tc>
              <w:tc>
                <w:tcPr>
                  <w:tcW w:w="426" w:type="pct"/>
                  <w:noWrap w:val="0"/>
                  <w:vAlign w:val="center"/>
                </w:tcPr>
                <w:p w14:paraId="7C6809DD">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outlineLvl w:val="1"/>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东</w:t>
                  </w:r>
                  <w:r>
                    <w:rPr>
                      <w:rFonts w:hint="eastAsia" w:ascii="Times New Roman" w:hAnsi="Times New Roman" w:eastAsia="宋体"/>
                      <w:color w:val="auto"/>
                      <w:sz w:val="21"/>
                      <w:szCs w:val="21"/>
                    </w:rPr>
                    <w:t>北侧</w:t>
                  </w:r>
                </w:p>
              </w:tc>
              <w:tc>
                <w:tcPr>
                  <w:tcW w:w="571" w:type="pct"/>
                  <w:noWrap w:val="0"/>
                  <w:vAlign w:val="center"/>
                </w:tcPr>
                <w:p w14:paraId="592193C9">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outlineLvl w:val="1"/>
                    <w:rPr>
                      <w:rFonts w:hint="eastAsia" w:ascii="Times New Roman" w:hAnsi="Times New Roman" w:eastAsia="宋体"/>
                      <w:color w:val="auto"/>
                      <w:sz w:val="21"/>
                      <w:szCs w:val="21"/>
                    </w:rPr>
                  </w:pPr>
                  <w:r>
                    <w:rPr>
                      <w:rFonts w:hint="eastAsia" w:ascii="Times New Roman" w:hAnsi="Times New Roman" w:eastAsia="宋体"/>
                      <w:color w:val="auto"/>
                      <w:sz w:val="21"/>
                      <w:szCs w:val="21"/>
                      <w:lang w:val="en-US" w:eastAsia="zh-CN"/>
                    </w:rPr>
                    <w:t>138</w:t>
                  </w:r>
                  <w:r>
                    <w:rPr>
                      <w:rFonts w:hint="eastAsia" w:ascii="Times New Roman" w:hAnsi="Times New Roman" w:eastAsia="宋体"/>
                      <w:color w:val="auto"/>
                      <w:sz w:val="21"/>
                      <w:szCs w:val="21"/>
                    </w:rPr>
                    <w:t>m</w:t>
                  </w:r>
                </w:p>
              </w:tc>
              <w:tc>
                <w:tcPr>
                  <w:tcW w:w="556" w:type="pct"/>
                  <w:noWrap w:val="0"/>
                  <w:vAlign w:val="center"/>
                </w:tcPr>
                <w:p w14:paraId="12014A3E">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outlineLvl w:val="1"/>
                    <w:rPr>
                      <w:rFonts w:hint="eastAsia" w:ascii="Times New Roman" w:hAnsi="Times New Roman" w:eastAsia="宋体"/>
                      <w:color w:val="auto"/>
                      <w:sz w:val="21"/>
                      <w:szCs w:val="21"/>
                    </w:rPr>
                  </w:pPr>
                  <w:r>
                    <w:rPr>
                      <w:rFonts w:hint="eastAsia" w:ascii="Times New Roman" w:hAnsi="Times New Roman" w:eastAsia="宋体"/>
                      <w:color w:val="auto"/>
                      <w:sz w:val="21"/>
                      <w:szCs w:val="21"/>
                      <w:lang w:val="en-US" w:eastAsia="zh-CN"/>
                    </w:rPr>
                    <w:t>157</w:t>
                  </w:r>
                  <w:r>
                    <w:rPr>
                      <w:rFonts w:hint="eastAsia" w:ascii="Times New Roman" w:hAnsi="Times New Roman" w:eastAsia="宋体"/>
                      <w:color w:val="auto"/>
                      <w:sz w:val="21"/>
                      <w:szCs w:val="21"/>
                    </w:rPr>
                    <w:t>m</w:t>
                  </w:r>
                </w:p>
              </w:tc>
              <w:tc>
                <w:tcPr>
                  <w:tcW w:w="554" w:type="pct"/>
                  <w:noWrap w:val="0"/>
                  <w:vAlign w:val="center"/>
                </w:tcPr>
                <w:p w14:paraId="200326C6">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cs="Times New Roman"/>
                      <w:szCs w:val="21"/>
                      <w:lang w:val="en-US" w:eastAsia="zh-CN"/>
                    </w:rPr>
                  </w:pPr>
                  <w:r>
                    <w:rPr>
                      <w:rFonts w:hint="eastAsia" w:cs="Times New Roman"/>
                      <w:szCs w:val="21"/>
                      <w:lang w:val="en-US" w:eastAsia="zh-CN"/>
                    </w:rPr>
                    <w:t>6户，20人</w:t>
                  </w:r>
                </w:p>
              </w:tc>
              <w:tc>
                <w:tcPr>
                  <w:tcW w:w="1447" w:type="pct"/>
                  <w:vMerge w:val="continue"/>
                  <w:noWrap w:val="0"/>
                  <w:vAlign w:val="center"/>
                </w:tcPr>
                <w:p w14:paraId="57A61C64">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rPr>
                  </w:pPr>
                </w:p>
              </w:tc>
            </w:tr>
            <w:tr w14:paraId="5054E9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705" w:type="pct"/>
                  <w:vMerge w:val="continue"/>
                  <w:noWrap w:val="0"/>
                  <w:vAlign w:val="center"/>
                </w:tcPr>
                <w:p w14:paraId="7739B699">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rPr>
                  </w:pPr>
                </w:p>
              </w:tc>
              <w:tc>
                <w:tcPr>
                  <w:tcW w:w="739" w:type="pct"/>
                  <w:noWrap w:val="0"/>
                  <w:vAlign w:val="center"/>
                </w:tcPr>
                <w:p w14:paraId="7B1A7197">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rPr>
                      <w:rFonts w:hint="eastAsia" w:ascii="Times New Roman" w:hAnsi="Times New Roman" w:eastAsia="宋体" w:cs="Times New Roman"/>
                      <w:color w:val="auto"/>
                      <w:sz w:val="21"/>
                      <w:szCs w:val="21"/>
                      <w:lang w:val="en-US" w:eastAsia="zh-CN"/>
                    </w:rPr>
                  </w:pPr>
                  <w:r>
                    <w:rPr>
                      <w:rFonts w:hint="eastAsia"/>
                      <w:vertAlign w:val="baseline"/>
                      <w:lang w:val="en-US" w:eastAsia="zh-CN"/>
                    </w:rPr>
                    <w:t>小鱼箭居民点</w:t>
                  </w:r>
                </w:p>
              </w:tc>
              <w:tc>
                <w:tcPr>
                  <w:tcW w:w="426" w:type="pct"/>
                  <w:noWrap w:val="0"/>
                  <w:vAlign w:val="center"/>
                </w:tcPr>
                <w:p w14:paraId="2851D79F">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outlineLvl w:val="1"/>
                    <w:rPr>
                      <w:rFonts w:hint="eastAsia" w:ascii="Times New Roman" w:hAnsi="Times New Roman" w:eastAsia="宋体" w:cs="Times New Roman"/>
                      <w:color w:val="auto"/>
                      <w:sz w:val="21"/>
                      <w:szCs w:val="21"/>
                      <w:lang w:val="en-US" w:eastAsia="zh-CN"/>
                    </w:rPr>
                  </w:pPr>
                  <w:r>
                    <w:rPr>
                      <w:rFonts w:hint="eastAsia" w:ascii="Times New Roman" w:hAnsi="Times New Roman" w:eastAsia="宋体"/>
                      <w:color w:val="auto"/>
                      <w:sz w:val="21"/>
                      <w:szCs w:val="21"/>
                      <w:lang w:val="en-US" w:eastAsia="zh-CN"/>
                    </w:rPr>
                    <w:t>东</w:t>
                  </w:r>
                  <w:r>
                    <w:rPr>
                      <w:rFonts w:hint="eastAsia" w:ascii="Times New Roman" w:hAnsi="Times New Roman" w:eastAsia="宋体"/>
                      <w:color w:val="auto"/>
                      <w:sz w:val="21"/>
                      <w:szCs w:val="21"/>
                    </w:rPr>
                    <w:t>北侧</w:t>
                  </w:r>
                </w:p>
              </w:tc>
              <w:tc>
                <w:tcPr>
                  <w:tcW w:w="571" w:type="pct"/>
                  <w:noWrap w:val="0"/>
                  <w:vAlign w:val="center"/>
                </w:tcPr>
                <w:p w14:paraId="286A284A">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outlineLvl w:val="1"/>
                    <w:rPr>
                      <w:rFonts w:hint="eastAsia" w:ascii="Times New Roman" w:hAnsi="Times New Roman" w:eastAsia="宋体" w:cs="Times New Roman"/>
                      <w:color w:val="auto"/>
                      <w:sz w:val="21"/>
                      <w:szCs w:val="21"/>
                      <w:lang w:val="en-US" w:eastAsia="zh-CN"/>
                    </w:rPr>
                  </w:pPr>
                  <w:r>
                    <w:rPr>
                      <w:rFonts w:hint="eastAsia" w:ascii="Times New Roman" w:hAnsi="Times New Roman" w:eastAsia="宋体"/>
                      <w:color w:val="auto"/>
                      <w:sz w:val="21"/>
                      <w:szCs w:val="21"/>
                      <w:lang w:val="en-US" w:eastAsia="zh-CN"/>
                    </w:rPr>
                    <w:t>330</w:t>
                  </w:r>
                  <w:r>
                    <w:rPr>
                      <w:rFonts w:hint="eastAsia" w:ascii="Times New Roman" w:hAnsi="Times New Roman" w:eastAsia="宋体"/>
                      <w:color w:val="auto"/>
                      <w:sz w:val="21"/>
                      <w:szCs w:val="21"/>
                    </w:rPr>
                    <w:t>m</w:t>
                  </w:r>
                </w:p>
              </w:tc>
              <w:tc>
                <w:tcPr>
                  <w:tcW w:w="556" w:type="pct"/>
                  <w:noWrap w:val="0"/>
                  <w:vAlign w:val="center"/>
                </w:tcPr>
                <w:p w14:paraId="60D1A715">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leftChars="0" w:right="0" w:rightChars="0"/>
                    <w:jc w:val="center"/>
                    <w:textAlignment w:val="auto"/>
                    <w:outlineLvl w:val="1"/>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360</w:t>
                  </w:r>
                  <w:r>
                    <w:rPr>
                      <w:rFonts w:hint="eastAsia" w:ascii="Times New Roman" w:hAnsi="Times New Roman" w:eastAsia="宋体"/>
                      <w:color w:val="auto"/>
                      <w:sz w:val="21"/>
                      <w:szCs w:val="21"/>
                    </w:rPr>
                    <w:t>m</w:t>
                  </w:r>
                </w:p>
              </w:tc>
              <w:tc>
                <w:tcPr>
                  <w:tcW w:w="554" w:type="pct"/>
                  <w:noWrap w:val="0"/>
                  <w:vAlign w:val="center"/>
                </w:tcPr>
                <w:p w14:paraId="6F4A21C7">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ascii="Times New Roman" w:hAnsi="Times New Roman" w:eastAsia="宋体" w:cs="Times New Roman"/>
                    </w:rPr>
                  </w:pPr>
                  <w:r>
                    <w:rPr>
                      <w:rFonts w:hint="eastAsia" w:cs="Times New Roman"/>
                      <w:szCs w:val="21"/>
                      <w:lang w:val="en-US" w:eastAsia="zh-CN"/>
                    </w:rPr>
                    <w:t>约23户，70人</w:t>
                  </w:r>
                </w:p>
              </w:tc>
              <w:tc>
                <w:tcPr>
                  <w:tcW w:w="1447" w:type="pct"/>
                  <w:vMerge w:val="continue"/>
                  <w:noWrap w:val="0"/>
                  <w:vAlign w:val="center"/>
                </w:tcPr>
                <w:p w14:paraId="266243F6">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rPr>
                  </w:pPr>
                </w:p>
              </w:tc>
            </w:tr>
            <w:tr w14:paraId="166F23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705" w:type="pct"/>
                  <w:noWrap w:val="0"/>
                  <w:vAlign w:val="center"/>
                </w:tcPr>
                <w:p w14:paraId="2BD95C11">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地下水环境</w:t>
                  </w:r>
                </w:p>
              </w:tc>
              <w:tc>
                <w:tcPr>
                  <w:tcW w:w="2292" w:type="pct"/>
                  <w:gridSpan w:val="4"/>
                  <w:noWrap w:val="0"/>
                  <w:vAlign w:val="center"/>
                </w:tcPr>
                <w:p w14:paraId="59DE8B00">
                  <w:pPr>
                    <w:keepNext w:val="0"/>
                    <w:keepLines w:val="0"/>
                    <w:suppressLineNumbers w:val="0"/>
                    <w:snapToGrid w:val="0"/>
                    <w:spacing w:before="0" w:beforeAutospacing="0" w:after="0" w:afterAutospacing="0"/>
                    <w:ind w:left="0" w:right="0"/>
                    <w:jc w:val="center"/>
                    <w:rPr>
                      <w:rFonts w:hint="eastAsia" w:ascii="Times New Roman" w:hAnsi="Times New Roman" w:eastAsia="宋体" w:cs="Times New Roman"/>
                    </w:rPr>
                  </w:pPr>
                  <w:r>
                    <w:rPr>
                      <w:rStyle w:val="45"/>
                      <w:rFonts w:hint="eastAsia" w:ascii="Times New Roman" w:hAnsi="Times New Roman" w:eastAsia="宋体" w:cs="宋体"/>
                      <w:szCs w:val="21"/>
                    </w:rPr>
                    <w:t>根据现场踏勘，</w:t>
                  </w:r>
                  <w:r>
                    <w:rPr>
                      <w:rFonts w:hint="eastAsia" w:ascii="Times New Roman" w:hAnsi="Times New Roman" w:eastAsia="宋体" w:cs="宋体"/>
                      <w:szCs w:val="21"/>
                    </w:rPr>
                    <w:t>项目厂界外500m范围内无地下水集中式饮用水水源和热水、矿泉水、温泉等特殊地下水资源</w:t>
                  </w:r>
                </w:p>
              </w:tc>
              <w:tc>
                <w:tcPr>
                  <w:tcW w:w="554" w:type="pct"/>
                  <w:noWrap w:val="0"/>
                  <w:vAlign w:val="center"/>
                </w:tcPr>
                <w:p w14:paraId="2FE2174A">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Style w:val="45"/>
                      <w:rFonts w:hint="eastAsia" w:ascii="Times New Roman" w:hAnsi="Times New Roman" w:eastAsia="宋体" w:cs="宋体"/>
                      <w:szCs w:val="21"/>
                      <w:lang w:val="en-US" w:eastAsia="zh-CN"/>
                    </w:rPr>
                  </w:pPr>
                  <w:r>
                    <w:rPr>
                      <w:rStyle w:val="45"/>
                      <w:rFonts w:hint="eastAsia" w:cs="宋体"/>
                      <w:szCs w:val="21"/>
                      <w:lang w:val="en-US" w:eastAsia="zh-CN"/>
                    </w:rPr>
                    <w:t>/</w:t>
                  </w:r>
                </w:p>
              </w:tc>
              <w:tc>
                <w:tcPr>
                  <w:tcW w:w="1447" w:type="pct"/>
                  <w:vMerge w:val="continue"/>
                  <w:noWrap w:val="0"/>
                  <w:vAlign w:val="center"/>
                </w:tcPr>
                <w:p w14:paraId="0B48FC7D">
                  <w:pPr>
                    <w:keepNext w:val="0"/>
                    <w:keepLines w:val="0"/>
                    <w:suppressLineNumbers w:val="0"/>
                    <w:snapToGrid w:val="0"/>
                    <w:spacing w:before="0" w:beforeAutospacing="0" w:after="0" w:afterAutospacing="0"/>
                    <w:ind w:left="0" w:right="0"/>
                    <w:jc w:val="center"/>
                    <w:rPr>
                      <w:rFonts w:hint="eastAsia" w:ascii="Times New Roman" w:hAnsi="Times New Roman" w:eastAsia="宋体" w:cs="Times New Roman"/>
                    </w:rPr>
                  </w:pPr>
                </w:p>
              </w:tc>
            </w:tr>
            <w:tr w14:paraId="64BABF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705" w:type="pct"/>
                  <w:noWrap w:val="0"/>
                  <w:vAlign w:val="center"/>
                </w:tcPr>
                <w:p w14:paraId="30560ADA">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生态环境</w:t>
                  </w:r>
                </w:p>
              </w:tc>
              <w:tc>
                <w:tcPr>
                  <w:tcW w:w="2292" w:type="pct"/>
                  <w:gridSpan w:val="4"/>
                  <w:noWrap w:val="0"/>
                  <w:vAlign w:val="center"/>
                </w:tcPr>
                <w:p w14:paraId="6D442824">
                  <w:pPr>
                    <w:keepNext w:val="0"/>
                    <w:keepLines w:val="0"/>
                    <w:suppressLineNumbers w:val="0"/>
                    <w:snapToGrid w:val="0"/>
                    <w:spacing w:before="0" w:beforeAutospacing="0" w:after="0" w:afterAutospacing="0"/>
                    <w:ind w:left="0" w:right="0"/>
                    <w:jc w:val="center"/>
                    <w:rPr>
                      <w:rFonts w:hint="eastAsia" w:ascii="Times New Roman" w:hAnsi="Times New Roman" w:eastAsia="宋体" w:cs="Times New Roman"/>
                    </w:rPr>
                  </w:pPr>
                  <w:r>
                    <w:rPr>
                      <w:rStyle w:val="45"/>
                      <w:rFonts w:hint="eastAsia" w:ascii="Times New Roman" w:hAnsi="Times New Roman" w:eastAsia="宋体" w:cs="宋体"/>
                      <w:szCs w:val="21"/>
                    </w:rPr>
                    <w:t>根据现场踏勘，</w:t>
                  </w:r>
                  <w:r>
                    <w:rPr>
                      <w:rFonts w:hint="eastAsia" w:ascii="Times New Roman" w:hAnsi="Times New Roman" w:eastAsia="宋体" w:cs="宋体"/>
                      <w:szCs w:val="21"/>
                    </w:rPr>
                    <w:t>本项目用地范围内无生态环境保护目标</w:t>
                  </w:r>
                </w:p>
              </w:tc>
              <w:tc>
                <w:tcPr>
                  <w:tcW w:w="554" w:type="pct"/>
                  <w:noWrap w:val="0"/>
                  <w:vAlign w:val="center"/>
                </w:tcPr>
                <w:p w14:paraId="3469C395">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Style w:val="45"/>
                      <w:rFonts w:hint="eastAsia" w:ascii="Times New Roman" w:hAnsi="Times New Roman" w:eastAsia="宋体" w:cs="宋体"/>
                      <w:szCs w:val="21"/>
                      <w:lang w:val="en-US" w:eastAsia="zh-CN"/>
                    </w:rPr>
                  </w:pPr>
                  <w:r>
                    <w:rPr>
                      <w:rStyle w:val="45"/>
                      <w:rFonts w:hint="eastAsia" w:cs="宋体"/>
                      <w:szCs w:val="21"/>
                      <w:lang w:val="en-US" w:eastAsia="zh-CN"/>
                    </w:rPr>
                    <w:t>/</w:t>
                  </w:r>
                </w:p>
              </w:tc>
              <w:tc>
                <w:tcPr>
                  <w:tcW w:w="1447" w:type="pct"/>
                  <w:vMerge w:val="continue"/>
                  <w:noWrap w:val="0"/>
                  <w:vAlign w:val="center"/>
                </w:tcPr>
                <w:p w14:paraId="2E6A1684">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rPr>
                  </w:pPr>
                </w:p>
              </w:tc>
            </w:tr>
          </w:tbl>
          <w:p w14:paraId="33972AE9">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eastAsia="宋体" w:cs="宋体"/>
                <w:kern w:val="0"/>
                <w:szCs w:val="21"/>
              </w:rPr>
            </w:pPr>
          </w:p>
        </w:tc>
      </w:tr>
      <w:tr w14:paraId="4C5028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4" w:type="dxa"/>
            <w:noWrap w:val="0"/>
            <w:tcMar>
              <w:left w:w="28" w:type="dxa"/>
              <w:right w:w="28" w:type="dxa"/>
            </w:tcMar>
            <w:vAlign w:val="center"/>
          </w:tcPr>
          <w:p w14:paraId="2EA66E5C">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kern w:val="0"/>
                <w:sz w:val="24"/>
              </w:rPr>
            </w:pPr>
            <w:r>
              <w:rPr>
                <w:rFonts w:hint="eastAsia" w:ascii="Times New Roman" w:hAnsi="Times New Roman" w:eastAsia="宋体" w:cs="宋体"/>
                <w:kern w:val="0"/>
                <w:sz w:val="24"/>
              </w:rPr>
              <w:t>污染</w:t>
            </w:r>
          </w:p>
          <w:p w14:paraId="42F5D350">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kern w:val="0"/>
                <w:sz w:val="24"/>
              </w:rPr>
            </w:pPr>
            <w:r>
              <w:rPr>
                <w:rFonts w:hint="eastAsia" w:ascii="Times New Roman" w:hAnsi="Times New Roman" w:eastAsia="宋体" w:cs="宋体"/>
                <w:kern w:val="0"/>
                <w:sz w:val="24"/>
              </w:rPr>
              <w:t>物排</w:t>
            </w:r>
          </w:p>
          <w:p w14:paraId="6F4ED080">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kern w:val="0"/>
                <w:sz w:val="24"/>
              </w:rPr>
            </w:pPr>
            <w:r>
              <w:rPr>
                <w:rFonts w:hint="eastAsia" w:ascii="Times New Roman" w:hAnsi="Times New Roman" w:eastAsia="宋体" w:cs="宋体"/>
                <w:kern w:val="0"/>
                <w:sz w:val="24"/>
              </w:rPr>
              <w:t>放控</w:t>
            </w:r>
          </w:p>
          <w:p w14:paraId="3132B12B">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kern w:val="0"/>
                <w:sz w:val="24"/>
              </w:rPr>
            </w:pPr>
            <w:r>
              <w:rPr>
                <w:rFonts w:hint="eastAsia" w:ascii="Times New Roman" w:hAnsi="Times New Roman" w:eastAsia="宋体" w:cs="宋体"/>
                <w:kern w:val="0"/>
                <w:sz w:val="24"/>
              </w:rPr>
              <w:t>制标</w:t>
            </w:r>
          </w:p>
          <w:p w14:paraId="0071FB7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kern w:val="0"/>
                <w:szCs w:val="21"/>
              </w:rPr>
            </w:pPr>
            <w:r>
              <w:rPr>
                <w:rFonts w:hint="eastAsia" w:ascii="Times New Roman" w:hAnsi="Times New Roman" w:eastAsia="宋体" w:cs="宋体"/>
                <w:kern w:val="0"/>
                <w:sz w:val="24"/>
              </w:rPr>
              <w:t>准</w:t>
            </w:r>
          </w:p>
        </w:tc>
        <w:tc>
          <w:tcPr>
            <w:tcW w:w="8657" w:type="dxa"/>
            <w:noWrap w:val="0"/>
            <w:vAlign w:val="center"/>
          </w:tcPr>
          <w:p w14:paraId="147B15F6">
            <w:pPr>
              <w:keepNext w:val="0"/>
              <w:keepLines w:val="0"/>
              <w:suppressLineNumbers w:val="0"/>
              <w:autoSpaceDE w:val="0"/>
              <w:autoSpaceDN w:val="0"/>
              <w:adjustRightInd w:val="0"/>
              <w:spacing w:before="0" w:beforeAutospacing="0" w:after="0" w:afterAutospacing="0" w:line="312" w:lineRule="auto"/>
              <w:ind w:left="0" w:right="0"/>
              <w:jc w:val="left"/>
              <w:rPr>
                <w:rFonts w:hint="default" w:ascii="Times New Roman" w:hAnsi="Times New Roman" w:eastAsia="宋体" w:cs="Times New Roman"/>
                <w:b/>
                <w:sz w:val="24"/>
              </w:rPr>
            </w:pPr>
            <w:r>
              <w:rPr>
                <w:rFonts w:hint="eastAsia" w:ascii="Times New Roman" w:hAnsi="Times New Roman" w:eastAsia="宋体" w:cs="Times New Roman"/>
                <w:b/>
                <w:sz w:val="24"/>
              </w:rPr>
              <w:t>一</w:t>
            </w:r>
            <w:r>
              <w:rPr>
                <w:rFonts w:hint="default" w:ascii="Times New Roman" w:hAnsi="Times New Roman" w:eastAsia="宋体" w:cs="Times New Roman"/>
                <w:b/>
                <w:sz w:val="24"/>
              </w:rPr>
              <w:t>、水污染物排放标准：</w:t>
            </w:r>
          </w:p>
          <w:p w14:paraId="3B23BA65">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宋体" w:cs="宋体"/>
                <w:color w:val="000000"/>
                <w:kern w:val="0"/>
                <w:sz w:val="24"/>
                <w:lang w:val="en-US" w:eastAsia="zh-CN" w:bidi="ar"/>
              </w:rPr>
            </w:pPr>
            <w:r>
              <w:rPr>
                <w:rFonts w:hint="eastAsia" w:ascii="Times New Roman" w:hAnsi="Times New Roman" w:eastAsia="宋体" w:cs="宋体"/>
                <w:color w:val="000000"/>
                <w:kern w:val="0"/>
                <w:sz w:val="24"/>
                <w:lang w:val="en-US" w:eastAsia="zh-CN" w:bidi="ar"/>
              </w:rPr>
              <w:t>本项目运营期生活污水经预处理池</w:t>
            </w:r>
            <w:r>
              <w:rPr>
                <w:rFonts w:hint="eastAsia" w:cs="宋体"/>
                <w:color w:val="000000"/>
                <w:kern w:val="0"/>
                <w:sz w:val="24"/>
                <w:lang w:val="en-US" w:eastAsia="zh-CN" w:bidi="ar"/>
              </w:rPr>
              <w:t>处理</w:t>
            </w:r>
            <w:r>
              <w:rPr>
                <w:rFonts w:hint="eastAsia" w:ascii="Times New Roman" w:hAnsi="Times New Roman" w:eastAsia="宋体" w:cs="宋体"/>
                <w:color w:val="000000"/>
                <w:kern w:val="0"/>
                <w:sz w:val="24"/>
                <w:lang w:val="en-US" w:eastAsia="zh-CN" w:bidi="ar"/>
              </w:rPr>
              <w:t>后定期由槽罐车转运至</w:t>
            </w:r>
            <w:r>
              <w:rPr>
                <w:rFonts w:hint="eastAsia" w:cs="宋体"/>
                <w:color w:val="000000"/>
                <w:kern w:val="0"/>
                <w:sz w:val="24"/>
                <w:lang w:val="en-US" w:eastAsia="zh-CN" w:bidi="ar"/>
              </w:rPr>
              <w:t>邻水县大步口污水处理站</w:t>
            </w:r>
            <w:r>
              <w:rPr>
                <w:rFonts w:hint="eastAsia" w:ascii="Times New Roman" w:hAnsi="Times New Roman" w:eastAsia="宋体" w:cs="宋体"/>
                <w:color w:val="000000"/>
                <w:kern w:val="0"/>
                <w:sz w:val="24"/>
                <w:lang w:val="en-US" w:eastAsia="zh-CN" w:bidi="ar"/>
              </w:rPr>
              <w:t>进行进一步处理后排入大洪河；厂区</w:t>
            </w:r>
            <w:r>
              <w:rPr>
                <w:rFonts w:hint="eastAsia" w:cs="宋体"/>
                <w:color w:val="000000"/>
                <w:kern w:val="0"/>
                <w:sz w:val="24"/>
                <w:lang w:val="en-US" w:eastAsia="zh-CN" w:bidi="ar"/>
              </w:rPr>
              <w:t>洗砂废水、</w:t>
            </w:r>
            <w:r>
              <w:rPr>
                <w:rFonts w:hint="eastAsia" w:ascii="Times New Roman" w:hAnsi="Times New Roman" w:eastAsia="宋体" w:cs="宋体"/>
                <w:color w:val="000000"/>
                <w:kern w:val="0"/>
                <w:sz w:val="24"/>
                <w:lang w:val="en-US" w:eastAsia="zh-CN" w:bidi="ar"/>
              </w:rPr>
              <w:t>初期雨水</w:t>
            </w:r>
            <w:r>
              <w:rPr>
                <w:rFonts w:hint="eastAsia" w:cs="宋体"/>
                <w:color w:val="000000"/>
                <w:kern w:val="0"/>
                <w:sz w:val="24"/>
                <w:lang w:val="en-US" w:eastAsia="zh-CN" w:bidi="ar"/>
              </w:rPr>
              <w:t>、车辆冲洗</w:t>
            </w:r>
            <w:r>
              <w:rPr>
                <w:rFonts w:hint="eastAsia" w:ascii="Times New Roman" w:hAnsi="Times New Roman" w:eastAsia="宋体" w:cs="宋体"/>
                <w:color w:val="000000"/>
                <w:kern w:val="0"/>
                <w:sz w:val="24"/>
                <w:lang w:val="en-US" w:eastAsia="zh-CN" w:bidi="ar"/>
              </w:rPr>
              <w:t>废水</w:t>
            </w:r>
            <w:r>
              <w:rPr>
                <w:rFonts w:hint="eastAsia" w:cs="宋体"/>
                <w:color w:val="000000"/>
                <w:kern w:val="0"/>
                <w:sz w:val="24"/>
                <w:lang w:val="en-US" w:eastAsia="zh-CN" w:bidi="ar"/>
              </w:rPr>
              <w:t>和降尘废水</w:t>
            </w:r>
            <w:r>
              <w:rPr>
                <w:rFonts w:hint="eastAsia" w:ascii="Times New Roman" w:hAnsi="Times New Roman" w:eastAsia="宋体" w:cs="宋体"/>
                <w:color w:val="000000"/>
                <w:kern w:val="0"/>
                <w:sz w:val="24"/>
                <w:lang w:val="en-US" w:eastAsia="zh-CN" w:bidi="ar"/>
              </w:rPr>
              <w:t>经一套废水处理设施（处理能力</w:t>
            </w:r>
            <w:r>
              <w:rPr>
                <w:rFonts w:hint="eastAsia" w:cs="宋体"/>
                <w:color w:val="000000"/>
                <w:kern w:val="0"/>
                <w:sz w:val="24"/>
                <w:lang w:val="en-US" w:eastAsia="zh-CN" w:bidi="ar"/>
              </w:rPr>
              <w:t>1</w:t>
            </w:r>
            <w:r>
              <w:rPr>
                <w:rFonts w:hint="eastAsia" w:ascii="Times New Roman" w:hAnsi="Times New Roman" w:eastAsia="宋体" w:cs="宋体"/>
                <w:color w:val="000000"/>
                <w:kern w:val="0"/>
                <w:sz w:val="24"/>
                <w:lang w:val="en-US" w:eastAsia="zh-CN" w:bidi="ar"/>
              </w:rPr>
              <w:t>50m</w:t>
            </w:r>
            <w:r>
              <w:rPr>
                <w:rFonts w:hint="eastAsia" w:ascii="Times New Roman" w:hAnsi="Times New Roman" w:eastAsia="宋体" w:cs="宋体"/>
                <w:color w:val="000000"/>
                <w:kern w:val="0"/>
                <w:sz w:val="24"/>
                <w:vertAlign w:val="superscript"/>
                <w:lang w:val="en-US" w:eastAsia="zh-CN" w:bidi="ar"/>
              </w:rPr>
              <w:t>3</w:t>
            </w:r>
            <w:r>
              <w:rPr>
                <w:rFonts w:hint="eastAsia" w:ascii="Times New Roman" w:hAnsi="Times New Roman" w:eastAsia="宋体" w:cs="宋体"/>
                <w:color w:val="000000"/>
                <w:kern w:val="0"/>
                <w:sz w:val="24"/>
                <w:lang w:val="en-US" w:eastAsia="zh-CN" w:bidi="ar"/>
              </w:rPr>
              <w:t>/d）处理后回用于生产。</w:t>
            </w:r>
            <w:r>
              <w:rPr>
                <w:rFonts w:hint="eastAsia" w:cs="宋体"/>
                <w:color w:val="000000"/>
                <w:kern w:val="0"/>
                <w:sz w:val="24"/>
                <w:lang w:val="en-US" w:eastAsia="zh-CN" w:bidi="ar"/>
              </w:rPr>
              <w:t>项目外排废水执行《污水综合排放标准》（GB8978-1996）中三级标准，其中TP、NH</w:t>
            </w:r>
            <w:r>
              <w:rPr>
                <w:rFonts w:hint="eastAsia" w:cs="宋体"/>
                <w:color w:val="000000"/>
                <w:kern w:val="0"/>
                <w:sz w:val="24"/>
                <w:vertAlign w:val="subscript"/>
                <w:lang w:val="en-US" w:eastAsia="zh-CN" w:bidi="ar"/>
              </w:rPr>
              <w:t>3</w:t>
            </w:r>
            <w:r>
              <w:rPr>
                <w:rFonts w:hint="eastAsia" w:cs="宋体"/>
                <w:color w:val="000000"/>
                <w:kern w:val="0"/>
                <w:sz w:val="24"/>
                <w:lang w:val="en-US" w:eastAsia="zh-CN" w:bidi="ar"/>
              </w:rPr>
              <w:t>-N参照执行《污水排入城镇下水道水质标准》(GB/T31962-2015)中B级标准。标准限值见下表。</w:t>
            </w:r>
          </w:p>
          <w:p w14:paraId="6414C5C5">
            <w:pPr>
              <w:keepNext w:val="0"/>
              <w:keepLines w:val="0"/>
              <w:suppressLineNumbers w:val="0"/>
              <w:tabs>
                <w:tab w:val="left" w:pos="2592"/>
              </w:tabs>
              <w:spacing w:before="0" w:beforeAutospacing="0" w:after="0" w:afterAutospacing="0"/>
              <w:ind w:left="0" w:right="0"/>
              <w:jc w:val="center"/>
              <w:rPr>
                <w:rFonts w:hint="default"/>
                <w:b/>
                <w:bCs/>
                <w:szCs w:val="21"/>
              </w:rPr>
            </w:pPr>
            <w:r>
              <w:rPr>
                <w:rFonts w:hint="default"/>
                <w:b/>
                <w:bCs/>
                <w:szCs w:val="21"/>
              </w:rPr>
              <w:t>表3-</w:t>
            </w:r>
            <w:r>
              <w:rPr>
                <w:rFonts w:hint="eastAsia"/>
                <w:b/>
                <w:bCs/>
                <w:szCs w:val="21"/>
                <w:lang w:val="en-US" w:eastAsia="zh-CN"/>
              </w:rPr>
              <w:t>5</w:t>
            </w:r>
            <w:r>
              <w:rPr>
                <w:rFonts w:hint="default"/>
                <w:b/>
                <w:bCs/>
                <w:szCs w:val="21"/>
              </w:rPr>
              <w:t xml:space="preserve"> </w:t>
            </w:r>
            <w:r>
              <w:rPr>
                <w:rFonts w:hint="eastAsia"/>
                <w:b/>
                <w:bCs/>
                <w:szCs w:val="21"/>
              </w:rPr>
              <w:t>项目废水</w:t>
            </w:r>
            <w:r>
              <w:rPr>
                <w:rFonts w:hint="default"/>
                <w:b/>
                <w:bCs/>
                <w:szCs w:val="21"/>
              </w:rPr>
              <w:t>排放标准</w:t>
            </w:r>
          </w:p>
          <w:tbl>
            <w:tblPr>
              <w:tblStyle w:val="25"/>
              <w:tblW w:w="4995"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72"/>
              <w:gridCol w:w="2192"/>
              <w:gridCol w:w="4021"/>
            </w:tblGrid>
            <w:tr w14:paraId="012A42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95" w:type="pct"/>
                  <w:vAlign w:val="center"/>
                </w:tcPr>
                <w:p w14:paraId="4880D142">
                  <w:pPr>
                    <w:keepNext w:val="0"/>
                    <w:keepLines w:val="0"/>
                    <w:suppressLineNumbers w:val="0"/>
                    <w:tabs>
                      <w:tab w:val="left" w:pos="2592"/>
                    </w:tabs>
                    <w:spacing w:before="0" w:beforeAutospacing="0" w:after="0" w:afterAutospacing="0"/>
                    <w:ind w:left="0" w:right="0"/>
                    <w:jc w:val="center"/>
                    <w:rPr>
                      <w:rFonts w:hint="default"/>
                      <w:b/>
                      <w:bCs/>
                      <w:szCs w:val="21"/>
                    </w:rPr>
                  </w:pPr>
                  <w:r>
                    <w:rPr>
                      <w:rFonts w:hint="default"/>
                      <w:b/>
                      <w:bCs/>
                      <w:snapToGrid w:val="0"/>
                      <w:szCs w:val="21"/>
                    </w:rPr>
                    <w:t>污染物项目</w:t>
                  </w:r>
                </w:p>
              </w:tc>
              <w:tc>
                <w:tcPr>
                  <w:tcW w:w="1307" w:type="pct"/>
                  <w:vAlign w:val="center"/>
                </w:tcPr>
                <w:p w14:paraId="139671B3">
                  <w:pPr>
                    <w:keepNext w:val="0"/>
                    <w:keepLines w:val="0"/>
                    <w:suppressLineNumbers w:val="0"/>
                    <w:tabs>
                      <w:tab w:val="left" w:pos="2592"/>
                    </w:tabs>
                    <w:spacing w:before="0" w:beforeAutospacing="0" w:after="0" w:afterAutospacing="0"/>
                    <w:ind w:left="0" w:right="0"/>
                    <w:jc w:val="center"/>
                    <w:rPr>
                      <w:rFonts w:hint="default"/>
                      <w:b/>
                      <w:bCs/>
                      <w:szCs w:val="21"/>
                    </w:rPr>
                  </w:pPr>
                  <w:r>
                    <w:rPr>
                      <w:rFonts w:hint="default"/>
                      <w:b/>
                      <w:bCs/>
                      <w:szCs w:val="21"/>
                    </w:rPr>
                    <w:t>标准限值</w:t>
                  </w:r>
                  <w:r>
                    <w:rPr>
                      <w:rFonts w:hint="eastAsia"/>
                      <w:b/>
                      <w:bCs/>
                      <w:szCs w:val="21"/>
                    </w:rPr>
                    <w:t>mg/L</w:t>
                  </w:r>
                </w:p>
              </w:tc>
              <w:tc>
                <w:tcPr>
                  <w:tcW w:w="2397" w:type="pct"/>
                  <w:vAlign w:val="center"/>
                </w:tcPr>
                <w:p w14:paraId="49076ABD">
                  <w:pPr>
                    <w:keepNext w:val="0"/>
                    <w:keepLines w:val="0"/>
                    <w:suppressLineNumbers w:val="0"/>
                    <w:tabs>
                      <w:tab w:val="left" w:pos="2592"/>
                    </w:tabs>
                    <w:spacing w:before="0" w:beforeAutospacing="0" w:after="0" w:afterAutospacing="0"/>
                    <w:ind w:left="0" w:right="0"/>
                    <w:jc w:val="center"/>
                    <w:rPr>
                      <w:rFonts w:hint="default"/>
                      <w:b/>
                      <w:bCs/>
                      <w:szCs w:val="21"/>
                    </w:rPr>
                  </w:pPr>
                  <w:r>
                    <w:rPr>
                      <w:rFonts w:hint="default"/>
                      <w:b/>
                      <w:bCs/>
                      <w:szCs w:val="21"/>
                    </w:rPr>
                    <w:t>备注</w:t>
                  </w:r>
                </w:p>
              </w:tc>
            </w:tr>
            <w:tr w14:paraId="6337C7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295" w:type="pct"/>
                  <w:vAlign w:val="center"/>
                </w:tcPr>
                <w:p w14:paraId="19BD76D8">
                  <w:pPr>
                    <w:keepNext w:val="0"/>
                    <w:keepLines w:val="0"/>
                    <w:suppressLineNumbers w:val="0"/>
                    <w:tabs>
                      <w:tab w:val="left" w:pos="2592"/>
                    </w:tabs>
                    <w:spacing w:before="0" w:beforeAutospacing="0" w:after="0" w:afterAutospacing="0"/>
                    <w:ind w:left="0" w:right="0"/>
                    <w:jc w:val="center"/>
                    <w:rPr>
                      <w:rFonts w:hint="default"/>
                      <w:b/>
                      <w:bCs/>
                      <w:szCs w:val="21"/>
                    </w:rPr>
                  </w:pPr>
                  <w:r>
                    <w:rPr>
                      <w:rFonts w:hint="default"/>
                      <w:szCs w:val="21"/>
                    </w:rPr>
                    <w:t>氨氮</w:t>
                  </w:r>
                </w:p>
              </w:tc>
              <w:tc>
                <w:tcPr>
                  <w:tcW w:w="1307" w:type="pct"/>
                  <w:vAlign w:val="center"/>
                </w:tcPr>
                <w:p w14:paraId="2DDF7A94">
                  <w:pPr>
                    <w:keepNext w:val="0"/>
                    <w:keepLines w:val="0"/>
                    <w:suppressLineNumbers w:val="0"/>
                    <w:tabs>
                      <w:tab w:val="left" w:pos="2592"/>
                    </w:tabs>
                    <w:spacing w:before="0" w:beforeAutospacing="0" w:after="0" w:afterAutospacing="0"/>
                    <w:ind w:left="0" w:right="0"/>
                    <w:jc w:val="center"/>
                    <w:rPr>
                      <w:rFonts w:hint="default"/>
                      <w:b/>
                      <w:bCs/>
                      <w:szCs w:val="21"/>
                    </w:rPr>
                  </w:pPr>
                  <w:r>
                    <w:rPr>
                      <w:rFonts w:hint="default"/>
                      <w:szCs w:val="21"/>
                    </w:rPr>
                    <w:t>45</w:t>
                  </w:r>
                </w:p>
              </w:tc>
              <w:tc>
                <w:tcPr>
                  <w:tcW w:w="2397" w:type="pct"/>
                  <w:vMerge w:val="restart"/>
                  <w:vAlign w:val="center"/>
                </w:tcPr>
                <w:p w14:paraId="2106F735">
                  <w:pPr>
                    <w:keepNext w:val="0"/>
                    <w:keepLines w:val="0"/>
                    <w:suppressLineNumbers w:val="0"/>
                    <w:tabs>
                      <w:tab w:val="left" w:pos="2592"/>
                    </w:tabs>
                    <w:spacing w:before="0" w:beforeAutospacing="0" w:after="0" w:afterAutospacing="0"/>
                    <w:ind w:left="0" w:right="0"/>
                    <w:jc w:val="center"/>
                    <w:rPr>
                      <w:rFonts w:hint="default"/>
                      <w:b/>
                      <w:bCs/>
                      <w:szCs w:val="21"/>
                    </w:rPr>
                  </w:pPr>
                  <w:r>
                    <w:rPr>
                      <w:rFonts w:hint="default"/>
                      <w:szCs w:val="21"/>
                    </w:rPr>
                    <w:t>《污水排入城镇下水道水质标准》（GB/T 31962-2015）</w:t>
                  </w:r>
                  <w:r>
                    <w:rPr>
                      <w:rFonts w:hint="eastAsia"/>
                      <w:szCs w:val="21"/>
                    </w:rPr>
                    <w:t>表1</w:t>
                  </w:r>
                  <w:r>
                    <w:rPr>
                      <w:rFonts w:hint="default"/>
                      <w:szCs w:val="21"/>
                    </w:rPr>
                    <w:t>中B级标准限值</w:t>
                  </w:r>
                </w:p>
              </w:tc>
            </w:tr>
            <w:tr w14:paraId="5F234A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95" w:type="pct"/>
                  <w:vAlign w:val="center"/>
                </w:tcPr>
                <w:p w14:paraId="4605CBA8">
                  <w:pPr>
                    <w:keepNext w:val="0"/>
                    <w:keepLines w:val="0"/>
                    <w:suppressLineNumbers w:val="0"/>
                    <w:tabs>
                      <w:tab w:val="left" w:pos="2592"/>
                    </w:tabs>
                    <w:spacing w:before="0" w:beforeAutospacing="0" w:after="0" w:afterAutospacing="0"/>
                    <w:ind w:left="0" w:right="0"/>
                    <w:jc w:val="center"/>
                    <w:rPr>
                      <w:rFonts w:hint="default"/>
                      <w:b/>
                      <w:bCs/>
                      <w:szCs w:val="21"/>
                    </w:rPr>
                  </w:pPr>
                  <w:r>
                    <w:rPr>
                      <w:rFonts w:hint="default"/>
                      <w:szCs w:val="21"/>
                    </w:rPr>
                    <w:t>总磷</w:t>
                  </w:r>
                </w:p>
              </w:tc>
              <w:tc>
                <w:tcPr>
                  <w:tcW w:w="1307" w:type="pct"/>
                  <w:vAlign w:val="center"/>
                </w:tcPr>
                <w:p w14:paraId="5E82F635">
                  <w:pPr>
                    <w:keepNext w:val="0"/>
                    <w:keepLines w:val="0"/>
                    <w:suppressLineNumbers w:val="0"/>
                    <w:tabs>
                      <w:tab w:val="left" w:pos="2592"/>
                    </w:tabs>
                    <w:spacing w:before="0" w:beforeAutospacing="0" w:after="0" w:afterAutospacing="0"/>
                    <w:ind w:left="0" w:right="0"/>
                    <w:jc w:val="center"/>
                    <w:rPr>
                      <w:rFonts w:hint="default"/>
                      <w:b/>
                      <w:bCs/>
                      <w:szCs w:val="21"/>
                    </w:rPr>
                  </w:pPr>
                  <w:r>
                    <w:rPr>
                      <w:rFonts w:hint="default"/>
                      <w:kern w:val="0"/>
                      <w:szCs w:val="21"/>
                    </w:rPr>
                    <w:t>8</w:t>
                  </w:r>
                </w:p>
              </w:tc>
              <w:tc>
                <w:tcPr>
                  <w:tcW w:w="2397" w:type="pct"/>
                  <w:vMerge w:val="continue"/>
                </w:tcPr>
                <w:p w14:paraId="5D90234F">
                  <w:pPr>
                    <w:pStyle w:val="32"/>
                    <w:keepNext w:val="0"/>
                    <w:keepLines w:val="0"/>
                    <w:suppressLineNumbers w:val="0"/>
                    <w:spacing w:before="0" w:beforeAutospacing="0" w:afterAutospacing="0"/>
                    <w:ind w:right="0" w:firstLine="422"/>
                    <w:rPr>
                      <w:rFonts w:hint="default"/>
                      <w:b/>
                      <w:bCs/>
                      <w:sz w:val="21"/>
                      <w:szCs w:val="21"/>
                    </w:rPr>
                  </w:pPr>
                </w:p>
              </w:tc>
            </w:tr>
            <w:tr w14:paraId="19AD45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95" w:type="pct"/>
                  <w:vAlign w:val="center"/>
                </w:tcPr>
                <w:p w14:paraId="1802B05E">
                  <w:pPr>
                    <w:keepNext w:val="0"/>
                    <w:keepLines w:val="0"/>
                    <w:suppressLineNumbers w:val="0"/>
                    <w:tabs>
                      <w:tab w:val="left" w:pos="2592"/>
                    </w:tabs>
                    <w:spacing w:before="0" w:beforeAutospacing="0" w:after="0" w:afterAutospacing="0"/>
                    <w:ind w:left="0" w:right="0"/>
                    <w:jc w:val="center"/>
                    <w:rPr>
                      <w:rFonts w:hint="default"/>
                      <w:b/>
                      <w:bCs/>
                      <w:szCs w:val="21"/>
                    </w:rPr>
                  </w:pPr>
                  <w:r>
                    <w:rPr>
                      <w:rFonts w:hint="eastAsia"/>
                      <w:bCs/>
                      <w:szCs w:val="21"/>
                    </w:rPr>
                    <w:t>pH</w:t>
                  </w:r>
                </w:p>
              </w:tc>
              <w:tc>
                <w:tcPr>
                  <w:tcW w:w="1307" w:type="pct"/>
                  <w:vAlign w:val="center"/>
                </w:tcPr>
                <w:p w14:paraId="6D477F2C">
                  <w:pPr>
                    <w:keepNext w:val="0"/>
                    <w:keepLines w:val="0"/>
                    <w:suppressLineNumbers w:val="0"/>
                    <w:tabs>
                      <w:tab w:val="left" w:pos="2592"/>
                    </w:tabs>
                    <w:spacing w:before="0" w:beforeAutospacing="0" w:after="0" w:afterAutospacing="0"/>
                    <w:ind w:left="0" w:right="0"/>
                    <w:jc w:val="center"/>
                    <w:rPr>
                      <w:rFonts w:hint="default"/>
                      <w:b/>
                      <w:bCs/>
                      <w:szCs w:val="21"/>
                    </w:rPr>
                  </w:pPr>
                  <w:r>
                    <w:rPr>
                      <w:rFonts w:hint="eastAsia"/>
                      <w:kern w:val="0"/>
                      <w:szCs w:val="21"/>
                    </w:rPr>
                    <w:t>6-9（无量纲）</w:t>
                  </w:r>
                </w:p>
              </w:tc>
              <w:tc>
                <w:tcPr>
                  <w:tcW w:w="2397" w:type="pct"/>
                  <w:vMerge w:val="restart"/>
                  <w:vAlign w:val="center"/>
                </w:tcPr>
                <w:p w14:paraId="44035069">
                  <w:pPr>
                    <w:keepNext w:val="0"/>
                    <w:keepLines w:val="0"/>
                    <w:suppressLineNumbers w:val="0"/>
                    <w:tabs>
                      <w:tab w:val="left" w:pos="2592"/>
                    </w:tabs>
                    <w:spacing w:before="0" w:beforeAutospacing="0" w:after="0" w:afterAutospacing="0"/>
                    <w:ind w:left="0" w:right="0"/>
                    <w:jc w:val="center"/>
                    <w:rPr>
                      <w:rFonts w:hint="default"/>
                      <w:b/>
                      <w:bCs/>
                      <w:szCs w:val="21"/>
                    </w:rPr>
                  </w:pPr>
                  <w:r>
                    <w:rPr>
                      <w:rFonts w:hint="default"/>
                      <w:szCs w:val="21"/>
                    </w:rPr>
                    <w:t>《污水综合排放标准》（GB8978－1996）表4中三级标准限值</w:t>
                  </w:r>
                </w:p>
              </w:tc>
            </w:tr>
            <w:tr w14:paraId="04D8E0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95" w:type="pct"/>
                  <w:vAlign w:val="center"/>
                </w:tcPr>
                <w:p w14:paraId="13EF449B">
                  <w:pPr>
                    <w:keepNext w:val="0"/>
                    <w:keepLines w:val="0"/>
                    <w:suppressLineNumbers w:val="0"/>
                    <w:tabs>
                      <w:tab w:val="left" w:pos="2592"/>
                    </w:tabs>
                    <w:spacing w:before="0" w:beforeAutospacing="0" w:after="0" w:afterAutospacing="0"/>
                    <w:ind w:left="0" w:right="0"/>
                    <w:jc w:val="center"/>
                    <w:rPr>
                      <w:rFonts w:hint="default"/>
                      <w:b/>
                      <w:bCs/>
                      <w:szCs w:val="21"/>
                    </w:rPr>
                  </w:pPr>
                  <w:r>
                    <w:rPr>
                      <w:rFonts w:hint="default"/>
                      <w:bCs/>
                      <w:szCs w:val="21"/>
                    </w:rPr>
                    <w:t>COD</w:t>
                  </w:r>
                </w:p>
              </w:tc>
              <w:tc>
                <w:tcPr>
                  <w:tcW w:w="1307" w:type="pct"/>
                  <w:vAlign w:val="center"/>
                </w:tcPr>
                <w:p w14:paraId="1311EDD1">
                  <w:pPr>
                    <w:keepNext w:val="0"/>
                    <w:keepLines w:val="0"/>
                    <w:suppressLineNumbers w:val="0"/>
                    <w:tabs>
                      <w:tab w:val="left" w:pos="2592"/>
                    </w:tabs>
                    <w:spacing w:before="0" w:beforeAutospacing="0" w:after="0" w:afterAutospacing="0"/>
                    <w:ind w:left="0" w:right="0"/>
                    <w:jc w:val="center"/>
                    <w:rPr>
                      <w:rFonts w:hint="default"/>
                      <w:b/>
                      <w:bCs/>
                      <w:szCs w:val="21"/>
                    </w:rPr>
                  </w:pPr>
                  <w:r>
                    <w:rPr>
                      <w:rFonts w:hint="default"/>
                      <w:kern w:val="0"/>
                      <w:szCs w:val="21"/>
                    </w:rPr>
                    <w:t>500</w:t>
                  </w:r>
                </w:p>
              </w:tc>
              <w:tc>
                <w:tcPr>
                  <w:tcW w:w="2397" w:type="pct"/>
                  <w:vMerge w:val="continue"/>
                </w:tcPr>
                <w:p w14:paraId="127AE095">
                  <w:pPr>
                    <w:pStyle w:val="32"/>
                    <w:keepNext w:val="0"/>
                    <w:keepLines w:val="0"/>
                    <w:suppressLineNumbers w:val="0"/>
                    <w:spacing w:before="0" w:beforeAutospacing="0" w:afterAutospacing="0"/>
                    <w:ind w:right="0" w:firstLine="422"/>
                    <w:rPr>
                      <w:rFonts w:hint="default"/>
                      <w:b/>
                      <w:bCs/>
                      <w:sz w:val="21"/>
                      <w:szCs w:val="21"/>
                    </w:rPr>
                  </w:pPr>
                </w:p>
              </w:tc>
            </w:tr>
            <w:tr w14:paraId="6F9FF4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95" w:type="pct"/>
                  <w:vAlign w:val="center"/>
                </w:tcPr>
                <w:p w14:paraId="65399666">
                  <w:pPr>
                    <w:keepNext w:val="0"/>
                    <w:keepLines w:val="0"/>
                    <w:suppressLineNumbers w:val="0"/>
                    <w:tabs>
                      <w:tab w:val="left" w:pos="2592"/>
                    </w:tabs>
                    <w:spacing w:before="0" w:beforeAutospacing="0" w:after="0" w:afterAutospacing="0"/>
                    <w:ind w:left="0" w:right="0"/>
                    <w:jc w:val="center"/>
                    <w:rPr>
                      <w:rFonts w:hint="default"/>
                      <w:b/>
                      <w:bCs/>
                      <w:szCs w:val="21"/>
                    </w:rPr>
                  </w:pPr>
                  <w:r>
                    <w:rPr>
                      <w:rFonts w:hint="default"/>
                      <w:bCs/>
                      <w:szCs w:val="21"/>
                    </w:rPr>
                    <w:t>BOD</w:t>
                  </w:r>
                  <w:r>
                    <w:rPr>
                      <w:rFonts w:hint="default"/>
                      <w:bCs/>
                      <w:szCs w:val="21"/>
                      <w:vertAlign w:val="subscript"/>
                    </w:rPr>
                    <w:t>5</w:t>
                  </w:r>
                </w:p>
              </w:tc>
              <w:tc>
                <w:tcPr>
                  <w:tcW w:w="1307" w:type="pct"/>
                  <w:vAlign w:val="center"/>
                </w:tcPr>
                <w:p w14:paraId="0849A507">
                  <w:pPr>
                    <w:keepNext w:val="0"/>
                    <w:keepLines w:val="0"/>
                    <w:suppressLineNumbers w:val="0"/>
                    <w:tabs>
                      <w:tab w:val="left" w:pos="2592"/>
                    </w:tabs>
                    <w:spacing w:before="0" w:beforeAutospacing="0" w:after="0" w:afterAutospacing="0"/>
                    <w:ind w:left="0" w:right="0"/>
                    <w:jc w:val="center"/>
                    <w:rPr>
                      <w:rFonts w:hint="default"/>
                      <w:b/>
                      <w:bCs/>
                      <w:szCs w:val="21"/>
                    </w:rPr>
                  </w:pPr>
                  <w:r>
                    <w:rPr>
                      <w:rFonts w:hint="default"/>
                      <w:kern w:val="0"/>
                      <w:szCs w:val="21"/>
                    </w:rPr>
                    <w:t>300</w:t>
                  </w:r>
                </w:p>
              </w:tc>
              <w:tc>
                <w:tcPr>
                  <w:tcW w:w="2397" w:type="pct"/>
                  <w:vMerge w:val="continue"/>
                </w:tcPr>
                <w:p w14:paraId="15FF4B42">
                  <w:pPr>
                    <w:pStyle w:val="32"/>
                    <w:keepNext w:val="0"/>
                    <w:keepLines w:val="0"/>
                    <w:suppressLineNumbers w:val="0"/>
                    <w:spacing w:before="0" w:beforeAutospacing="0" w:afterAutospacing="0"/>
                    <w:ind w:right="0" w:firstLine="422"/>
                    <w:rPr>
                      <w:rFonts w:hint="default"/>
                      <w:b/>
                      <w:bCs/>
                      <w:sz w:val="21"/>
                      <w:szCs w:val="21"/>
                    </w:rPr>
                  </w:pPr>
                </w:p>
              </w:tc>
            </w:tr>
            <w:tr w14:paraId="6B5257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1295" w:type="pct"/>
                  <w:vAlign w:val="center"/>
                </w:tcPr>
                <w:p w14:paraId="7C31ACB5">
                  <w:pPr>
                    <w:keepNext w:val="0"/>
                    <w:keepLines w:val="0"/>
                    <w:suppressLineNumbers w:val="0"/>
                    <w:tabs>
                      <w:tab w:val="left" w:pos="2592"/>
                    </w:tabs>
                    <w:spacing w:before="0" w:beforeAutospacing="0" w:after="0" w:afterAutospacing="0"/>
                    <w:ind w:left="0" w:right="0"/>
                    <w:jc w:val="center"/>
                    <w:rPr>
                      <w:rFonts w:hint="default"/>
                      <w:b/>
                      <w:bCs/>
                      <w:szCs w:val="21"/>
                    </w:rPr>
                  </w:pPr>
                  <w:r>
                    <w:rPr>
                      <w:rFonts w:hint="default"/>
                      <w:bCs/>
                      <w:szCs w:val="21"/>
                    </w:rPr>
                    <w:t>SS</w:t>
                  </w:r>
                </w:p>
              </w:tc>
              <w:tc>
                <w:tcPr>
                  <w:tcW w:w="1307" w:type="pct"/>
                  <w:vAlign w:val="center"/>
                </w:tcPr>
                <w:p w14:paraId="579D2083">
                  <w:pPr>
                    <w:keepNext w:val="0"/>
                    <w:keepLines w:val="0"/>
                    <w:suppressLineNumbers w:val="0"/>
                    <w:tabs>
                      <w:tab w:val="left" w:pos="2592"/>
                    </w:tabs>
                    <w:spacing w:before="0" w:beforeAutospacing="0" w:after="0" w:afterAutospacing="0"/>
                    <w:ind w:left="0" w:right="0"/>
                    <w:jc w:val="center"/>
                    <w:rPr>
                      <w:rFonts w:hint="default"/>
                      <w:b/>
                      <w:bCs/>
                      <w:szCs w:val="21"/>
                    </w:rPr>
                  </w:pPr>
                  <w:r>
                    <w:rPr>
                      <w:rFonts w:hint="default"/>
                      <w:kern w:val="0"/>
                      <w:szCs w:val="21"/>
                    </w:rPr>
                    <w:t>400</w:t>
                  </w:r>
                </w:p>
              </w:tc>
              <w:tc>
                <w:tcPr>
                  <w:tcW w:w="2397" w:type="pct"/>
                  <w:vMerge w:val="continue"/>
                </w:tcPr>
                <w:p w14:paraId="4BE23014">
                  <w:pPr>
                    <w:pStyle w:val="32"/>
                    <w:keepNext w:val="0"/>
                    <w:keepLines w:val="0"/>
                    <w:suppressLineNumbers w:val="0"/>
                    <w:spacing w:before="0" w:beforeAutospacing="0" w:afterAutospacing="0"/>
                    <w:ind w:right="0" w:firstLine="422"/>
                    <w:rPr>
                      <w:rFonts w:hint="default"/>
                      <w:b/>
                      <w:bCs/>
                      <w:sz w:val="21"/>
                      <w:szCs w:val="21"/>
                    </w:rPr>
                  </w:pPr>
                </w:p>
              </w:tc>
            </w:tr>
          </w:tbl>
          <w:p w14:paraId="2F5BB562">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eastAsia="宋体" w:cs="Times New Roman"/>
                <w:b/>
                <w:sz w:val="24"/>
              </w:rPr>
            </w:pPr>
            <w:r>
              <w:rPr>
                <w:rFonts w:hint="eastAsia" w:ascii="Times New Roman" w:hAnsi="Times New Roman" w:eastAsia="宋体" w:cs="Times New Roman"/>
                <w:b/>
                <w:sz w:val="24"/>
              </w:rPr>
              <w:t>二</w:t>
            </w:r>
            <w:r>
              <w:rPr>
                <w:rFonts w:hint="default" w:ascii="Times New Roman" w:hAnsi="Times New Roman" w:eastAsia="宋体" w:cs="Times New Roman"/>
                <w:b/>
                <w:sz w:val="24"/>
              </w:rPr>
              <w:t>、大气污染物排放标准：</w:t>
            </w:r>
          </w:p>
          <w:p w14:paraId="3617552C">
            <w:pPr>
              <w:keepNext w:val="0"/>
              <w:keepLines w:val="0"/>
              <w:widowControl/>
              <w:suppressLineNumbers w:val="0"/>
              <w:spacing w:before="0" w:beforeAutospacing="0" w:after="0" w:afterAutospacing="0" w:line="360" w:lineRule="auto"/>
              <w:ind w:left="0" w:right="0" w:firstLine="480" w:firstLineChars="200"/>
              <w:rPr>
                <w:rFonts w:hint="eastAsia" w:ascii="Times New Roman" w:hAnsi="Times New Roman" w:eastAsia="宋体" w:cs="Times New Roman"/>
                <w:szCs w:val="21"/>
                <w:lang w:eastAsia="zh-CN"/>
              </w:rPr>
            </w:pPr>
            <w:r>
              <w:rPr>
                <w:rFonts w:hint="eastAsia" w:ascii="Times New Roman" w:hAnsi="Times New Roman" w:eastAsia="宋体" w:cs="宋体"/>
                <w:color w:val="000000"/>
                <w:kern w:val="0"/>
                <w:sz w:val="24"/>
                <w:lang w:val="en-US" w:eastAsia="zh-CN" w:bidi="ar"/>
              </w:rPr>
              <w:t>项目</w:t>
            </w:r>
            <w:r>
              <w:rPr>
                <w:rFonts w:hint="eastAsia" w:ascii="Times New Roman" w:hAnsi="Times New Roman" w:eastAsia="宋体" w:cs="宋体"/>
                <w:color w:val="000000"/>
                <w:kern w:val="0"/>
                <w:sz w:val="24"/>
                <w:lang w:bidi="ar"/>
              </w:rPr>
              <w:t>施工期间施工扬尘排放执行《四川省施工场地扬尘排放标准》（</w:t>
            </w:r>
            <w:r>
              <w:rPr>
                <w:rFonts w:hint="default" w:ascii="Times New Roman" w:hAnsi="Times New Roman" w:eastAsia="宋体" w:cs="Times New Roman"/>
                <w:color w:val="000000"/>
                <w:kern w:val="0"/>
                <w:sz w:val="24"/>
                <w:lang w:bidi="ar"/>
              </w:rPr>
              <w:t>DB512682-2020</w:t>
            </w:r>
            <w:r>
              <w:rPr>
                <w:rFonts w:hint="eastAsia" w:ascii="Times New Roman" w:hAnsi="Times New Roman" w:eastAsia="宋体" w:cs="宋体"/>
                <w:color w:val="000000"/>
                <w:kern w:val="0"/>
                <w:sz w:val="24"/>
                <w:lang w:bidi="ar"/>
              </w:rPr>
              <w:t>）中排放限值，具</w:t>
            </w:r>
            <w:r>
              <w:rPr>
                <w:rFonts w:hint="default" w:ascii="Times New Roman" w:hAnsi="Times New Roman" w:eastAsia="宋体" w:cs="Times New Roman"/>
                <w:color w:val="000000"/>
                <w:kern w:val="0"/>
                <w:sz w:val="24"/>
                <w:lang w:bidi="ar"/>
              </w:rPr>
              <w:t>体见</w:t>
            </w:r>
            <w:r>
              <w:rPr>
                <w:rFonts w:hint="eastAsia" w:ascii="Times New Roman" w:hAnsi="Times New Roman" w:eastAsia="宋体" w:cs="Times New Roman"/>
                <w:color w:val="000000"/>
                <w:kern w:val="0"/>
                <w:sz w:val="24"/>
                <w:lang w:val="en-US" w:eastAsia="zh-CN" w:bidi="ar"/>
              </w:rPr>
              <w:t>下</w:t>
            </w:r>
            <w:r>
              <w:rPr>
                <w:rFonts w:hint="default" w:ascii="Times New Roman" w:hAnsi="Times New Roman" w:eastAsia="宋体" w:cs="Times New Roman"/>
                <w:color w:val="000000"/>
                <w:kern w:val="0"/>
                <w:sz w:val="24"/>
                <w:lang w:bidi="ar"/>
              </w:rPr>
              <w:t>表</w:t>
            </w:r>
            <w:r>
              <w:rPr>
                <w:rFonts w:hint="eastAsia" w:ascii="Times New Roman" w:hAnsi="Times New Roman" w:eastAsia="宋体" w:cs="Times New Roman"/>
                <w:color w:val="000000"/>
                <w:kern w:val="0"/>
                <w:sz w:val="24"/>
                <w:lang w:eastAsia="zh-CN" w:bidi="ar"/>
              </w:rPr>
              <w:t>：</w:t>
            </w:r>
          </w:p>
          <w:p w14:paraId="6C0F6456">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表3-</w:t>
            </w:r>
            <w:r>
              <w:rPr>
                <w:rFonts w:hint="eastAsia" w:cs="Times New Roman"/>
                <w:b/>
                <w:bCs/>
                <w:szCs w:val="21"/>
                <w:lang w:val="en-US" w:eastAsia="zh-CN"/>
              </w:rPr>
              <w:t>6</w:t>
            </w:r>
            <w:r>
              <w:rPr>
                <w:rFonts w:hint="default" w:ascii="Times New Roman" w:hAnsi="Times New Roman" w:eastAsia="宋体" w:cs="Times New Roman"/>
                <w:b/>
                <w:bCs/>
                <w:szCs w:val="21"/>
              </w:rPr>
              <w:t xml:space="preserve"> </w:t>
            </w:r>
            <w:r>
              <w:rPr>
                <w:rFonts w:hint="eastAsia" w:ascii="Times New Roman" w:hAnsi="Times New Roman" w:eastAsia="宋体" w:cs="Times New Roman"/>
                <w:b/>
                <w:bCs/>
                <w:szCs w:val="21"/>
                <w:lang w:val="en-US" w:eastAsia="zh-CN"/>
              </w:rPr>
              <w:t xml:space="preserve"> </w:t>
            </w:r>
            <w:r>
              <w:rPr>
                <w:rFonts w:hint="default" w:ascii="Times New Roman" w:hAnsi="Times New Roman" w:eastAsia="宋体" w:cs="Times New Roman"/>
                <w:b/>
                <w:bCs/>
                <w:color w:val="000000"/>
                <w:kern w:val="0"/>
                <w:szCs w:val="21"/>
                <w:lang w:bidi="ar"/>
              </w:rPr>
              <w:t>四川省施工场地扬尘排放限值</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2930"/>
              <w:gridCol w:w="1947"/>
              <w:gridCol w:w="3513"/>
            </w:tblGrid>
            <w:tr w14:paraId="67376B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746" w:type="pct"/>
                  <w:noWrap w:val="0"/>
                  <w:vAlign w:val="center"/>
                </w:tcPr>
                <w:p w14:paraId="5259E0B2">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污染物</w:t>
                  </w:r>
                </w:p>
              </w:tc>
              <w:tc>
                <w:tcPr>
                  <w:tcW w:w="1160" w:type="pct"/>
                  <w:noWrap w:val="0"/>
                  <w:vAlign w:val="center"/>
                </w:tcPr>
                <w:p w14:paraId="6B2B1A8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default" w:ascii="Times New Roman" w:hAnsi="Times New Roman" w:eastAsia="宋体" w:cs="Times New Roman"/>
                      <w:b/>
                      <w:bCs/>
                      <w:color w:val="000000"/>
                      <w:kern w:val="0"/>
                      <w:szCs w:val="21"/>
                      <w:lang w:bidi="ar"/>
                    </w:rPr>
                    <w:t>施工阶段</w:t>
                  </w:r>
                </w:p>
              </w:tc>
              <w:tc>
                <w:tcPr>
                  <w:tcW w:w="2093" w:type="pct"/>
                  <w:noWrap w:val="0"/>
                  <w:vAlign w:val="center"/>
                </w:tcPr>
                <w:p w14:paraId="09CD709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default" w:ascii="Times New Roman" w:hAnsi="Times New Roman" w:eastAsia="宋体" w:cs="Times New Roman"/>
                      <w:b/>
                      <w:bCs/>
                      <w:color w:val="000000"/>
                      <w:kern w:val="0"/>
                      <w:szCs w:val="21"/>
                      <w:lang w:bidi="ar"/>
                    </w:rPr>
                    <w:t>监测点排放限值</w:t>
                  </w:r>
                </w:p>
                <w:p w14:paraId="2F6100B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default" w:ascii="Times New Roman" w:hAnsi="Times New Roman" w:eastAsia="宋体" w:cs="Times New Roman"/>
                      <w:b/>
                      <w:bCs/>
                      <w:color w:val="000000"/>
                      <w:kern w:val="0"/>
                      <w:szCs w:val="21"/>
                      <w:lang w:bidi="ar"/>
                    </w:rPr>
                    <w:t>（μg/m</w:t>
                  </w:r>
                  <w:r>
                    <w:rPr>
                      <w:rFonts w:hint="default" w:ascii="Times New Roman" w:hAnsi="Times New Roman" w:eastAsia="宋体" w:cs="Times New Roman"/>
                      <w:b/>
                      <w:bCs/>
                      <w:color w:val="000000"/>
                      <w:kern w:val="0"/>
                      <w:szCs w:val="21"/>
                      <w:vertAlign w:val="superscript"/>
                      <w:lang w:bidi="ar"/>
                    </w:rPr>
                    <w:t>3</w:t>
                  </w:r>
                  <w:r>
                    <w:rPr>
                      <w:rFonts w:hint="default" w:ascii="Times New Roman" w:hAnsi="Times New Roman" w:eastAsia="宋体" w:cs="Times New Roman"/>
                      <w:b/>
                      <w:bCs/>
                      <w:color w:val="000000"/>
                      <w:kern w:val="0"/>
                      <w:szCs w:val="21"/>
                      <w:lang w:bidi="ar"/>
                    </w:rPr>
                    <w:t>）</w:t>
                  </w:r>
                </w:p>
              </w:tc>
            </w:tr>
            <w:tr w14:paraId="650A55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746" w:type="pct"/>
                  <w:vMerge w:val="restart"/>
                  <w:noWrap w:val="0"/>
                  <w:vAlign w:val="center"/>
                </w:tcPr>
                <w:p w14:paraId="5C52C54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color w:val="000000"/>
                      <w:kern w:val="0"/>
                      <w:szCs w:val="21"/>
                      <w:lang w:bidi="ar"/>
                    </w:rPr>
                    <w:t>总悬浮颗粒物（TSP）</w:t>
                  </w:r>
                </w:p>
              </w:tc>
              <w:tc>
                <w:tcPr>
                  <w:tcW w:w="1160" w:type="pct"/>
                  <w:noWrap w:val="0"/>
                  <w:vAlign w:val="center"/>
                </w:tcPr>
                <w:p w14:paraId="0B3AE9E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szCs w:val="21"/>
                    </w:rPr>
                    <w:t>拆除工程/土方开挖/土方回填阶段</w:t>
                  </w:r>
                </w:p>
              </w:tc>
              <w:tc>
                <w:tcPr>
                  <w:tcW w:w="2093" w:type="pct"/>
                  <w:noWrap w:val="0"/>
                  <w:vAlign w:val="center"/>
                </w:tcPr>
                <w:p w14:paraId="2449868F">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eastAsia" w:ascii="Times New Roman" w:hAnsi="Times New Roman" w:eastAsia="宋体" w:cs="Times New Roman"/>
                      <w:bCs/>
                      <w:szCs w:val="21"/>
                    </w:rPr>
                    <w:t>600</w:t>
                  </w:r>
                </w:p>
              </w:tc>
            </w:tr>
            <w:tr w14:paraId="601624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746" w:type="pct"/>
                  <w:vMerge w:val="continue"/>
                  <w:noWrap w:val="0"/>
                  <w:vAlign w:val="center"/>
                </w:tcPr>
                <w:p w14:paraId="269918C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1160" w:type="pct"/>
                  <w:noWrap w:val="0"/>
                  <w:vAlign w:val="center"/>
                </w:tcPr>
                <w:p w14:paraId="7AE2DCE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color w:val="000000"/>
                      <w:kern w:val="0"/>
                      <w:szCs w:val="21"/>
                      <w:lang w:bidi="ar"/>
                    </w:rPr>
                    <w:t>其他工程阶段</w:t>
                  </w:r>
                </w:p>
              </w:tc>
              <w:tc>
                <w:tcPr>
                  <w:tcW w:w="2093" w:type="pct"/>
                  <w:noWrap w:val="0"/>
                  <w:vAlign w:val="center"/>
                </w:tcPr>
                <w:p w14:paraId="0FED2563">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B050"/>
                      <w:szCs w:val="21"/>
                    </w:rPr>
                  </w:pPr>
                  <w:r>
                    <w:rPr>
                      <w:rFonts w:hint="default" w:ascii="Times New Roman" w:hAnsi="Times New Roman" w:eastAsia="宋体" w:cs="Times New Roman"/>
                      <w:bCs/>
                      <w:szCs w:val="21"/>
                    </w:rPr>
                    <w:t>250</w:t>
                  </w:r>
                </w:p>
              </w:tc>
            </w:tr>
          </w:tbl>
          <w:p w14:paraId="273BA45B">
            <w:pPr>
              <w:pStyle w:val="59"/>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567"/>
              <w:jc w:val="both"/>
              <w:textAlignment w:val="auto"/>
              <w:rPr>
                <w:rFonts w:hint="eastAsia" w:ascii="Times New Roman" w:hAnsi="Times New Roman" w:eastAsia="宋体" w:cs="Times New Roman"/>
                <w:snapToGrid w:val="0"/>
                <w:kern w:val="0"/>
                <w:sz w:val="24"/>
                <w:szCs w:val="24"/>
              </w:rPr>
            </w:pPr>
            <w:r>
              <w:rPr>
                <w:rFonts w:hint="eastAsia" w:ascii="Times New Roman" w:hAnsi="Times New Roman" w:eastAsia="宋体" w:cs="Times New Roman"/>
                <w:snapToGrid w:val="0"/>
                <w:kern w:val="0"/>
                <w:sz w:val="24"/>
                <w:szCs w:val="24"/>
                <w:lang w:val="en-US" w:eastAsia="zh-CN"/>
              </w:rPr>
              <w:t>项目</w:t>
            </w:r>
            <w:r>
              <w:rPr>
                <w:rFonts w:hint="eastAsia" w:ascii="Times New Roman" w:hAnsi="Times New Roman" w:eastAsia="宋体" w:cs="Times New Roman"/>
                <w:snapToGrid w:val="0"/>
                <w:kern w:val="0"/>
                <w:sz w:val="24"/>
                <w:szCs w:val="24"/>
              </w:rPr>
              <w:t>营运期</w:t>
            </w:r>
            <w:r>
              <w:rPr>
                <w:rFonts w:hint="default" w:ascii="Times New Roman" w:hAnsi="Times New Roman" w:eastAsia="宋体" w:cs="Times New Roman"/>
                <w:kern w:val="0"/>
                <w:sz w:val="24"/>
                <w:lang w:bidi="ar"/>
              </w:rPr>
              <w:t>颗粒物</w:t>
            </w:r>
            <w:r>
              <w:rPr>
                <w:rFonts w:hint="eastAsia" w:ascii="Times New Roman" w:hAnsi="Times New Roman" w:eastAsia="宋体" w:cs="Times New Roman"/>
                <w:kern w:val="0"/>
                <w:sz w:val="24"/>
                <w:lang w:bidi="ar"/>
              </w:rPr>
              <w:t>执行</w:t>
            </w:r>
            <w:r>
              <w:rPr>
                <w:rFonts w:hint="default" w:ascii="Times New Roman" w:hAnsi="Times New Roman" w:eastAsia="宋体" w:cs="Times New Roman"/>
                <w:kern w:val="0"/>
                <w:sz w:val="24"/>
                <w:lang w:bidi="ar"/>
              </w:rPr>
              <w:t>《大气污染物综合排放标准》（GB16297-1996）</w:t>
            </w:r>
            <w:r>
              <w:rPr>
                <w:rFonts w:hint="eastAsia" w:ascii="Times New Roman" w:hAnsi="Times New Roman" w:eastAsia="宋体" w:cs="Times New Roman"/>
                <w:kern w:val="0"/>
                <w:sz w:val="24"/>
                <w:lang w:bidi="ar"/>
              </w:rPr>
              <w:t>表2</w:t>
            </w:r>
            <w:r>
              <w:rPr>
                <w:rFonts w:hint="default" w:ascii="Times New Roman" w:hAnsi="Times New Roman" w:eastAsia="宋体" w:cs="Times New Roman"/>
                <w:sz w:val="24"/>
              </w:rPr>
              <w:t>中标准</w:t>
            </w:r>
            <w:r>
              <w:rPr>
                <w:rFonts w:hint="eastAsia" w:ascii="Times New Roman" w:hAnsi="Times New Roman" w:eastAsia="宋体" w:cs="Times New Roman"/>
                <w:sz w:val="24"/>
              </w:rPr>
              <w:t>限值</w:t>
            </w:r>
            <w:r>
              <w:rPr>
                <w:rFonts w:hint="eastAsia" w:ascii="Times New Roman" w:hAnsi="Times New Roman" w:eastAsia="宋体" w:cs="Times New Roman"/>
                <w:kern w:val="21"/>
                <w:sz w:val="24"/>
              </w:rPr>
              <w:t>，</w:t>
            </w:r>
            <w:r>
              <w:rPr>
                <w:rFonts w:hint="eastAsia" w:ascii="Times New Roman" w:hAnsi="Times New Roman" w:eastAsia="宋体" w:cs="Times New Roman"/>
                <w:snapToGrid w:val="0"/>
                <w:kern w:val="0"/>
                <w:sz w:val="24"/>
                <w:szCs w:val="24"/>
              </w:rPr>
              <w:t>详见</w:t>
            </w:r>
            <w:r>
              <w:rPr>
                <w:rFonts w:hint="eastAsia" w:ascii="Times New Roman" w:hAnsi="Times New Roman" w:eastAsia="宋体" w:cs="Times New Roman"/>
                <w:snapToGrid w:val="0"/>
                <w:kern w:val="0"/>
                <w:sz w:val="24"/>
                <w:szCs w:val="24"/>
                <w:lang w:val="en-US" w:eastAsia="zh-CN"/>
              </w:rPr>
              <w:t>下</w:t>
            </w:r>
            <w:r>
              <w:rPr>
                <w:rFonts w:hint="eastAsia" w:ascii="Times New Roman" w:hAnsi="Times New Roman" w:eastAsia="宋体" w:cs="Times New Roman"/>
                <w:snapToGrid w:val="0"/>
                <w:kern w:val="0"/>
                <w:sz w:val="24"/>
                <w:szCs w:val="24"/>
              </w:rPr>
              <w:t>表。</w:t>
            </w:r>
          </w:p>
          <w:p w14:paraId="5A16F0BF">
            <w:pPr>
              <w:keepNext w:val="0"/>
              <w:keepLines w:val="0"/>
              <w:suppressLineNumbers w:val="0"/>
              <w:snapToGrid w:val="0"/>
              <w:spacing w:before="0" w:beforeAutospacing="0" w:after="0" w:afterAutospacing="0" w:line="240" w:lineRule="auto"/>
              <w:ind w:left="0" w:right="0"/>
              <w:jc w:val="center"/>
              <w:rPr>
                <w:rFonts w:hint="eastAsia" w:ascii="Times New Roman" w:hAnsi="Times New Roman" w:eastAsia="宋体" w:cs="Times New Roman"/>
                <w:b/>
                <w:szCs w:val="21"/>
              </w:rPr>
            </w:pPr>
            <w:r>
              <w:rPr>
                <w:rFonts w:hint="eastAsia" w:ascii="Times New Roman" w:hAnsi="Times New Roman" w:eastAsia="宋体" w:cs="Times New Roman"/>
                <w:b/>
                <w:szCs w:val="21"/>
              </w:rPr>
              <w:t>表3-</w:t>
            </w:r>
            <w:r>
              <w:rPr>
                <w:rFonts w:hint="eastAsia" w:cs="Times New Roman"/>
                <w:b/>
                <w:szCs w:val="21"/>
                <w:lang w:val="en-US" w:eastAsia="zh-CN"/>
              </w:rPr>
              <w:t>7</w:t>
            </w:r>
            <w:r>
              <w:rPr>
                <w:rFonts w:hint="eastAsia" w:ascii="Times New Roman" w:hAnsi="Times New Roman" w:eastAsia="宋体" w:cs="Times New Roman"/>
                <w:b/>
                <w:szCs w:val="21"/>
              </w:rPr>
              <w:t xml:space="preserve">  废气排放标准</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747"/>
              <w:gridCol w:w="1527"/>
              <w:gridCol w:w="1228"/>
              <w:gridCol w:w="1282"/>
              <w:gridCol w:w="1414"/>
              <w:gridCol w:w="2195"/>
            </w:tblGrid>
            <w:tr w14:paraId="0AC6C2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45" w:type="pct"/>
                  <w:vMerge w:val="restart"/>
                  <w:noWrap w:val="0"/>
                  <w:vAlign w:val="center"/>
                </w:tcPr>
                <w:p w14:paraId="4732709B">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污染物</w:t>
                  </w:r>
                </w:p>
              </w:tc>
              <w:tc>
                <w:tcPr>
                  <w:tcW w:w="909" w:type="pct"/>
                  <w:vMerge w:val="restart"/>
                  <w:noWrap w:val="0"/>
                  <w:vAlign w:val="center"/>
                </w:tcPr>
                <w:p w14:paraId="1137B8D6">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最高允许排放浓度（mg/m</w:t>
                  </w:r>
                  <w:r>
                    <w:rPr>
                      <w:rFonts w:hint="default" w:ascii="Times New Roman" w:hAnsi="Times New Roman" w:eastAsia="宋体" w:cs="Times New Roman"/>
                      <w:bCs/>
                      <w:szCs w:val="21"/>
                      <w:vertAlign w:val="superscript"/>
                    </w:rPr>
                    <w:t>3</w:t>
                  </w:r>
                  <w:r>
                    <w:rPr>
                      <w:rFonts w:hint="default" w:ascii="Times New Roman" w:hAnsi="Times New Roman" w:eastAsia="宋体" w:cs="Times New Roman"/>
                      <w:bCs/>
                      <w:szCs w:val="21"/>
                    </w:rPr>
                    <w:t>）</w:t>
                  </w:r>
                </w:p>
              </w:tc>
              <w:tc>
                <w:tcPr>
                  <w:tcW w:w="1494" w:type="pct"/>
                  <w:gridSpan w:val="2"/>
                  <w:noWrap w:val="0"/>
                  <w:vAlign w:val="center"/>
                </w:tcPr>
                <w:p w14:paraId="0DF831D8">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最高</w:t>
                  </w:r>
                  <w:r>
                    <w:rPr>
                      <w:rFonts w:hint="eastAsia" w:ascii="Times New Roman" w:hAnsi="Times New Roman" w:eastAsia="宋体" w:cs="Times New Roman"/>
                      <w:bCs/>
                      <w:szCs w:val="21"/>
                    </w:rPr>
                    <w:t>允许</w:t>
                  </w:r>
                  <w:r>
                    <w:rPr>
                      <w:rFonts w:hint="default" w:ascii="Times New Roman" w:hAnsi="Times New Roman" w:eastAsia="宋体" w:cs="Times New Roman"/>
                      <w:bCs/>
                      <w:szCs w:val="21"/>
                    </w:rPr>
                    <w:t>排放速率</w:t>
                  </w:r>
                </w:p>
              </w:tc>
              <w:tc>
                <w:tcPr>
                  <w:tcW w:w="842" w:type="pct"/>
                  <w:vMerge w:val="restart"/>
                  <w:noWrap w:val="0"/>
                  <w:vAlign w:val="center"/>
                </w:tcPr>
                <w:p w14:paraId="02ADC573">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无组织排放监控浓度限值（mg/m</w:t>
                  </w:r>
                  <w:r>
                    <w:rPr>
                      <w:rFonts w:hint="default" w:ascii="Times New Roman" w:hAnsi="Times New Roman" w:eastAsia="宋体" w:cs="Times New Roman"/>
                      <w:bCs/>
                      <w:szCs w:val="21"/>
                      <w:vertAlign w:val="superscript"/>
                    </w:rPr>
                    <w:t>3</w:t>
                  </w:r>
                  <w:r>
                    <w:rPr>
                      <w:rFonts w:hint="default" w:ascii="Times New Roman" w:hAnsi="Times New Roman" w:eastAsia="宋体" w:cs="Times New Roman"/>
                      <w:bCs/>
                      <w:szCs w:val="21"/>
                    </w:rPr>
                    <w:t>）</w:t>
                  </w:r>
                </w:p>
              </w:tc>
              <w:tc>
                <w:tcPr>
                  <w:tcW w:w="1307" w:type="pct"/>
                  <w:vMerge w:val="restart"/>
                  <w:noWrap w:val="0"/>
                  <w:vAlign w:val="center"/>
                </w:tcPr>
                <w:p w14:paraId="3EF5EBA9">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szCs w:val="21"/>
                    </w:rPr>
                    <w:t>标准</w:t>
                  </w:r>
                </w:p>
              </w:tc>
            </w:tr>
            <w:tr w14:paraId="4A8A25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42" w:hRule="atLeast"/>
                <w:jc w:val="center"/>
              </w:trPr>
              <w:tc>
                <w:tcPr>
                  <w:tcW w:w="445" w:type="pct"/>
                  <w:vMerge w:val="continue"/>
                  <w:noWrap w:val="0"/>
                  <w:vAlign w:val="center"/>
                </w:tcPr>
                <w:p w14:paraId="579A5C0F">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szCs w:val="21"/>
                    </w:rPr>
                  </w:pPr>
                </w:p>
              </w:tc>
              <w:tc>
                <w:tcPr>
                  <w:tcW w:w="909" w:type="pct"/>
                  <w:vMerge w:val="continue"/>
                  <w:noWrap w:val="0"/>
                  <w:vAlign w:val="center"/>
                </w:tcPr>
                <w:p w14:paraId="725BE05A">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szCs w:val="21"/>
                    </w:rPr>
                  </w:pPr>
                </w:p>
              </w:tc>
              <w:tc>
                <w:tcPr>
                  <w:tcW w:w="731" w:type="pct"/>
                  <w:noWrap w:val="0"/>
                  <w:vAlign w:val="center"/>
                </w:tcPr>
                <w:p w14:paraId="02DF3F4D">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排气筒</w:t>
                  </w:r>
                  <w:r>
                    <w:rPr>
                      <w:rFonts w:hint="eastAsia" w:ascii="Times New Roman" w:hAnsi="Times New Roman" w:eastAsia="宋体" w:cs="Times New Roman"/>
                      <w:bCs/>
                      <w:szCs w:val="21"/>
                      <w:lang w:val="en-US" w:eastAsia="zh-CN"/>
                    </w:rPr>
                    <w:t>高度</w:t>
                  </w:r>
                  <w:r>
                    <w:rPr>
                      <w:rFonts w:hint="default" w:ascii="Times New Roman" w:hAnsi="Times New Roman" w:eastAsia="宋体" w:cs="Times New Roman"/>
                      <w:bCs/>
                      <w:szCs w:val="21"/>
                    </w:rPr>
                    <w:t>（m）</w:t>
                  </w:r>
                </w:p>
              </w:tc>
              <w:tc>
                <w:tcPr>
                  <w:tcW w:w="763" w:type="pct"/>
                  <w:noWrap w:val="0"/>
                  <w:vAlign w:val="center"/>
                </w:tcPr>
                <w:p w14:paraId="34DC8912">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排放速率</w:t>
                  </w:r>
                  <w:r>
                    <w:rPr>
                      <w:rFonts w:hint="eastAsia" w:ascii="Times New Roman" w:hAnsi="Times New Roman" w:eastAsia="宋体" w:cs="Times New Roman"/>
                      <w:bCs/>
                      <w:szCs w:val="21"/>
                      <w:lang w:val="en-US" w:eastAsia="zh-CN"/>
                    </w:rPr>
                    <w:t>限值</w:t>
                  </w:r>
                  <w:r>
                    <w:rPr>
                      <w:rFonts w:hint="default" w:ascii="Times New Roman" w:hAnsi="Times New Roman" w:eastAsia="宋体" w:cs="Times New Roman"/>
                      <w:bCs/>
                      <w:szCs w:val="21"/>
                    </w:rPr>
                    <w:t>（kg/h）</w:t>
                  </w:r>
                </w:p>
              </w:tc>
              <w:tc>
                <w:tcPr>
                  <w:tcW w:w="842" w:type="pct"/>
                  <w:vMerge w:val="continue"/>
                  <w:noWrap w:val="0"/>
                  <w:vAlign w:val="center"/>
                </w:tcPr>
                <w:p w14:paraId="5136A6F1">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szCs w:val="21"/>
                    </w:rPr>
                  </w:pPr>
                </w:p>
              </w:tc>
              <w:tc>
                <w:tcPr>
                  <w:tcW w:w="1307" w:type="pct"/>
                  <w:vMerge w:val="continue"/>
                  <w:noWrap w:val="0"/>
                  <w:vAlign w:val="center"/>
                </w:tcPr>
                <w:p w14:paraId="5B872396">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szCs w:val="21"/>
                    </w:rPr>
                  </w:pPr>
                </w:p>
              </w:tc>
            </w:tr>
            <w:tr w14:paraId="49A959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96" w:hRule="atLeast"/>
                <w:jc w:val="center"/>
              </w:trPr>
              <w:tc>
                <w:tcPr>
                  <w:tcW w:w="445" w:type="pct"/>
                  <w:noWrap w:val="0"/>
                  <w:vAlign w:val="center"/>
                </w:tcPr>
                <w:p w14:paraId="4F72E558">
                  <w:pPr>
                    <w:keepNext w:val="0"/>
                    <w:keepLines w:val="0"/>
                    <w:suppressLineNumbers w:val="0"/>
                    <w:tabs>
                      <w:tab w:val="left" w:pos="2418"/>
                      <w:tab w:val="left" w:pos="4203"/>
                      <w:tab w:val="left" w:pos="5708"/>
                      <w:tab w:val="left" w:pos="7213"/>
                      <w:tab w:val="left" w:pos="8718"/>
                    </w:tabs>
                    <w:snapToGrid w:val="0"/>
                    <w:spacing w:before="0" w:beforeAutospacing="0" w:after="0" w:afterAutospacing="0"/>
                    <w:ind w:left="0" w:right="0"/>
                    <w:jc w:val="center"/>
                    <w:rPr>
                      <w:rFonts w:hint="default" w:ascii="Times New Roman" w:hAnsi="Times New Roman" w:eastAsia="宋体" w:cs="Times New Roman"/>
                      <w:bCs/>
                      <w:szCs w:val="21"/>
                    </w:rPr>
                  </w:pPr>
                  <w:r>
                    <w:rPr>
                      <w:rFonts w:hint="eastAsia" w:ascii="Times New Roman" w:hAnsi="Times New Roman" w:eastAsia="宋体" w:cs="Times New Roman"/>
                      <w:bCs/>
                      <w:szCs w:val="21"/>
                    </w:rPr>
                    <w:t>颗粒物</w:t>
                  </w:r>
                </w:p>
              </w:tc>
              <w:tc>
                <w:tcPr>
                  <w:tcW w:w="909" w:type="pct"/>
                  <w:noWrap w:val="0"/>
                  <w:vAlign w:val="center"/>
                </w:tcPr>
                <w:p w14:paraId="33F25085">
                  <w:pPr>
                    <w:pStyle w:val="14"/>
                    <w:keepNext w:val="0"/>
                    <w:keepLines w:val="0"/>
                    <w:suppressLineNumbers w:val="0"/>
                    <w:tabs>
                      <w:tab w:val="left" w:pos="2418"/>
                      <w:tab w:val="left" w:pos="4203"/>
                      <w:tab w:val="left" w:pos="5708"/>
                      <w:tab w:val="left" w:pos="7213"/>
                      <w:tab w:val="left" w:pos="8718"/>
                    </w:tabs>
                    <w:snapToGrid w:val="0"/>
                    <w:spacing w:before="0" w:beforeAutospacing="0" w:after="0" w:afterAutospacing="0"/>
                    <w:ind w:left="0" w:right="0"/>
                    <w:jc w:val="center"/>
                    <w:rPr>
                      <w:rFonts w:hint="eastAsia" w:ascii="Times New Roman" w:hAnsi="Times New Roman" w:eastAsia="宋体" w:cs="Times New Roman"/>
                      <w:bCs/>
                      <w:sz w:val="21"/>
                      <w:szCs w:val="21"/>
                      <w:lang w:eastAsia="zh-CN"/>
                    </w:rPr>
                  </w:pPr>
                  <w:r>
                    <w:rPr>
                      <w:rFonts w:hint="eastAsia" w:ascii="Times New Roman" w:hAnsi="Times New Roman" w:cs="Times New Roman"/>
                      <w:bCs/>
                      <w:sz w:val="21"/>
                      <w:szCs w:val="21"/>
                      <w:lang w:val="en-US" w:eastAsia="zh-CN"/>
                    </w:rPr>
                    <w:t>/</w:t>
                  </w:r>
                </w:p>
              </w:tc>
              <w:tc>
                <w:tcPr>
                  <w:tcW w:w="731" w:type="pct"/>
                  <w:noWrap w:val="0"/>
                  <w:vAlign w:val="center"/>
                </w:tcPr>
                <w:p w14:paraId="3593B140">
                  <w:pPr>
                    <w:pStyle w:val="14"/>
                    <w:keepNext w:val="0"/>
                    <w:keepLines w:val="0"/>
                    <w:suppressLineNumbers w:val="0"/>
                    <w:tabs>
                      <w:tab w:val="left" w:pos="2418"/>
                      <w:tab w:val="left" w:pos="4203"/>
                      <w:tab w:val="left" w:pos="5708"/>
                      <w:tab w:val="left" w:pos="7213"/>
                      <w:tab w:val="left" w:pos="8718"/>
                    </w:tabs>
                    <w:snapToGrid w:val="0"/>
                    <w:spacing w:before="0" w:beforeAutospacing="0" w:after="0" w:afterAutospacing="0"/>
                    <w:ind w:left="0" w:right="0"/>
                    <w:jc w:val="center"/>
                    <w:rPr>
                      <w:rFonts w:hint="eastAsia" w:ascii="Times New Roman" w:hAnsi="Times New Roman" w:eastAsia="宋体" w:cs="Times New Roman"/>
                      <w:bCs/>
                      <w:sz w:val="21"/>
                      <w:szCs w:val="21"/>
                      <w:lang w:eastAsia="zh-CN"/>
                    </w:rPr>
                  </w:pPr>
                  <w:r>
                    <w:rPr>
                      <w:rFonts w:hint="eastAsia" w:ascii="Times New Roman" w:hAnsi="Times New Roman" w:cs="Times New Roman"/>
                      <w:bCs/>
                      <w:sz w:val="21"/>
                      <w:szCs w:val="21"/>
                      <w:lang w:val="en-US" w:eastAsia="zh-CN"/>
                    </w:rPr>
                    <w:t>/</w:t>
                  </w:r>
                </w:p>
              </w:tc>
              <w:tc>
                <w:tcPr>
                  <w:tcW w:w="763" w:type="pct"/>
                  <w:noWrap w:val="0"/>
                  <w:vAlign w:val="center"/>
                </w:tcPr>
                <w:p w14:paraId="3E729406">
                  <w:pPr>
                    <w:pStyle w:val="14"/>
                    <w:keepNext w:val="0"/>
                    <w:keepLines w:val="0"/>
                    <w:suppressLineNumbers w:val="0"/>
                    <w:tabs>
                      <w:tab w:val="left" w:pos="2418"/>
                      <w:tab w:val="left" w:pos="4203"/>
                      <w:tab w:val="left" w:pos="5708"/>
                      <w:tab w:val="left" w:pos="7213"/>
                      <w:tab w:val="left" w:pos="8718"/>
                    </w:tabs>
                    <w:snapToGrid w:val="0"/>
                    <w:spacing w:before="0" w:beforeAutospacing="0" w:after="0" w:afterAutospacing="0"/>
                    <w:ind w:left="0" w:right="0"/>
                    <w:jc w:val="center"/>
                    <w:rPr>
                      <w:rFonts w:hint="eastAsia" w:ascii="Times New Roman" w:hAnsi="Times New Roman" w:eastAsia="宋体" w:cs="Times New Roman"/>
                      <w:bCs/>
                      <w:sz w:val="21"/>
                      <w:szCs w:val="21"/>
                      <w:lang w:eastAsia="zh-CN"/>
                    </w:rPr>
                  </w:pPr>
                  <w:r>
                    <w:rPr>
                      <w:rFonts w:hint="eastAsia" w:ascii="Times New Roman" w:hAnsi="Times New Roman" w:cs="Times New Roman"/>
                      <w:bCs/>
                      <w:sz w:val="21"/>
                      <w:szCs w:val="21"/>
                      <w:lang w:val="en-US" w:eastAsia="zh-CN"/>
                    </w:rPr>
                    <w:t>/</w:t>
                  </w:r>
                </w:p>
              </w:tc>
              <w:tc>
                <w:tcPr>
                  <w:tcW w:w="842" w:type="pct"/>
                  <w:noWrap w:val="0"/>
                  <w:vAlign w:val="center"/>
                </w:tcPr>
                <w:p w14:paraId="54C5405B">
                  <w:pPr>
                    <w:pStyle w:val="14"/>
                    <w:keepNext w:val="0"/>
                    <w:keepLines w:val="0"/>
                    <w:suppressLineNumbers w:val="0"/>
                    <w:tabs>
                      <w:tab w:val="left" w:pos="2418"/>
                      <w:tab w:val="left" w:pos="4203"/>
                      <w:tab w:val="left" w:pos="5708"/>
                      <w:tab w:val="left" w:pos="7213"/>
                      <w:tab w:val="left" w:pos="8718"/>
                    </w:tabs>
                    <w:snapToGrid w:val="0"/>
                    <w:spacing w:before="0" w:beforeAutospacing="0" w:after="0" w:afterAutospacing="0"/>
                    <w:ind w:left="0" w:right="0"/>
                    <w:jc w:val="center"/>
                    <w:rPr>
                      <w:rFonts w:hint="default" w:ascii="Times New Roman" w:hAnsi="Times New Roman" w:eastAsia="宋体" w:cs="Times New Roman"/>
                      <w:bCs/>
                      <w:sz w:val="21"/>
                      <w:szCs w:val="21"/>
                    </w:rPr>
                  </w:pPr>
                  <w:r>
                    <w:rPr>
                      <w:rFonts w:hint="eastAsia" w:ascii="Times New Roman" w:hAnsi="Times New Roman" w:eastAsia="宋体" w:cs="Times New Roman"/>
                      <w:bCs/>
                      <w:sz w:val="21"/>
                      <w:szCs w:val="21"/>
                    </w:rPr>
                    <w:t>1.0</w:t>
                  </w:r>
                </w:p>
              </w:tc>
              <w:tc>
                <w:tcPr>
                  <w:tcW w:w="1307" w:type="pct"/>
                  <w:noWrap w:val="0"/>
                  <w:vAlign w:val="center"/>
                </w:tcPr>
                <w:p w14:paraId="028B9ACD">
                  <w:pPr>
                    <w:pStyle w:val="14"/>
                    <w:keepNext w:val="0"/>
                    <w:keepLines w:val="0"/>
                    <w:suppressLineNumbers w:val="0"/>
                    <w:tabs>
                      <w:tab w:val="left" w:pos="2418"/>
                      <w:tab w:val="left" w:pos="4203"/>
                      <w:tab w:val="left" w:pos="5708"/>
                      <w:tab w:val="left" w:pos="7213"/>
                      <w:tab w:val="left" w:pos="8718"/>
                    </w:tabs>
                    <w:snapToGrid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《大气污染物综合排放标准》（GB16297-1996）</w:t>
                  </w:r>
                </w:p>
              </w:tc>
            </w:tr>
          </w:tbl>
          <w:p w14:paraId="3C1CB022">
            <w:pPr>
              <w:keepNext w:val="0"/>
              <w:keepLines w:val="0"/>
              <w:suppressLineNumbers w:val="0"/>
              <w:autoSpaceDE w:val="0"/>
              <w:autoSpaceDN w:val="0"/>
              <w:adjustRightInd w:val="0"/>
              <w:spacing w:before="0" w:beforeAutospacing="0" w:after="0" w:afterAutospacing="0" w:line="312" w:lineRule="auto"/>
              <w:ind w:left="0" w:right="0"/>
              <w:jc w:val="left"/>
              <w:rPr>
                <w:rFonts w:hint="default" w:ascii="Times New Roman" w:hAnsi="Times New Roman" w:eastAsia="宋体" w:cs="Times New Roman"/>
                <w:b/>
                <w:sz w:val="24"/>
              </w:rPr>
            </w:pPr>
            <w:r>
              <w:rPr>
                <w:rFonts w:hint="eastAsia" w:ascii="Times New Roman" w:hAnsi="Times New Roman" w:eastAsia="宋体" w:cs="Times New Roman"/>
                <w:b/>
                <w:sz w:val="24"/>
              </w:rPr>
              <w:t>三</w:t>
            </w:r>
            <w:r>
              <w:rPr>
                <w:rFonts w:hint="default" w:ascii="Times New Roman" w:hAnsi="Times New Roman" w:eastAsia="宋体" w:cs="Times New Roman"/>
                <w:b/>
                <w:sz w:val="24"/>
              </w:rPr>
              <w:t>、噪声排放标准：</w:t>
            </w:r>
          </w:p>
          <w:p w14:paraId="1D153C26">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Arial"/>
                <w:sz w:val="24"/>
              </w:rPr>
            </w:pPr>
            <w:r>
              <w:rPr>
                <w:rFonts w:hint="default" w:ascii="Times New Roman" w:hAnsi="Times New Roman" w:eastAsia="宋体" w:cs="Arial"/>
                <w:sz w:val="24"/>
              </w:rPr>
              <w:t>施工期执行《建筑施工场界环境噪声排放标准》GB12523-2011标准</w:t>
            </w:r>
            <w:r>
              <w:rPr>
                <w:rFonts w:hint="eastAsia" w:ascii="Times New Roman" w:hAnsi="Times New Roman" w:eastAsia="宋体" w:cs="Arial"/>
                <w:sz w:val="24"/>
              </w:rPr>
              <w:t>。</w:t>
            </w:r>
          </w:p>
          <w:p w14:paraId="680666FF">
            <w:pPr>
              <w:keepNext w:val="0"/>
              <w:keepLines w:val="0"/>
              <w:suppressLineNumbers w:val="0"/>
              <w:spacing w:before="0" w:beforeAutospacing="0" w:after="0" w:afterAutospacing="0" w:line="240" w:lineRule="auto"/>
              <w:ind w:left="0" w:right="0"/>
              <w:jc w:val="center"/>
              <w:rPr>
                <w:rFonts w:hint="default" w:ascii="Times New Roman" w:hAnsi="Times New Roman" w:eastAsia="宋体" w:cs="Arial"/>
                <w:b/>
                <w:sz w:val="24"/>
              </w:rPr>
            </w:pPr>
            <w:r>
              <w:rPr>
                <w:rFonts w:hint="default" w:ascii="Times New Roman" w:hAnsi="Times New Roman" w:eastAsia="宋体" w:cs="Arial"/>
                <w:b/>
                <w:szCs w:val="21"/>
              </w:rPr>
              <w:t>表</w:t>
            </w:r>
            <w:r>
              <w:rPr>
                <w:rFonts w:hint="eastAsia" w:ascii="Times New Roman" w:hAnsi="Times New Roman" w:eastAsia="宋体" w:cs="Arial"/>
                <w:b/>
                <w:szCs w:val="21"/>
              </w:rPr>
              <w:t>3-</w:t>
            </w:r>
            <w:r>
              <w:rPr>
                <w:rFonts w:hint="eastAsia" w:cs="Arial"/>
                <w:b/>
                <w:szCs w:val="21"/>
                <w:lang w:val="en-US" w:eastAsia="zh-CN"/>
              </w:rPr>
              <w:t>8</w:t>
            </w:r>
            <w:r>
              <w:rPr>
                <w:rFonts w:hint="default" w:ascii="Times New Roman" w:hAnsi="Times New Roman" w:eastAsia="宋体" w:cs="Arial"/>
                <w:b/>
                <w:szCs w:val="21"/>
              </w:rPr>
              <w:t xml:space="preserve"> 建筑施工场界环境噪声排放限值   单位：dB（A）</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196"/>
              <w:gridCol w:w="4197"/>
            </w:tblGrid>
            <w:tr w14:paraId="50A4AE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2500" w:type="pct"/>
                  <w:noWrap w:val="0"/>
                  <w:vAlign w:val="center"/>
                </w:tcPr>
                <w:p w14:paraId="2FA70E55">
                  <w:pPr>
                    <w:keepNext w:val="0"/>
                    <w:keepLines w:val="0"/>
                    <w:suppressLineNumbers w:val="0"/>
                    <w:spacing w:before="0" w:beforeAutospacing="0" w:after="0" w:afterAutospacing="0"/>
                    <w:ind w:left="0" w:right="0"/>
                    <w:jc w:val="center"/>
                    <w:rPr>
                      <w:rFonts w:hint="default" w:ascii="Times New Roman" w:hAnsi="Times New Roman" w:eastAsia="宋体" w:cs="Arial"/>
                      <w:b/>
                      <w:bCs/>
                      <w:szCs w:val="18"/>
                    </w:rPr>
                  </w:pPr>
                  <w:r>
                    <w:rPr>
                      <w:rFonts w:hint="default" w:ascii="Times New Roman" w:hAnsi="Times New Roman" w:eastAsia="宋体" w:cs="Arial"/>
                      <w:b/>
                      <w:bCs/>
                      <w:szCs w:val="18"/>
                    </w:rPr>
                    <w:t>昼间</w:t>
                  </w:r>
                </w:p>
              </w:tc>
              <w:tc>
                <w:tcPr>
                  <w:tcW w:w="2500" w:type="pct"/>
                  <w:noWrap w:val="0"/>
                  <w:vAlign w:val="center"/>
                </w:tcPr>
                <w:p w14:paraId="47590A14">
                  <w:pPr>
                    <w:keepNext w:val="0"/>
                    <w:keepLines w:val="0"/>
                    <w:suppressLineNumbers w:val="0"/>
                    <w:spacing w:before="0" w:beforeAutospacing="0" w:after="0" w:afterAutospacing="0"/>
                    <w:ind w:left="0" w:right="0"/>
                    <w:jc w:val="center"/>
                    <w:rPr>
                      <w:rFonts w:hint="default" w:ascii="Times New Roman" w:hAnsi="Times New Roman" w:eastAsia="宋体" w:cs="Arial"/>
                      <w:b/>
                      <w:bCs/>
                      <w:szCs w:val="18"/>
                    </w:rPr>
                  </w:pPr>
                  <w:r>
                    <w:rPr>
                      <w:rFonts w:hint="default" w:ascii="Times New Roman" w:hAnsi="Times New Roman" w:eastAsia="宋体" w:cs="Arial"/>
                      <w:b/>
                      <w:bCs/>
                      <w:szCs w:val="18"/>
                    </w:rPr>
                    <w:t>夜间</w:t>
                  </w:r>
                </w:p>
              </w:tc>
            </w:tr>
            <w:tr w14:paraId="5E2A28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2500" w:type="pct"/>
                  <w:noWrap w:val="0"/>
                  <w:vAlign w:val="center"/>
                </w:tcPr>
                <w:p w14:paraId="1910D6A8">
                  <w:pPr>
                    <w:keepNext w:val="0"/>
                    <w:keepLines w:val="0"/>
                    <w:suppressLineNumbers w:val="0"/>
                    <w:spacing w:before="0" w:beforeAutospacing="0" w:after="0" w:afterAutospacing="0"/>
                    <w:ind w:left="0" w:right="0"/>
                    <w:jc w:val="center"/>
                    <w:rPr>
                      <w:rFonts w:hint="default" w:ascii="Times New Roman" w:hAnsi="Times New Roman" w:eastAsia="宋体" w:cs="Arial"/>
                      <w:szCs w:val="18"/>
                    </w:rPr>
                  </w:pPr>
                  <w:r>
                    <w:rPr>
                      <w:rFonts w:hint="default" w:ascii="Times New Roman" w:hAnsi="Times New Roman" w:eastAsia="宋体" w:cs="Arial"/>
                      <w:szCs w:val="18"/>
                    </w:rPr>
                    <w:t>70</w:t>
                  </w:r>
                </w:p>
              </w:tc>
              <w:tc>
                <w:tcPr>
                  <w:tcW w:w="2500" w:type="pct"/>
                  <w:noWrap w:val="0"/>
                  <w:vAlign w:val="center"/>
                </w:tcPr>
                <w:p w14:paraId="79E2C8BA">
                  <w:pPr>
                    <w:keepNext w:val="0"/>
                    <w:keepLines w:val="0"/>
                    <w:suppressLineNumbers w:val="0"/>
                    <w:spacing w:before="0" w:beforeAutospacing="0" w:after="0" w:afterAutospacing="0"/>
                    <w:ind w:left="0" w:right="0"/>
                    <w:jc w:val="center"/>
                    <w:rPr>
                      <w:rFonts w:hint="default" w:ascii="Times New Roman" w:hAnsi="Times New Roman" w:eastAsia="宋体" w:cs="Arial"/>
                      <w:szCs w:val="18"/>
                    </w:rPr>
                  </w:pPr>
                  <w:r>
                    <w:rPr>
                      <w:rFonts w:hint="default" w:ascii="Times New Roman" w:hAnsi="Times New Roman" w:eastAsia="宋体" w:cs="Arial"/>
                      <w:szCs w:val="18"/>
                    </w:rPr>
                    <w:t>55</w:t>
                  </w:r>
                </w:p>
              </w:tc>
            </w:tr>
          </w:tbl>
          <w:p w14:paraId="05E903E4">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0" w:firstLineChars="200"/>
              <w:textAlignment w:val="auto"/>
              <w:rPr>
                <w:rFonts w:hint="eastAsia" w:ascii="Times New Roman" w:hAnsi="Times New Roman" w:eastAsia="宋体" w:cs="Times New Roman"/>
                <w:b/>
                <w:kern w:val="24"/>
                <w:sz w:val="24"/>
              </w:rPr>
            </w:pPr>
            <w:r>
              <w:rPr>
                <w:rFonts w:hint="eastAsia" w:ascii="Times New Roman" w:hAnsi="Times New Roman" w:eastAsia="宋体" w:cs="Times New Roman"/>
                <w:sz w:val="24"/>
                <w:lang w:val="en-US" w:eastAsia="zh-CN"/>
              </w:rPr>
              <w:t>本项目夜间不进行生产，项目</w:t>
            </w:r>
            <w:r>
              <w:rPr>
                <w:rFonts w:hint="default" w:ascii="Times New Roman" w:hAnsi="Times New Roman" w:eastAsia="宋体" w:cs="Times New Roman"/>
                <w:sz w:val="24"/>
              </w:rPr>
              <w:t>营运期噪声执行《工业企业</w:t>
            </w:r>
            <w:r>
              <w:rPr>
                <w:rFonts w:hint="eastAsia" w:ascii="Times New Roman" w:hAnsi="Times New Roman" w:eastAsia="宋体" w:cs="Times New Roman"/>
                <w:sz w:val="24"/>
                <w:lang w:val="en-US" w:eastAsia="zh-CN"/>
              </w:rPr>
              <w:t>厂</w:t>
            </w:r>
            <w:r>
              <w:rPr>
                <w:rFonts w:hint="default" w:ascii="Times New Roman" w:hAnsi="Times New Roman" w:eastAsia="宋体" w:cs="Times New Roman"/>
                <w:sz w:val="24"/>
              </w:rPr>
              <w:t>界环境噪声排放标准》（GB12348-2008）</w:t>
            </w:r>
            <w:r>
              <w:rPr>
                <w:rFonts w:hint="eastAsia" w:cs="Times New Roman"/>
                <w:sz w:val="24"/>
                <w:lang w:val="en-US" w:eastAsia="zh-CN"/>
              </w:rPr>
              <w:t>2</w:t>
            </w:r>
            <w:r>
              <w:rPr>
                <w:rFonts w:hint="default" w:ascii="Times New Roman" w:hAnsi="Times New Roman" w:eastAsia="宋体" w:cs="Times New Roman"/>
                <w:sz w:val="24"/>
              </w:rPr>
              <w:t>类标准。</w:t>
            </w:r>
          </w:p>
          <w:p w14:paraId="35A64B9C">
            <w:pPr>
              <w:keepNext w:val="0"/>
              <w:keepLines w:val="0"/>
              <w:suppressLineNumbers w:val="0"/>
              <w:adjustRightInd w:val="0"/>
              <w:spacing w:before="0" w:beforeAutospacing="0" w:after="0" w:afterAutospacing="0" w:line="240" w:lineRule="auto"/>
              <w:ind w:left="0" w:right="0"/>
              <w:jc w:val="center"/>
              <w:rPr>
                <w:rFonts w:hint="default" w:ascii="Times New Roman" w:hAnsi="Times New Roman" w:eastAsia="宋体" w:cs="Times New Roman"/>
                <w:b/>
                <w:kern w:val="24"/>
                <w:szCs w:val="21"/>
              </w:rPr>
            </w:pPr>
            <w:r>
              <w:rPr>
                <w:rFonts w:hint="eastAsia" w:ascii="Times New Roman" w:hAnsi="Times New Roman" w:eastAsia="宋体" w:cs="Times New Roman"/>
                <w:b/>
                <w:kern w:val="24"/>
                <w:szCs w:val="21"/>
              </w:rPr>
              <w:t>表3-</w:t>
            </w:r>
            <w:r>
              <w:rPr>
                <w:rFonts w:hint="eastAsia" w:cs="Times New Roman"/>
                <w:b/>
                <w:kern w:val="24"/>
                <w:szCs w:val="21"/>
                <w:lang w:val="en-US" w:eastAsia="zh-CN"/>
              </w:rPr>
              <w:t>9</w:t>
            </w:r>
            <w:r>
              <w:rPr>
                <w:rFonts w:hint="eastAsia" w:ascii="Times New Roman" w:hAnsi="Times New Roman" w:eastAsia="宋体" w:cs="Times New Roman"/>
                <w:b/>
                <w:kern w:val="24"/>
                <w:szCs w:val="21"/>
              </w:rPr>
              <w:t xml:space="preserve"> </w:t>
            </w:r>
            <w:r>
              <w:rPr>
                <w:rFonts w:hint="eastAsia" w:ascii="Times New Roman" w:hAnsi="Times New Roman" w:eastAsia="宋体" w:cs="Times New Roman"/>
                <w:b/>
                <w:kern w:val="24"/>
                <w:szCs w:val="21"/>
                <w:lang w:val="en-US" w:eastAsia="zh-CN"/>
              </w:rPr>
              <w:t xml:space="preserve"> </w:t>
            </w:r>
            <w:r>
              <w:rPr>
                <w:rFonts w:hint="default" w:ascii="Times New Roman" w:hAnsi="Times New Roman" w:eastAsia="宋体" w:cs="Times New Roman"/>
                <w:b/>
                <w:kern w:val="24"/>
                <w:szCs w:val="21"/>
              </w:rPr>
              <w:t>《工业企业</w:t>
            </w:r>
            <w:r>
              <w:rPr>
                <w:rFonts w:hint="eastAsia" w:ascii="Times New Roman" w:hAnsi="Times New Roman" w:eastAsia="宋体" w:cs="Times New Roman"/>
                <w:b/>
                <w:kern w:val="24"/>
                <w:szCs w:val="21"/>
                <w:lang w:val="en-US" w:eastAsia="zh-CN"/>
              </w:rPr>
              <w:t>厂</w:t>
            </w:r>
            <w:r>
              <w:rPr>
                <w:rFonts w:hint="default" w:ascii="Times New Roman" w:hAnsi="Times New Roman" w:eastAsia="宋体" w:cs="Times New Roman"/>
                <w:b/>
                <w:kern w:val="24"/>
                <w:szCs w:val="21"/>
              </w:rPr>
              <w:t>界环境噪声排放标准》（GB12348-2008）</w:t>
            </w:r>
            <w:r>
              <w:rPr>
                <w:rFonts w:hint="eastAsia" w:ascii="Times New Roman" w:hAnsi="Times New Roman" w:eastAsia="宋体" w:cs="Times New Roman"/>
                <w:b/>
                <w:kern w:val="24"/>
                <w:szCs w:val="21"/>
                <w:lang w:val="en-US" w:eastAsia="zh-CN"/>
              </w:rPr>
              <w:t xml:space="preserve"> </w:t>
            </w:r>
            <w:r>
              <w:rPr>
                <w:rFonts w:hint="default" w:ascii="Times New Roman" w:hAnsi="Times New Roman" w:eastAsia="宋体" w:cs="Times New Roman"/>
                <w:b/>
                <w:kern w:val="0"/>
                <w:szCs w:val="21"/>
              </w:rPr>
              <w:t>单位：dB(A)</w:t>
            </w:r>
          </w:p>
          <w:tbl>
            <w:tblPr>
              <w:tblStyle w:val="25"/>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780"/>
              <w:gridCol w:w="6608"/>
            </w:tblGrid>
            <w:tr w14:paraId="22A3B5A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61" w:type="pct"/>
                  <w:vMerge w:val="restart"/>
                  <w:noWrap w:val="0"/>
                  <w:vAlign w:val="center"/>
                </w:tcPr>
                <w:p w14:paraId="15F6F644">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r>
                    <w:rPr>
                      <w:rFonts w:hint="default" w:ascii="Times New Roman" w:hAnsi="Times New Roman" w:eastAsia="宋体" w:cs="Times New Roman"/>
                      <w:b/>
                      <w:szCs w:val="21"/>
                    </w:rPr>
                    <w:t>类别</w:t>
                  </w:r>
                </w:p>
              </w:tc>
              <w:tc>
                <w:tcPr>
                  <w:tcW w:w="3938" w:type="pct"/>
                  <w:noWrap w:val="0"/>
                  <w:vAlign w:val="center"/>
                </w:tcPr>
                <w:p w14:paraId="5D8B69B8">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r>
                    <w:rPr>
                      <w:rFonts w:hint="default" w:ascii="Times New Roman" w:hAnsi="Times New Roman" w:eastAsia="宋体" w:cs="Times New Roman"/>
                      <w:b/>
                      <w:szCs w:val="21"/>
                    </w:rPr>
                    <w:t>标准值</w:t>
                  </w:r>
                </w:p>
              </w:tc>
            </w:tr>
            <w:tr w14:paraId="173C582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61" w:type="pct"/>
                  <w:vMerge w:val="continue"/>
                  <w:noWrap w:val="0"/>
                  <w:vAlign w:val="center"/>
                </w:tcPr>
                <w:p w14:paraId="48CE48EC">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szCs w:val="21"/>
                    </w:rPr>
                  </w:pPr>
                </w:p>
              </w:tc>
              <w:tc>
                <w:tcPr>
                  <w:tcW w:w="3938" w:type="pct"/>
                  <w:noWrap w:val="0"/>
                  <w:vAlign w:val="center"/>
                </w:tcPr>
                <w:p w14:paraId="3CE92D57">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r>
                    <w:rPr>
                      <w:rFonts w:hint="default" w:ascii="Times New Roman" w:hAnsi="Times New Roman" w:eastAsia="宋体" w:cs="Times New Roman"/>
                      <w:b/>
                      <w:szCs w:val="21"/>
                    </w:rPr>
                    <w:t>昼间</w:t>
                  </w:r>
                </w:p>
              </w:tc>
            </w:tr>
            <w:tr w14:paraId="435F6C7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61" w:type="pct"/>
                  <w:noWrap w:val="0"/>
                  <w:vAlign w:val="center"/>
                </w:tcPr>
                <w:p w14:paraId="1C31AAE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cs="Times New Roman"/>
                      <w:szCs w:val="21"/>
                      <w:lang w:val="en-US" w:eastAsia="zh-CN"/>
                    </w:rPr>
                    <w:t>2</w:t>
                  </w:r>
                  <w:r>
                    <w:rPr>
                      <w:rFonts w:hint="default" w:ascii="Times New Roman" w:hAnsi="Times New Roman" w:eastAsia="宋体" w:cs="Times New Roman"/>
                      <w:szCs w:val="21"/>
                    </w:rPr>
                    <w:t>类</w:t>
                  </w:r>
                </w:p>
              </w:tc>
              <w:tc>
                <w:tcPr>
                  <w:tcW w:w="3938" w:type="pct"/>
                  <w:noWrap w:val="0"/>
                  <w:vAlign w:val="center"/>
                </w:tcPr>
                <w:p w14:paraId="213F0D6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cs="Times New Roman"/>
                      <w:szCs w:val="21"/>
                      <w:lang w:val="en-US" w:eastAsia="zh-CN"/>
                    </w:rPr>
                    <w:t>60</w:t>
                  </w:r>
                </w:p>
              </w:tc>
            </w:tr>
          </w:tbl>
          <w:p w14:paraId="6539A97B">
            <w:pPr>
              <w:keepNext w:val="0"/>
              <w:keepLines w:val="0"/>
              <w:suppressLineNumbers w:val="0"/>
              <w:autoSpaceDE w:val="0"/>
              <w:autoSpaceDN w:val="0"/>
              <w:adjustRightInd w:val="0"/>
              <w:spacing w:before="0" w:beforeAutospacing="0" w:after="0" w:afterAutospacing="0" w:line="312" w:lineRule="auto"/>
              <w:ind w:left="0" w:right="0"/>
              <w:jc w:val="left"/>
              <w:rPr>
                <w:rFonts w:hint="default" w:ascii="Times New Roman" w:hAnsi="Times New Roman" w:eastAsia="宋体" w:cs="Times New Roman"/>
                <w:b/>
                <w:sz w:val="24"/>
              </w:rPr>
            </w:pPr>
            <w:r>
              <w:rPr>
                <w:rFonts w:hint="eastAsia" w:ascii="Times New Roman" w:hAnsi="Times New Roman" w:eastAsia="宋体" w:cs="Times New Roman"/>
                <w:b/>
                <w:sz w:val="24"/>
              </w:rPr>
              <w:t>四</w:t>
            </w:r>
            <w:r>
              <w:rPr>
                <w:rFonts w:hint="default" w:ascii="Times New Roman" w:hAnsi="Times New Roman" w:eastAsia="宋体" w:cs="Times New Roman"/>
                <w:b/>
                <w:sz w:val="24"/>
              </w:rPr>
              <w:t>、固废排放标准：</w:t>
            </w:r>
          </w:p>
          <w:p w14:paraId="7F86FF36">
            <w:pPr>
              <w:keepNext w:val="0"/>
              <w:keepLines w:val="0"/>
              <w:widowControl/>
              <w:suppressLineNumbers w:val="0"/>
              <w:snapToGrid w:val="0"/>
              <w:spacing w:before="0" w:beforeAutospacing="0" w:after="0" w:afterAutospacing="0" w:line="360" w:lineRule="auto"/>
              <w:ind w:left="0" w:right="0" w:firstLine="480" w:firstLineChars="200"/>
              <w:rPr>
                <w:rFonts w:hint="default" w:ascii="Times New Roman" w:hAnsi="Times New Roman" w:eastAsia="宋体" w:cs="宋体"/>
                <w:kern w:val="0"/>
                <w:szCs w:val="21"/>
              </w:rPr>
            </w:pPr>
            <w:r>
              <w:rPr>
                <w:rFonts w:hint="eastAsia" w:ascii="Times New Roman" w:hAnsi="Times New Roman" w:eastAsia="宋体" w:cs="Times New Roman"/>
                <w:sz w:val="24"/>
              </w:rPr>
              <w:t>一般废物其贮存过程应满足相应防渗漏、防雨淋、防扬尘等环境保护要求；</w:t>
            </w:r>
            <w:r>
              <w:rPr>
                <w:rFonts w:hint="default" w:ascii="Times New Roman" w:hAnsi="Times New Roman" w:eastAsia="宋体" w:cs="Times New Roman"/>
                <w:sz w:val="24"/>
              </w:rPr>
              <w:t>危险废物贮存执行《危险废物贮存污染控制标准》（GB18597－</w:t>
            </w:r>
            <w:r>
              <w:rPr>
                <w:rFonts w:hint="eastAsia" w:ascii="Times New Roman" w:hAnsi="Times New Roman" w:eastAsia="宋体" w:cs="Times New Roman"/>
                <w:sz w:val="24"/>
                <w:lang w:val="en-US" w:eastAsia="zh-CN"/>
              </w:rPr>
              <w:t>2023</w:t>
            </w:r>
            <w:r>
              <w:rPr>
                <w:rFonts w:hint="default" w:ascii="Times New Roman" w:hAnsi="Times New Roman" w:eastAsia="宋体" w:cs="Times New Roman"/>
                <w:sz w:val="24"/>
              </w:rPr>
              <w:t>）中相关规定。</w:t>
            </w:r>
          </w:p>
        </w:tc>
      </w:tr>
      <w:tr w14:paraId="7FC101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47" w:hRule="atLeast"/>
        </w:trPr>
        <w:tc>
          <w:tcPr>
            <w:tcW w:w="404" w:type="dxa"/>
            <w:noWrap w:val="0"/>
            <w:tcMar>
              <w:left w:w="28" w:type="dxa"/>
              <w:right w:w="28" w:type="dxa"/>
            </w:tcMar>
            <w:vAlign w:val="center"/>
          </w:tcPr>
          <w:p w14:paraId="31E1341E">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kern w:val="0"/>
                <w:sz w:val="24"/>
              </w:rPr>
            </w:pPr>
            <w:r>
              <w:rPr>
                <w:rFonts w:hint="eastAsia" w:ascii="Times New Roman" w:hAnsi="Times New Roman" w:eastAsia="宋体" w:cs="宋体"/>
                <w:kern w:val="0"/>
                <w:sz w:val="24"/>
              </w:rPr>
              <w:t>总量</w:t>
            </w:r>
          </w:p>
          <w:p w14:paraId="066D56B9">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kern w:val="0"/>
                <w:sz w:val="24"/>
              </w:rPr>
            </w:pPr>
            <w:r>
              <w:rPr>
                <w:rFonts w:hint="eastAsia" w:ascii="Times New Roman" w:hAnsi="Times New Roman" w:eastAsia="宋体" w:cs="宋体"/>
                <w:kern w:val="0"/>
                <w:sz w:val="24"/>
              </w:rPr>
              <w:t>控制</w:t>
            </w:r>
          </w:p>
          <w:p w14:paraId="256B8948">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kern w:val="0"/>
                <w:sz w:val="24"/>
              </w:rPr>
            </w:pPr>
            <w:r>
              <w:rPr>
                <w:rFonts w:hint="eastAsia" w:ascii="Times New Roman" w:hAnsi="Times New Roman" w:eastAsia="宋体" w:cs="宋体"/>
                <w:kern w:val="0"/>
                <w:sz w:val="24"/>
              </w:rPr>
              <w:t>指标</w:t>
            </w:r>
          </w:p>
        </w:tc>
        <w:tc>
          <w:tcPr>
            <w:tcW w:w="8657" w:type="dxa"/>
            <w:noWrap w:val="0"/>
            <w:vAlign w:val="center"/>
          </w:tcPr>
          <w:p w14:paraId="6A326DFC">
            <w:pPr>
              <w:pStyle w:val="68"/>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b/>
                <w:bCs/>
                <w:kern w:val="2"/>
              </w:rPr>
            </w:pPr>
            <w:r>
              <w:rPr>
                <w:rFonts w:hint="default" w:ascii="Times New Roman" w:hAnsi="Times New Roman" w:eastAsia="宋体" w:cs="Times New Roman"/>
                <w:b/>
                <w:bCs/>
              </w:rPr>
              <w:t>1、</w:t>
            </w:r>
            <w:r>
              <w:rPr>
                <w:rFonts w:hint="eastAsia" w:ascii="Times New Roman" w:hAnsi="Times New Roman" w:eastAsia="宋体" w:cs="Times New Roman"/>
                <w:b/>
                <w:bCs/>
                <w:kern w:val="2"/>
              </w:rPr>
              <w:t>本项目新增污染物总量控制指标</w:t>
            </w:r>
          </w:p>
          <w:p w14:paraId="3763F745">
            <w:pPr>
              <w:pStyle w:val="68"/>
              <w:keepNext w:val="0"/>
              <w:keepLines w:val="0"/>
              <w:suppressLineNumbers w:val="0"/>
              <w:spacing w:before="0" w:beforeAutospacing="0" w:after="0" w:afterAutospacing="0"/>
              <w:ind w:left="0" w:right="0" w:firstLine="480"/>
              <w:rPr>
                <w:rFonts w:hint="default" w:ascii="Times New Roman" w:hAnsi="Times New Roman" w:eastAsia="宋体" w:cs="Times New Roman"/>
                <w:kern w:val="2"/>
                <w:lang w:val="en-US" w:eastAsia="zh-CN"/>
              </w:rPr>
            </w:pPr>
            <w:r>
              <w:rPr>
                <w:rFonts w:hint="eastAsia" w:ascii="Times New Roman" w:hAnsi="Times New Roman" w:eastAsia="宋体" w:cs="Times New Roman"/>
                <w:kern w:val="2"/>
                <w:lang w:val="en-US" w:eastAsia="zh-CN"/>
              </w:rPr>
              <w:t>根据本项目工程分析，本项目涉及总量控制指标如下：</w:t>
            </w:r>
          </w:p>
          <w:p w14:paraId="4CF6FB75">
            <w:pPr>
              <w:pStyle w:val="68"/>
              <w:keepNext w:val="0"/>
              <w:keepLines w:val="0"/>
              <w:suppressLineNumbers w:val="0"/>
              <w:spacing w:before="0" w:beforeAutospacing="0" w:after="0" w:afterAutospacing="0"/>
              <w:ind w:left="0" w:right="0" w:firstLine="480"/>
              <w:rPr>
                <w:rFonts w:hint="eastAsia" w:ascii="Times New Roman" w:hAnsi="Times New Roman" w:eastAsia="宋体" w:cs="Times New Roman"/>
                <w:kern w:val="2"/>
                <w:lang w:val="en-US" w:eastAsia="zh-CN"/>
              </w:rPr>
            </w:pPr>
            <w:r>
              <w:rPr>
                <w:rFonts w:hint="eastAsia" w:ascii="Times New Roman" w:hAnsi="Times New Roman" w:eastAsia="宋体" w:cs="Times New Roman"/>
                <w:kern w:val="2"/>
                <w:lang w:val="en-US" w:eastAsia="zh-CN"/>
              </w:rPr>
              <w:t>废水：COD、NH</w:t>
            </w:r>
            <w:r>
              <w:rPr>
                <w:rFonts w:hint="eastAsia" w:ascii="Times New Roman" w:hAnsi="Times New Roman" w:eastAsia="宋体" w:cs="Times New Roman"/>
                <w:kern w:val="2"/>
                <w:vertAlign w:val="subscript"/>
                <w:lang w:val="en-US" w:eastAsia="zh-CN"/>
              </w:rPr>
              <w:t>3</w:t>
            </w:r>
            <w:r>
              <w:rPr>
                <w:rFonts w:hint="eastAsia" w:ascii="Times New Roman" w:hAnsi="Times New Roman" w:eastAsia="宋体" w:cs="Times New Roman"/>
                <w:kern w:val="2"/>
                <w:lang w:val="en-US" w:eastAsia="zh-CN"/>
              </w:rPr>
              <w:t>-N；</w:t>
            </w:r>
          </w:p>
          <w:p w14:paraId="714029B5">
            <w:pPr>
              <w:pStyle w:val="68"/>
              <w:keepNext w:val="0"/>
              <w:keepLines w:val="0"/>
              <w:suppressLineNumbers w:val="0"/>
              <w:spacing w:before="0" w:beforeAutospacing="0" w:after="0" w:afterAutospacing="0"/>
              <w:ind w:left="0" w:right="0" w:firstLine="480"/>
              <w:rPr>
                <w:rFonts w:hint="default" w:ascii="Times New Roman" w:hAnsi="Times New Roman" w:eastAsia="宋体" w:cs="Times New Roman"/>
                <w:kern w:val="2"/>
                <w:lang w:val="en-US" w:eastAsia="zh-CN"/>
              </w:rPr>
            </w:pPr>
            <w:r>
              <w:rPr>
                <w:rFonts w:hint="eastAsia" w:ascii="Times New Roman" w:hAnsi="Times New Roman" w:eastAsia="宋体" w:cs="Times New Roman"/>
                <w:kern w:val="2"/>
                <w:lang w:val="en-US" w:eastAsia="zh-CN"/>
              </w:rPr>
              <w:t>废气无：无。</w:t>
            </w:r>
          </w:p>
          <w:p w14:paraId="1F7EE01E">
            <w:pPr>
              <w:pStyle w:val="68"/>
              <w:keepNext w:val="0"/>
              <w:keepLines w:val="0"/>
              <w:suppressLineNumbers w:val="0"/>
              <w:spacing w:before="0" w:beforeAutospacing="0" w:after="0" w:afterAutospacing="0"/>
              <w:ind w:left="0" w:right="0" w:firstLine="480"/>
              <w:rPr>
                <w:rFonts w:hint="default" w:ascii="Times New Roman" w:hAnsi="Times New Roman" w:eastAsia="宋体" w:cs="Times New Roman"/>
                <w:kern w:val="2"/>
              </w:rPr>
            </w:pPr>
            <w:r>
              <w:rPr>
                <w:rFonts w:hint="eastAsia" w:ascii="Times New Roman" w:hAnsi="Times New Roman" w:eastAsia="宋体" w:cs="Times New Roman"/>
                <w:kern w:val="2"/>
              </w:rPr>
              <w:t>（1）废水总量控制指标</w:t>
            </w:r>
          </w:p>
          <w:p w14:paraId="327BAE73">
            <w:pPr>
              <w:pStyle w:val="68"/>
              <w:keepNext w:val="0"/>
              <w:keepLines w:val="0"/>
              <w:suppressLineNumbers w:val="0"/>
              <w:snapToGrid w:val="0"/>
              <w:spacing w:before="0" w:beforeAutospacing="0" w:after="0" w:afterAutospacing="0"/>
              <w:ind w:left="0" w:right="0" w:firstLine="480"/>
              <w:rPr>
                <w:rFonts w:hint="default" w:ascii="Times New Roman" w:hAnsi="Times New Roman" w:eastAsia="宋体" w:cs="Times New Roman"/>
                <w:color w:val="auto"/>
              </w:rPr>
            </w:pPr>
            <w:r>
              <w:rPr>
                <w:rFonts w:hint="eastAsia" w:ascii="Times New Roman" w:hAnsi="Times New Roman" w:eastAsia="宋体" w:cs="宋体"/>
                <w:lang w:bidi="ar"/>
              </w:rPr>
              <w:t>本</w:t>
            </w:r>
            <w:r>
              <w:rPr>
                <w:rFonts w:hint="eastAsia" w:ascii="Times New Roman" w:hAnsi="Times New Roman" w:eastAsia="宋体" w:cs="宋体"/>
                <w:color w:val="auto"/>
                <w:lang w:bidi="ar"/>
              </w:rPr>
              <w:t>项外排废水</w:t>
            </w:r>
            <w:r>
              <w:rPr>
                <w:rFonts w:hint="eastAsia" w:ascii="Times New Roman" w:hAnsi="Times New Roman" w:eastAsia="宋体" w:cs="宋体"/>
                <w:color w:val="auto"/>
                <w:lang w:val="en-US" w:eastAsia="zh-CN" w:bidi="ar"/>
              </w:rPr>
              <w:t>仅为生活污水</w:t>
            </w:r>
            <w:r>
              <w:rPr>
                <w:rFonts w:hint="eastAsia" w:ascii="Times New Roman" w:hAnsi="Times New Roman" w:eastAsia="宋体" w:cs="宋体"/>
                <w:color w:val="auto"/>
                <w:lang w:bidi="ar"/>
              </w:rPr>
              <w:t>。根据</w:t>
            </w:r>
            <w:r>
              <w:rPr>
                <w:rFonts w:hint="eastAsia" w:ascii="Times New Roman" w:hAnsi="Times New Roman" w:eastAsia="宋体" w:cs="宋体"/>
                <w:color w:val="auto"/>
                <w:lang w:val="en-US" w:eastAsia="zh-CN" w:bidi="ar"/>
              </w:rPr>
              <w:t>水平衡</w:t>
            </w:r>
            <w:r>
              <w:rPr>
                <w:rFonts w:hint="eastAsia" w:ascii="Times New Roman" w:hAnsi="Times New Roman" w:eastAsia="宋体" w:cs="宋体"/>
                <w:color w:val="auto"/>
                <w:lang w:bidi="ar"/>
              </w:rPr>
              <w:t>分析，本项目废水排放量为</w:t>
            </w:r>
            <w:r>
              <w:rPr>
                <w:rFonts w:hint="eastAsia" w:ascii="Times New Roman" w:hAnsi="Times New Roman" w:eastAsia="宋体" w:cs="Times New Roman"/>
                <w:color w:val="auto"/>
                <w:sz w:val="24"/>
                <w:lang w:val="en-US" w:eastAsia="zh-CN"/>
              </w:rPr>
              <w:t>51</w:t>
            </w:r>
            <w:r>
              <w:rPr>
                <w:rFonts w:hint="default" w:ascii="Times New Roman" w:hAnsi="Times New Roman" w:eastAsia="宋体" w:cs="宋体"/>
                <w:color w:val="auto"/>
                <w:lang w:bidi="ar"/>
              </w:rPr>
              <w:t>m</w:t>
            </w:r>
            <w:r>
              <w:rPr>
                <w:rFonts w:hint="default" w:ascii="Times New Roman" w:hAnsi="Times New Roman" w:eastAsia="宋体" w:cs="宋体"/>
                <w:color w:val="auto"/>
                <w:vertAlign w:val="superscript"/>
                <w:lang w:bidi="ar"/>
              </w:rPr>
              <w:t>3</w:t>
            </w:r>
            <w:r>
              <w:rPr>
                <w:rFonts w:hint="default" w:ascii="Times New Roman" w:hAnsi="Times New Roman" w:eastAsia="宋体" w:cs="宋体"/>
                <w:color w:val="auto"/>
                <w:lang w:bidi="ar"/>
              </w:rPr>
              <w:t>/a</w:t>
            </w:r>
            <w:r>
              <w:rPr>
                <w:rFonts w:hint="eastAsia" w:ascii="Times New Roman" w:hAnsi="Times New Roman" w:eastAsia="宋体" w:cs="宋体"/>
                <w:color w:val="auto"/>
                <w:lang w:bidi="ar"/>
              </w:rPr>
              <w:t>，企业废水</w:t>
            </w:r>
            <w:r>
              <w:rPr>
                <w:rFonts w:hint="eastAsia" w:cs="宋体"/>
                <w:color w:val="000000"/>
                <w:kern w:val="0"/>
                <w:sz w:val="24"/>
                <w:lang w:val="en-US" w:eastAsia="zh-CN" w:bidi="ar"/>
              </w:rPr>
              <w:t>执行《污水综合排放标准》（GB8978-1996）中三级标准，其中NH</w:t>
            </w:r>
            <w:r>
              <w:rPr>
                <w:rFonts w:hint="eastAsia" w:cs="宋体"/>
                <w:color w:val="000000"/>
                <w:kern w:val="0"/>
                <w:sz w:val="24"/>
                <w:vertAlign w:val="subscript"/>
                <w:lang w:val="en-US" w:eastAsia="zh-CN" w:bidi="ar"/>
              </w:rPr>
              <w:t>3</w:t>
            </w:r>
            <w:r>
              <w:rPr>
                <w:rFonts w:hint="eastAsia" w:cs="宋体"/>
                <w:color w:val="000000"/>
                <w:kern w:val="0"/>
                <w:sz w:val="24"/>
                <w:lang w:val="en-US" w:eastAsia="zh-CN" w:bidi="ar"/>
              </w:rPr>
              <w:t>-N参照执行《污水排入城镇下水道水质标准》(GB/T31962-2015)中B级标准</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COD</w:t>
            </w:r>
            <w:r>
              <w:rPr>
                <w:rFonts w:hint="eastAsia" w:ascii="Times New Roman" w:hAnsi="Times New Roman" w:eastAsia="宋体" w:cs="Times New Roman"/>
                <w:color w:val="auto"/>
              </w:rPr>
              <w:t>：</w:t>
            </w:r>
            <w:r>
              <w:rPr>
                <w:rFonts w:hint="eastAsia" w:ascii="Times New Roman" w:hAnsi="Times New Roman" w:eastAsia="宋体" w:cs="Times New Roman"/>
                <w:color w:val="auto"/>
                <w:lang w:val="en-US" w:eastAsia="zh-CN"/>
              </w:rPr>
              <w:t>500</w:t>
            </w:r>
            <w:r>
              <w:rPr>
                <w:rFonts w:hint="default" w:ascii="Times New Roman" w:hAnsi="Times New Roman" w:eastAsia="宋体" w:cs="Times New Roman"/>
                <w:color w:val="auto"/>
              </w:rPr>
              <w:t>mg/L</w:t>
            </w:r>
            <w:r>
              <w:rPr>
                <w:rFonts w:hint="eastAsia" w:ascii="Times New Roman" w:hAnsi="Times New Roman" w:eastAsia="宋体" w:cs="Times New Roman"/>
                <w:color w:val="auto"/>
              </w:rPr>
              <w:t>、氨氮：</w:t>
            </w:r>
            <w:r>
              <w:rPr>
                <w:rFonts w:hint="eastAsia" w:ascii="Times New Roman" w:hAnsi="Times New Roman" w:eastAsia="宋体" w:cs="Times New Roman"/>
                <w:color w:val="auto"/>
                <w:lang w:val="en-US" w:eastAsia="zh-CN"/>
              </w:rPr>
              <w:t>45</w:t>
            </w:r>
            <w:r>
              <w:rPr>
                <w:rFonts w:hint="default" w:ascii="Times New Roman" w:hAnsi="Times New Roman" w:eastAsia="宋体" w:cs="Times New Roman"/>
                <w:color w:val="auto"/>
              </w:rPr>
              <w:t>mg/L</w:t>
            </w:r>
            <w:r>
              <w:rPr>
                <w:rFonts w:hint="eastAsia" w:ascii="Times New Roman" w:hAnsi="Times New Roman" w:eastAsia="宋体" w:cs="Times New Roman"/>
                <w:color w:val="auto"/>
              </w:rPr>
              <w:t>）</w:t>
            </w:r>
            <w:r>
              <w:rPr>
                <w:rFonts w:hint="eastAsia" w:cs="宋体"/>
                <w:color w:val="000000"/>
                <w:kern w:val="0"/>
                <w:sz w:val="24"/>
                <w:lang w:val="en-US" w:eastAsia="zh-CN" w:bidi="ar"/>
              </w:rPr>
              <w:t>。</w:t>
            </w:r>
            <w:r>
              <w:rPr>
                <w:rFonts w:hint="eastAsia" w:ascii="Times New Roman" w:hAnsi="Times New Roman" w:eastAsia="宋体" w:cs="宋体"/>
                <w:color w:val="auto"/>
                <w:lang w:bidi="ar"/>
              </w:rPr>
              <w:t>则本项目废水污染物排放量为：</w:t>
            </w:r>
          </w:p>
          <w:p w14:paraId="11F44171">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宋体"/>
                <w:color w:val="auto"/>
                <w:kern w:val="0"/>
                <w:sz w:val="24"/>
                <w:lang w:bidi="ar"/>
              </w:rPr>
            </w:pPr>
            <w:r>
              <w:rPr>
                <w:rFonts w:hint="eastAsia" w:ascii="Times New Roman" w:hAnsi="Times New Roman" w:eastAsia="宋体" w:cs="宋体"/>
                <w:color w:val="auto"/>
                <w:kern w:val="0"/>
                <w:sz w:val="24"/>
                <w:lang w:bidi="ar"/>
              </w:rPr>
              <w:t>COD：</w:t>
            </w:r>
            <w:r>
              <w:rPr>
                <w:rFonts w:hint="eastAsia" w:ascii="Times New Roman" w:hAnsi="Times New Roman" w:eastAsia="宋体" w:cs="Times New Roman"/>
                <w:color w:val="auto"/>
                <w:sz w:val="24"/>
                <w:lang w:val="en-US" w:eastAsia="zh-CN"/>
              </w:rPr>
              <w:t>51</w:t>
            </w:r>
            <w:r>
              <w:rPr>
                <w:rFonts w:hint="eastAsia" w:ascii="Times New Roman" w:hAnsi="Times New Roman" w:eastAsia="宋体" w:cs="宋体"/>
                <w:color w:val="auto"/>
                <w:kern w:val="0"/>
                <w:sz w:val="24"/>
                <w:lang w:bidi="ar"/>
              </w:rPr>
              <w:t>m</w:t>
            </w:r>
            <w:r>
              <w:rPr>
                <w:rFonts w:hint="eastAsia" w:ascii="Times New Roman" w:hAnsi="Times New Roman" w:eastAsia="宋体" w:cs="宋体"/>
                <w:color w:val="auto"/>
                <w:kern w:val="0"/>
                <w:sz w:val="24"/>
                <w:vertAlign w:val="superscript"/>
                <w:lang w:bidi="ar"/>
              </w:rPr>
              <w:t>3</w:t>
            </w:r>
            <w:r>
              <w:rPr>
                <w:rFonts w:hint="eastAsia" w:ascii="Times New Roman" w:hAnsi="Times New Roman" w:eastAsia="宋体" w:cs="宋体"/>
                <w:color w:val="auto"/>
                <w:kern w:val="0"/>
                <w:sz w:val="24"/>
                <w:lang w:bidi="ar"/>
              </w:rPr>
              <w:t>/a×</w:t>
            </w:r>
            <w:r>
              <w:rPr>
                <w:rFonts w:hint="eastAsia" w:ascii="Times New Roman" w:hAnsi="Times New Roman" w:eastAsia="宋体" w:cs="宋体"/>
                <w:color w:val="auto"/>
                <w:kern w:val="0"/>
                <w:sz w:val="24"/>
                <w:lang w:val="en-US" w:eastAsia="zh-CN" w:bidi="ar"/>
              </w:rPr>
              <w:t>500</w:t>
            </w:r>
            <w:r>
              <w:rPr>
                <w:rFonts w:hint="eastAsia" w:ascii="Times New Roman" w:hAnsi="Times New Roman" w:eastAsia="宋体" w:cs="宋体"/>
                <w:color w:val="auto"/>
                <w:kern w:val="0"/>
                <w:sz w:val="24"/>
                <w:lang w:bidi="ar"/>
              </w:rPr>
              <w:t>mg/L×10</w:t>
            </w:r>
            <w:r>
              <w:rPr>
                <w:rFonts w:hint="eastAsia" w:ascii="Times New Roman" w:hAnsi="Times New Roman" w:eastAsia="宋体" w:cs="宋体"/>
                <w:color w:val="auto"/>
                <w:kern w:val="0"/>
                <w:sz w:val="24"/>
                <w:vertAlign w:val="superscript"/>
                <w:lang w:bidi="ar"/>
              </w:rPr>
              <w:t>-6</w:t>
            </w:r>
            <w:r>
              <w:rPr>
                <w:rFonts w:hint="eastAsia" w:ascii="Times New Roman" w:hAnsi="Times New Roman" w:eastAsia="宋体" w:cs="宋体"/>
                <w:color w:val="auto"/>
                <w:kern w:val="0"/>
                <w:sz w:val="24"/>
                <w:lang w:bidi="ar"/>
              </w:rPr>
              <w:t>=</w:t>
            </w:r>
            <w:r>
              <w:rPr>
                <w:rFonts w:hint="eastAsia" w:ascii="Times New Roman" w:hAnsi="Times New Roman" w:eastAsia="宋体" w:cs="宋体"/>
                <w:color w:val="auto"/>
                <w:kern w:val="0"/>
                <w:sz w:val="24"/>
                <w:lang w:val="en-US" w:eastAsia="zh-CN" w:bidi="ar"/>
              </w:rPr>
              <w:t>0.0255</w:t>
            </w:r>
            <w:r>
              <w:rPr>
                <w:rFonts w:hint="eastAsia" w:ascii="Times New Roman" w:hAnsi="Times New Roman" w:eastAsia="宋体" w:cs="宋体"/>
                <w:color w:val="auto"/>
                <w:kern w:val="0"/>
                <w:sz w:val="24"/>
                <w:lang w:bidi="ar"/>
              </w:rPr>
              <w:t>t/a；</w:t>
            </w:r>
          </w:p>
          <w:p w14:paraId="266E361F">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宋体"/>
                <w:color w:val="auto"/>
                <w:kern w:val="0"/>
                <w:sz w:val="24"/>
                <w:lang w:bidi="ar"/>
              </w:rPr>
            </w:pPr>
            <w:r>
              <w:rPr>
                <w:rFonts w:hint="eastAsia" w:ascii="Times New Roman" w:hAnsi="Times New Roman" w:eastAsia="宋体" w:cs="宋体"/>
                <w:color w:val="auto"/>
                <w:kern w:val="0"/>
                <w:sz w:val="24"/>
                <w:lang w:bidi="ar"/>
              </w:rPr>
              <w:t>氨氮：</w:t>
            </w:r>
            <w:r>
              <w:rPr>
                <w:rFonts w:hint="eastAsia" w:ascii="Times New Roman" w:hAnsi="Times New Roman" w:eastAsia="宋体" w:cs="Times New Roman"/>
                <w:color w:val="auto"/>
                <w:sz w:val="24"/>
                <w:lang w:val="en-US" w:eastAsia="zh-CN"/>
              </w:rPr>
              <w:t>51</w:t>
            </w:r>
            <w:r>
              <w:rPr>
                <w:rFonts w:hint="eastAsia" w:ascii="Times New Roman" w:hAnsi="Times New Roman" w:eastAsia="宋体" w:cs="宋体"/>
                <w:color w:val="auto"/>
                <w:kern w:val="0"/>
                <w:sz w:val="24"/>
                <w:lang w:bidi="ar"/>
              </w:rPr>
              <w:t>m</w:t>
            </w:r>
            <w:r>
              <w:rPr>
                <w:rFonts w:hint="eastAsia" w:ascii="Times New Roman" w:hAnsi="Times New Roman" w:eastAsia="宋体" w:cs="宋体"/>
                <w:color w:val="auto"/>
                <w:kern w:val="0"/>
                <w:sz w:val="24"/>
                <w:vertAlign w:val="superscript"/>
                <w:lang w:bidi="ar"/>
              </w:rPr>
              <w:t>3</w:t>
            </w:r>
            <w:r>
              <w:rPr>
                <w:rFonts w:hint="eastAsia" w:ascii="Times New Roman" w:hAnsi="Times New Roman" w:eastAsia="宋体" w:cs="宋体"/>
                <w:color w:val="auto"/>
                <w:kern w:val="0"/>
                <w:sz w:val="24"/>
                <w:lang w:bidi="ar"/>
              </w:rPr>
              <w:t>/a×</w:t>
            </w:r>
            <w:r>
              <w:rPr>
                <w:rFonts w:hint="eastAsia" w:ascii="Times New Roman" w:hAnsi="Times New Roman" w:eastAsia="宋体" w:cs="宋体"/>
                <w:color w:val="auto"/>
                <w:kern w:val="0"/>
                <w:sz w:val="24"/>
                <w:lang w:val="en-US" w:eastAsia="zh-CN" w:bidi="ar"/>
              </w:rPr>
              <w:t>4</w:t>
            </w:r>
            <w:r>
              <w:rPr>
                <w:rFonts w:hint="eastAsia" w:ascii="Times New Roman" w:hAnsi="Times New Roman" w:eastAsia="宋体" w:cs="宋体"/>
                <w:color w:val="auto"/>
                <w:kern w:val="0"/>
                <w:sz w:val="24"/>
                <w:lang w:bidi="ar"/>
              </w:rPr>
              <w:t>5mg/L×10</w:t>
            </w:r>
            <w:r>
              <w:rPr>
                <w:rFonts w:hint="eastAsia" w:ascii="Times New Roman" w:hAnsi="Times New Roman" w:eastAsia="宋体" w:cs="宋体"/>
                <w:color w:val="auto"/>
                <w:kern w:val="0"/>
                <w:sz w:val="24"/>
                <w:vertAlign w:val="superscript"/>
                <w:lang w:bidi="ar"/>
              </w:rPr>
              <w:t>-6</w:t>
            </w:r>
            <w:r>
              <w:rPr>
                <w:rFonts w:hint="eastAsia" w:ascii="Times New Roman" w:hAnsi="Times New Roman" w:eastAsia="宋体" w:cs="宋体"/>
                <w:color w:val="auto"/>
                <w:kern w:val="0"/>
                <w:sz w:val="24"/>
                <w:lang w:bidi="ar"/>
              </w:rPr>
              <w:t>=0.0</w:t>
            </w:r>
            <w:r>
              <w:rPr>
                <w:rFonts w:hint="eastAsia" w:ascii="Times New Roman" w:hAnsi="Times New Roman" w:eastAsia="宋体" w:cs="宋体"/>
                <w:color w:val="auto"/>
                <w:kern w:val="0"/>
                <w:sz w:val="24"/>
                <w:lang w:val="en-US" w:eastAsia="zh-CN" w:bidi="ar"/>
              </w:rPr>
              <w:t>023</w:t>
            </w:r>
            <w:r>
              <w:rPr>
                <w:rFonts w:hint="eastAsia" w:ascii="Times New Roman" w:hAnsi="Times New Roman" w:eastAsia="宋体" w:cs="宋体"/>
                <w:color w:val="auto"/>
                <w:kern w:val="0"/>
                <w:sz w:val="24"/>
                <w:lang w:bidi="ar"/>
              </w:rPr>
              <w:t>t/a。</w:t>
            </w:r>
          </w:p>
          <w:p w14:paraId="7C73F117">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宋体"/>
                <w:color w:val="auto"/>
                <w:kern w:val="0"/>
                <w:sz w:val="24"/>
                <w:lang w:val="en-US" w:eastAsia="zh-CN" w:bidi="ar"/>
              </w:rPr>
            </w:pPr>
            <w:r>
              <w:rPr>
                <w:rFonts w:hint="eastAsia" w:ascii="Times New Roman" w:hAnsi="Times New Roman" w:eastAsia="宋体" w:cs="宋体"/>
                <w:color w:val="auto"/>
                <w:kern w:val="0"/>
                <w:sz w:val="24"/>
                <w:lang w:bidi="ar"/>
              </w:rPr>
              <w:t>本项目</w:t>
            </w:r>
            <w:r>
              <w:rPr>
                <w:rFonts w:hint="eastAsia" w:ascii="Times New Roman" w:hAnsi="Times New Roman" w:eastAsia="宋体" w:cs="宋体"/>
                <w:color w:val="auto"/>
                <w:kern w:val="0"/>
                <w:sz w:val="24"/>
                <w:lang w:val="en-US" w:eastAsia="zh-CN" w:bidi="ar"/>
              </w:rPr>
              <w:t>生活污水经预处理池处理后定期由槽罐车转运至</w:t>
            </w:r>
            <w:r>
              <w:rPr>
                <w:rFonts w:hint="eastAsia" w:cs="宋体"/>
                <w:color w:val="auto"/>
                <w:kern w:val="0"/>
                <w:sz w:val="24"/>
                <w:lang w:val="en-US" w:eastAsia="zh-CN" w:bidi="ar"/>
              </w:rPr>
              <w:t>邻水县大步口污水处理站</w:t>
            </w:r>
            <w:r>
              <w:rPr>
                <w:rFonts w:hint="eastAsia" w:ascii="Times New Roman" w:hAnsi="Times New Roman" w:eastAsia="宋体" w:cs="宋体"/>
                <w:color w:val="auto"/>
                <w:kern w:val="0"/>
                <w:sz w:val="24"/>
                <w:lang w:val="en-US" w:eastAsia="zh-CN" w:bidi="ar"/>
              </w:rPr>
              <w:t>处理达到</w:t>
            </w:r>
            <w:r>
              <w:rPr>
                <w:rFonts w:hint="eastAsia"/>
                <w:sz w:val="24"/>
              </w:rPr>
              <w:t>《城镇污水处理厂污染物排放标准》（GB18918-2002）一级A</w:t>
            </w:r>
            <w:r>
              <w:rPr>
                <w:rFonts w:hint="eastAsia"/>
                <w:sz w:val="24"/>
                <w:lang w:val="en-GB"/>
              </w:rPr>
              <w:t>标</w:t>
            </w:r>
            <w:r>
              <w:rPr>
                <w:rFonts w:hint="eastAsia"/>
                <w:sz w:val="24"/>
              </w:rPr>
              <w:t>准（</w:t>
            </w:r>
            <w:r>
              <w:rPr>
                <w:rFonts w:hint="default"/>
                <w:sz w:val="24"/>
              </w:rPr>
              <w:t>COD</w:t>
            </w:r>
            <w:r>
              <w:rPr>
                <w:rFonts w:hint="eastAsia"/>
                <w:sz w:val="24"/>
              </w:rPr>
              <w:t>：50</w:t>
            </w:r>
            <w:r>
              <w:rPr>
                <w:rFonts w:hint="default"/>
                <w:sz w:val="24"/>
              </w:rPr>
              <w:t>mg/L</w:t>
            </w:r>
            <w:r>
              <w:rPr>
                <w:rFonts w:hint="eastAsia"/>
                <w:sz w:val="24"/>
              </w:rPr>
              <w:t>、氨氮：5</w:t>
            </w:r>
            <w:r>
              <w:rPr>
                <w:rFonts w:hint="default"/>
                <w:sz w:val="24"/>
              </w:rPr>
              <w:t>mg/L</w:t>
            </w:r>
            <w:r>
              <w:rPr>
                <w:rFonts w:hint="eastAsia"/>
                <w:sz w:val="24"/>
              </w:rPr>
              <w:t>）</w:t>
            </w:r>
            <w:r>
              <w:rPr>
                <w:rFonts w:hint="default"/>
                <w:kern w:val="0"/>
                <w:sz w:val="24"/>
              </w:rPr>
              <w:t>。</w:t>
            </w:r>
            <w:r>
              <w:rPr>
                <w:rFonts w:hint="eastAsia" w:cstheme="minorEastAsia"/>
                <w:sz w:val="24"/>
              </w:rPr>
              <w:t>核算总量指标如下：</w:t>
            </w:r>
          </w:p>
          <w:p w14:paraId="1DA1E0BF">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lang w:bidi="ar"/>
              </w:rPr>
              <w:t>COD</w:t>
            </w:r>
            <w:r>
              <w:rPr>
                <w:rFonts w:hint="eastAsia" w:ascii="Times New Roman" w:hAnsi="Times New Roman" w:eastAsia="宋体" w:cs="Times New Roman"/>
                <w:color w:val="auto"/>
                <w:kern w:val="0"/>
                <w:sz w:val="24"/>
                <w:lang w:bidi="ar"/>
              </w:rPr>
              <w:t>：</w:t>
            </w:r>
            <w:r>
              <w:rPr>
                <w:rFonts w:hint="eastAsia" w:ascii="Times New Roman" w:hAnsi="Times New Roman" w:eastAsia="宋体" w:cs="Times New Roman"/>
                <w:color w:val="auto"/>
                <w:sz w:val="24"/>
                <w:lang w:val="en-US" w:eastAsia="zh-CN"/>
              </w:rPr>
              <w:t>51</w:t>
            </w:r>
            <w:r>
              <w:rPr>
                <w:rFonts w:hint="eastAsia" w:ascii="Times New Roman" w:hAnsi="Times New Roman" w:eastAsia="宋体" w:cs="宋体"/>
                <w:color w:val="auto"/>
                <w:kern w:val="0"/>
                <w:sz w:val="24"/>
                <w:lang w:bidi="ar"/>
              </w:rPr>
              <w:t>m</w:t>
            </w:r>
            <w:r>
              <w:rPr>
                <w:rFonts w:hint="eastAsia" w:ascii="Times New Roman" w:hAnsi="Times New Roman" w:eastAsia="宋体" w:cs="宋体"/>
                <w:color w:val="auto"/>
                <w:kern w:val="0"/>
                <w:sz w:val="24"/>
                <w:vertAlign w:val="superscript"/>
                <w:lang w:bidi="ar"/>
              </w:rPr>
              <w:t>3</w:t>
            </w:r>
            <w:r>
              <w:rPr>
                <w:rFonts w:hint="eastAsia" w:ascii="Times New Roman" w:hAnsi="Times New Roman" w:eastAsia="宋体" w:cs="宋体"/>
                <w:color w:val="auto"/>
                <w:kern w:val="0"/>
                <w:sz w:val="24"/>
                <w:lang w:bidi="ar"/>
              </w:rPr>
              <w:t>/a</w:t>
            </w:r>
            <w:r>
              <w:rPr>
                <w:rFonts w:hint="default" w:ascii="Times New Roman" w:hAnsi="Times New Roman" w:eastAsia="宋体" w:cs="Times New Roman"/>
                <w:color w:val="auto"/>
                <w:kern w:val="0"/>
                <w:sz w:val="24"/>
                <w:lang w:bidi="ar"/>
              </w:rPr>
              <w:t>×</w:t>
            </w:r>
            <w:r>
              <w:rPr>
                <w:rFonts w:hint="eastAsia" w:ascii="Times New Roman" w:hAnsi="Times New Roman" w:eastAsia="宋体" w:cs="Times New Roman"/>
                <w:color w:val="auto"/>
                <w:kern w:val="0"/>
                <w:sz w:val="24"/>
                <w:lang w:val="en-US" w:eastAsia="zh-CN" w:bidi="ar"/>
              </w:rPr>
              <w:t>50</w:t>
            </w:r>
            <w:r>
              <w:rPr>
                <w:rFonts w:hint="default" w:ascii="Times New Roman" w:hAnsi="Times New Roman" w:eastAsia="宋体" w:cs="Times New Roman"/>
                <w:color w:val="auto"/>
                <w:kern w:val="0"/>
                <w:sz w:val="24"/>
                <w:lang w:bidi="ar"/>
              </w:rPr>
              <w:t>mg/L×10</w:t>
            </w:r>
            <w:r>
              <w:rPr>
                <w:rFonts w:hint="eastAsia" w:ascii="Times New Roman" w:hAnsi="Times New Roman" w:eastAsia="宋体" w:cs="Times New Roman"/>
                <w:color w:val="auto"/>
                <w:kern w:val="0"/>
                <w:sz w:val="24"/>
                <w:vertAlign w:val="superscript"/>
                <w:lang w:bidi="ar"/>
              </w:rPr>
              <w:t>-6</w:t>
            </w:r>
            <w:r>
              <w:rPr>
                <w:rFonts w:hint="eastAsia" w:ascii="Times New Roman" w:hAnsi="Times New Roman" w:eastAsia="宋体" w:cs="宋体"/>
                <w:color w:val="auto"/>
                <w:kern w:val="0"/>
                <w:sz w:val="24"/>
                <w:lang w:bidi="ar"/>
              </w:rPr>
              <w:t>=</w:t>
            </w:r>
            <w:r>
              <w:rPr>
                <w:rFonts w:hint="eastAsia" w:ascii="Times New Roman" w:hAnsi="Times New Roman" w:eastAsia="宋体" w:cs="Times New Roman"/>
                <w:color w:val="auto"/>
                <w:kern w:val="0"/>
                <w:sz w:val="24"/>
                <w:lang w:bidi="ar"/>
              </w:rPr>
              <w:t>0.0</w:t>
            </w:r>
            <w:r>
              <w:rPr>
                <w:rFonts w:hint="eastAsia" w:ascii="Times New Roman" w:hAnsi="Times New Roman" w:eastAsia="宋体" w:cs="Times New Roman"/>
                <w:color w:val="auto"/>
                <w:kern w:val="0"/>
                <w:sz w:val="24"/>
                <w:lang w:val="en-US" w:eastAsia="zh-CN" w:bidi="ar"/>
              </w:rPr>
              <w:t>026</w:t>
            </w:r>
            <w:r>
              <w:rPr>
                <w:rFonts w:hint="default" w:ascii="Times New Roman" w:hAnsi="Times New Roman" w:eastAsia="宋体" w:cs="Times New Roman"/>
                <w:color w:val="auto"/>
                <w:kern w:val="0"/>
                <w:sz w:val="24"/>
                <w:lang w:bidi="ar"/>
              </w:rPr>
              <w:t>t/a</w:t>
            </w:r>
            <w:r>
              <w:rPr>
                <w:rFonts w:hint="eastAsia" w:ascii="Times New Roman" w:hAnsi="Times New Roman" w:eastAsia="宋体" w:cs="Times New Roman"/>
                <w:color w:val="auto"/>
                <w:kern w:val="0"/>
                <w:sz w:val="24"/>
                <w:lang w:bidi="ar"/>
              </w:rPr>
              <w:t>；</w:t>
            </w:r>
          </w:p>
          <w:p w14:paraId="06F8C07E">
            <w:pPr>
              <w:keepNext w:val="0"/>
              <w:keepLines w:val="0"/>
              <w:widowControl/>
              <w:suppressLineNumbers w:val="0"/>
              <w:spacing w:before="0" w:beforeAutospacing="0" w:after="0" w:afterAutospacing="0" w:line="360" w:lineRule="auto"/>
              <w:ind w:left="0" w:right="0" w:firstLine="480" w:firstLineChars="200"/>
              <w:jc w:val="left"/>
              <w:rPr>
                <w:rFonts w:hint="eastAsia" w:ascii="Times New Roman" w:hAnsi="Times New Roman" w:eastAsia="宋体" w:cs="Times New Roman"/>
                <w:sz w:val="24"/>
                <w:lang w:eastAsia="zh-CN"/>
              </w:rPr>
            </w:pPr>
            <w:r>
              <w:rPr>
                <w:rFonts w:hint="eastAsia" w:ascii="Times New Roman" w:hAnsi="Times New Roman" w:eastAsia="宋体" w:cs="宋体"/>
                <w:color w:val="auto"/>
                <w:kern w:val="0"/>
                <w:sz w:val="24"/>
                <w:lang w:bidi="ar"/>
              </w:rPr>
              <w:t>氨氮：</w:t>
            </w:r>
            <w:r>
              <w:rPr>
                <w:rFonts w:hint="eastAsia" w:ascii="Times New Roman" w:hAnsi="Times New Roman" w:eastAsia="宋体" w:cs="Times New Roman"/>
                <w:color w:val="auto"/>
                <w:sz w:val="24"/>
                <w:lang w:val="en-US" w:eastAsia="zh-CN"/>
              </w:rPr>
              <w:t>51</w:t>
            </w:r>
            <w:r>
              <w:rPr>
                <w:rFonts w:hint="eastAsia" w:ascii="Times New Roman" w:hAnsi="Times New Roman" w:eastAsia="宋体" w:cs="宋体"/>
                <w:color w:val="auto"/>
                <w:kern w:val="0"/>
                <w:sz w:val="24"/>
                <w:lang w:bidi="ar"/>
              </w:rPr>
              <w:t>m</w:t>
            </w:r>
            <w:r>
              <w:rPr>
                <w:rFonts w:hint="eastAsia" w:ascii="Times New Roman" w:hAnsi="Times New Roman" w:eastAsia="宋体" w:cs="宋体"/>
                <w:color w:val="auto"/>
                <w:kern w:val="0"/>
                <w:sz w:val="24"/>
                <w:vertAlign w:val="superscript"/>
                <w:lang w:bidi="ar"/>
              </w:rPr>
              <w:t>3</w:t>
            </w:r>
            <w:r>
              <w:rPr>
                <w:rFonts w:hint="eastAsia" w:ascii="Times New Roman" w:hAnsi="Times New Roman" w:eastAsia="宋体" w:cs="宋体"/>
                <w:color w:val="auto"/>
                <w:kern w:val="0"/>
                <w:sz w:val="24"/>
                <w:lang w:bidi="ar"/>
              </w:rPr>
              <w:t>/a</w:t>
            </w:r>
            <w:r>
              <w:rPr>
                <w:rFonts w:hint="default" w:ascii="Times New Roman" w:hAnsi="Times New Roman" w:eastAsia="宋体" w:cs="Times New Roman"/>
                <w:kern w:val="0"/>
                <w:sz w:val="24"/>
                <w:lang w:bidi="ar"/>
              </w:rPr>
              <w:t>×</w:t>
            </w:r>
            <w:r>
              <w:rPr>
                <w:rFonts w:hint="eastAsia" w:ascii="Times New Roman" w:hAnsi="Times New Roman" w:eastAsia="宋体" w:cs="Times New Roman"/>
                <w:kern w:val="0"/>
                <w:sz w:val="24"/>
                <w:lang w:val="en-US" w:eastAsia="zh-CN" w:bidi="ar"/>
              </w:rPr>
              <w:t>5</w:t>
            </w:r>
            <w:r>
              <w:rPr>
                <w:rFonts w:hint="default" w:ascii="Times New Roman" w:hAnsi="Times New Roman" w:eastAsia="宋体" w:cs="Times New Roman"/>
                <w:kern w:val="0"/>
                <w:sz w:val="24"/>
                <w:lang w:bidi="ar"/>
              </w:rPr>
              <w:t>mg/L×10</w:t>
            </w:r>
            <w:r>
              <w:rPr>
                <w:rFonts w:hint="eastAsia" w:ascii="Times New Roman" w:hAnsi="Times New Roman" w:eastAsia="宋体" w:cs="Times New Roman"/>
                <w:kern w:val="0"/>
                <w:sz w:val="24"/>
                <w:vertAlign w:val="superscript"/>
                <w:lang w:bidi="ar"/>
              </w:rPr>
              <w:t>-6</w:t>
            </w:r>
            <w:r>
              <w:rPr>
                <w:rFonts w:hint="eastAsia" w:ascii="Times New Roman" w:hAnsi="Times New Roman" w:eastAsia="宋体" w:cs="宋体"/>
                <w:kern w:val="0"/>
                <w:sz w:val="24"/>
                <w:lang w:bidi="ar"/>
              </w:rPr>
              <w:t>=</w:t>
            </w:r>
            <w:r>
              <w:rPr>
                <w:rFonts w:hint="default" w:ascii="Times New Roman" w:hAnsi="Times New Roman" w:eastAsia="宋体" w:cs="Times New Roman"/>
                <w:kern w:val="0"/>
                <w:sz w:val="24"/>
                <w:lang w:bidi="ar"/>
              </w:rPr>
              <w:t>0.0</w:t>
            </w:r>
            <w:r>
              <w:rPr>
                <w:rFonts w:hint="eastAsia" w:ascii="Times New Roman" w:hAnsi="Times New Roman" w:eastAsia="宋体" w:cs="Times New Roman"/>
                <w:kern w:val="0"/>
                <w:sz w:val="24"/>
                <w:lang w:bidi="ar"/>
              </w:rPr>
              <w:t>0</w:t>
            </w:r>
            <w:r>
              <w:rPr>
                <w:rFonts w:hint="eastAsia" w:ascii="Times New Roman" w:hAnsi="Times New Roman" w:eastAsia="宋体" w:cs="Times New Roman"/>
                <w:kern w:val="0"/>
                <w:sz w:val="24"/>
                <w:lang w:val="en-US" w:eastAsia="zh-CN" w:bidi="ar"/>
              </w:rPr>
              <w:t>03</w:t>
            </w:r>
            <w:r>
              <w:rPr>
                <w:rFonts w:hint="default" w:ascii="Times New Roman" w:hAnsi="Times New Roman" w:eastAsia="宋体" w:cs="Times New Roman"/>
                <w:kern w:val="0"/>
                <w:sz w:val="24"/>
                <w:lang w:bidi="ar"/>
              </w:rPr>
              <w:t>t/a</w:t>
            </w:r>
            <w:r>
              <w:rPr>
                <w:rFonts w:hint="eastAsia" w:ascii="Times New Roman" w:hAnsi="Times New Roman" w:eastAsia="宋体" w:cs="Times New Roman"/>
                <w:kern w:val="0"/>
                <w:sz w:val="24"/>
                <w:lang w:eastAsia="zh-CN" w:bidi="ar"/>
              </w:rPr>
              <w:t>。</w:t>
            </w:r>
          </w:p>
          <w:p w14:paraId="6368D432">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
                <w:bCs/>
                <w:szCs w:val="21"/>
              </w:rPr>
            </w:pPr>
            <w:r>
              <w:rPr>
                <w:rFonts w:hint="eastAsia" w:ascii="Times New Roman" w:hAnsi="Times New Roman" w:eastAsia="宋体" w:cs="宋体"/>
                <w:kern w:val="0"/>
                <w:sz w:val="24"/>
                <w:lang w:bidi="ar"/>
              </w:rPr>
              <w:t>本项目建设完成后全厂总量控制指标见下表：</w:t>
            </w:r>
          </w:p>
          <w:p w14:paraId="6B8A8622">
            <w:pPr>
              <w:pStyle w:val="68"/>
              <w:keepNext w:val="0"/>
              <w:keepLines w:val="0"/>
              <w:suppressLineNumbers w:val="0"/>
              <w:spacing w:before="0" w:beforeAutospacing="0" w:after="0" w:afterAutospacing="0" w:line="240" w:lineRule="auto"/>
              <w:ind w:left="0" w:right="0" w:firstLine="422"/>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表3-</w:t>
            </w:r>
            <w:r>
              <w:rPr>
                <w:rFonts w:hint="eastAsia" w:ascii="Times New Roman" w:hAnsi="Times New Roman" w:eastAsia="宋体" w:cs="Times New Roman"/>
                <w:b/>
                <w:bCs/>
                <w:sz w:val="21"/>
                <w:szCs w:val="21"/>
              </w:rPr>
              <w:t>9</w:t>
            </w:r>
            <w:r>
              <w:rPr>
                <w:rFonts w:hint="default" w:ascii="Times New Roman" w:hAnsi="Times New Roman" w:eastAsia="宋体" w:cs="Times New Roman"/>
                <w:b/>
                <w:bCs/>
                <w:sz w:val="21"/>
                <w:szCs w:val="21"/>
              </w:rPr>
              <w:t xml:space="preserve">  总量控制指标</w:t>
            </w:r>
          </w:p>
          <w:tbl>
            <w:tblPr>
              <w:tblStyle w:val="26"/>
              <w:tblW w:w="499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90"/>
              <w:gridCol w:w="2097"/>
              <w:gridCol w:w="2097"/>
              <w:gridCol w:w="2101"/>
            </w:tblGrid>
            <w:tr w14:paraId="336EF4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1246" w:type="pct"/>
                  <w:tcBorders>
                    <w:tl2br w:val="nil"/>
                    <w:tr2bl w:val="nil"/>
                  </w:tcBorders>
                  <w:noWrap w:val="0"/>
                  <w:vAlign w:val="center"/>
                </w:tcPr>
                <w:p w14:paraId="3FC9557D">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szCs w:val="21"/>
                    </w:rPr>
                  </w:pPr>
                  <w:r>
                    <w:rPr>
                      <w:rFonts w:hint="eastAsia" w:ascii="Times New Roman" w:hAnsi="Times New Roman" w:eastAsia="宋体" w:cs="Times New Roman"/>
                      <w:b/>
                      <w:szCs w:val="21"/>
                    </w:rPr>
                    <w:t>类别</w:t>
                  </w:r>
                </w:p>
              </w:tc>
              <w:tc>
                <w:tcPr>
                  <w:tcW w:w="1250" w:type="pct"/>
                  <w:tcBorders>
                    <w:tl2br w:val="nil"/>
                    <w:tr2bl w:val="nil"/>
                  </w:tcBorders>
                  <w:noWrap w:val="0"/>
                  <w:vAlign w:val="center"/>
                </w:tcPr>
                <w:p w14:paraId="53918A7B">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szCs w:val="21"/>
                    </w:rPr>
                  </w:pPr>
                  <w:r>
                    <w:rPr>
                      <w:rFonts w:hint="eastAsia" w:ascii="Times New Roman" w:hAnsi="Times New Roman" w:eastAsia="宋体" w:cs="Times New Roman"/>
                      <w:b/>
                      <w:szCs w:val="21"/>
                    </w:rPr>
                    <w:t>污染物</w:t>
                  </w:r>
                </w:p>
              </w:tc>
              <w:tc>
                <w:tcPr>
                  <w:tcW w:w="1250" w:type="pct"/>
                  <w:tcBorders>
                    <w:tl2br w:val="nil"/>
                    <w:tr2bl w:val="nil"/>
                  </w:tcBorders>
                  <w:noWrap w:val="0"/>
                  <w:vAlign w:val="center"/>
                </w:tcPr>
                <w:p w14:paraId="6D17155B">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szCs w:val="21"/>
                    </w:rPr>
                  </w:pPr>
                  <w:r>
                    <w:rPr>
                      <w:rFonts w:hint="eastAsia" w:ascii="Times New Roman" w:hAnsi="Times New Roman" w:eastAsia="宋体" w:cs="Times New Roman"/>
                      <w:b/>
                      <w:szCs w:val="21"/>
                    </w:rPr>
                    <w:t>本项目新增排放量（t/a）</w:t>
                  </w:r>
                </w:p>
              </w:tc>
              <w:tc>
                <w:tcPr>
                  <w:tcW w:w="1252" w:type="pct"/>
                  <w:tcBorders>
                    <w:tl2br w:val="nil"/>
                    <w:tr2bl w:val="nil"/>
                  </w:tcBorders>
                  <w:noWrap w:val="0"/>
                  <w:vAlign w:val="center"/>
                </w:tcPr>
                <w:p w14:paraId="6B9B29EF">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szCs w:val="21"/>
                    </w:rPr>
                  </w:pPr>
                  <w:r>
                    <w:rPr>
                      <w:rFonts w:hint="eastAsia" w:ascii="Times New Roman" w:hAnsi="Times New Roman" w:eastAsia="宋体" w:cs="Times New Roman"/>
                      <w:b/>
                      <w:szCs w:val="21"/>
                    </w:rPr>
                    <w:t>去向</w:t>
                  </w:r>
                </w:p>
              </w:tc>
            </w:tr>
            <w:tr w14:paraId="65ADED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6" w:type="pct"/>
                  <w:vMerge w:val="restart"/>
                  <w:tcBorders>
                    <w:tl2br w:val="nil"/>
                    <w:tr2bl w:val="nil"/>
                  </w:tcBorders>
                  <w:noWrap w:val="0"/>
                  <w:vAlign w:val="center"/>
                </w:tcPr>
                <w:p w14:paraId="14F40520">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szCs w:val="21"/>
                    </w:rPr>
                  </w:pPr>
                  <w:r>
                    <w:rPr>
                      <w:rFonts w:hint="eastAsia" w:ascii="Times New Roman" w:hAnsi="Times New Roman" w:eastAsia="宋体" w:cs="Times New Roman"/>
                      <w:bCs/>
                      <w:szCs w:val="21"/>
                    </w:rPr>
                    <w:t>废水</w:t>
                  </w:r>
                </w:p>
              </w:tc>
              <w:tc>
                <w:tcPr>
                  <w:tcW w:w="1250" w:type="pct"/>
                  <w:tcBorders>
                    <w:tl2br w:val="nil"/>
                    <w:tr2bl w:val="nil"/>
                  </w:tcBorders>
                  <w:noWrap w:val="0"/>
                  <w:vAlign w:val="center"/>
                </w:tcPr>
                <w:p w14:paraId="6CCB922C">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szCs w:val="21"/>
                    </w:rPr>
                  </w:pPr>
                  <w:r>
                    <w:rPr>
                      <w:rFonts w:hint="eastAsia" w:ascii="Times New Roman" w:hAnsi="Times New Roman" w:eastAsia="宋体" w:cs="Times New Roman"/>
                      <w:bCs/>
                      <w:szCs w:val="21"/>
                    </w:rPr>
                    <w:t>COD</w:t>
                  </w:r>
                </w:p>
              </w:tc>
              <w:tc>
                <w:tcPr>
                  <w:tcW w:w="1250" w:type="pct"/>
                  <w:tcBorders>
                    <w:tl2br w:val="nil"/>
                    <w:tr2bl w:val="nil"/>
                  </w:tcBorders>
                  <w:noWrap w:val="0"/>
                  <w:vAlign w:val="center"/>
                </w:tcPr>
                <w:p w14:paraId="670A997A">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0.0255</w:t>
                  </w:r>
                </w:p>
              </w:tc>
              <w:tc>
                <w:tcPr>
                  <w:tcW w:w="1252" w:type="pct"/>
                  <w:vMerge w:val="restart"/>
                  <w:tcBorders>
                    <w:tl2br w:val="nil"/>
                    <w:tr2bl w:val="nil"/>
                  </w:tcBorders>
                  <w:noWrap w:val="0"/>
                  <w:vAlign w:val="center"/>
                </w:tcPr>
                <w:p w14:paraId="57AF0748">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szCs w:val="21"/>
                    </w:rPr>
                  </w:pPr>
                  <w:r>
                    <w:rPr>
                      <w:rFonts w:hint="eastAsia" w:ascii="Times New Roman" w:hAnsi="Times New Roman" w:eastAsia="宋体" w:cs="Times New Roman"/>
                      <w:bCs/>
                      <w:szCs w:val="21"/>
                    </w:rPr>
                    <w:t>进入污水处理厂</w:t>
                  </w:r>
                </w:p>
              </w:tc>
            </w:tr>
            <w:tr w14:paraId="53B16C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246" w:type="pct"/>
                  <w:vMerge w:val="continue"/>
                  <w:tcBorders>
                    <w:tl2br w:val="nil"/>
                    <w:tr2bl w:val="nil"/>
                  </w:tcBorders>
                  <w:noWrap w:val="0"/>
                  <w:vAlign w:val="center"/>
                </w:tcPr>
                <w:p w14:paraId="45EFE5A0">
                  <w:pPr>
                    <w:keepNext w:val="0"/>
                    <w:keepLines w:val="0"/>
                    <w:suppressLineNumbers w:val="0"/>
                    <w:snapToGrid w:val="0"/>
                    <w:spacing w:before="0" w:beforeAutospacing="0" w:after="0" w:afterAutospacing="0"/>
                    <w:ind w:left="0" w:right="0"/>
                    <w:rPr>
                      <w:rFonts w:hint="default" w:ascii="Times New Roman" w:hAnsi="Times New Roman" w:eastAsia="宋体" w:cs="Times New Roman"/>
                      <w:bCs/>
                      <w:szCs w:val="21"/>
                    </w:rPr>
                  </w:pPr>
                </w:p>
              </w:tc>
              <w:tc>
                <w:tcPr>
                  <w:tcW w:w="1250" w:type="pct"/>
                  <w:tcBorders>
                    <w:tl2br w:val="nil"/>
                    <w:tr2bl w:val="nil"/>
                  </w:tcBorders>
                  <w:noWrap w:val="0"/>
                  <w:vAlign w:val="center"/>
                </w:tcPr>
                <w:p w14:paraId="24AF5234">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szCs w:val="21"/>
                    </w:rPr>
                  </w:pPr>
                  <w:r>
                    <w:rPr>
                      <w:rFonts w:hint="eastAsia" w:ascii="Times New Roman" w:hAnsi="Times New Roman" w:eastAsia="宋体" w:cs="Times New Roman"/>
                      <w:bCs/>
                      <w:szCs w:val="21"/>
                    </w:rPr>
                    <w:t>NH</w:t>
                  </w:r>
                  <w:r>
                    <w:rPr>
                      <w:rFonts w:hint="eastAsia" w:ascii="Times New Roman" w:hAnsi="Times New Roman" w:eastAsia="宋体" w:cs="Times New Roman"/>
                      <w:bCs/>
                      <w:szCs w:val="21"/>
                      <w:vertAlign w:val="subscript"/>
                    </w:rPr>
                    <w:t>3</w:t>
                  </w:r>
                  <w:r>
                    <w:rPr>
                      <w:rFonts w:hint="eastAsia" w:ascii="Times New Roman" w:hAnsi="Times New Roman" w:eastAsia="宋体" w:cs="Times New Roman"/>
                      <w:bCs/>
                      <w:szCs w:val="21"/>
                    </w:rPr>
                    <w:t>-N</w:t>
                  </w:r>
                </w:p>
              </w:tc>
              <w:tc>
                <w:tcPr>
                  <w:tcW w:w="1250" w:type="pct"/>
                  <w:tcBorders>
                    <w:tl2br w:val="nil"/>
                    <w:tr2bl w:val="nil"/>
                  </w:tcBorders>
                  <w:noWrap w:val="0"/>
                  <w:vAlign w:val="center"/>
                </w:tcPr>
                <w:p w14:paraId="08B524F5">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0.0023</w:t>
                  </w:r>
                </w:p>
              </w:tc>
              <w:tc>
                <w:tcPr>
                  <w:tcW w:w="1252" w:type="pct"/>
                  <w:vMerge w:val="continue"/>
                  <w:tcBorders>
                    <w:tl2br w:val="nil"/>
                    <w:tr2bl w:val="nil"/>
                  </w:tcBorders>
                  <w:noWrap w:val="0"/>
                  <w:vAlign w:val="center"/>
                </w:tcPr>
                <w:p w14:paraId="77FA5425">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szCs w:val="21"/>
                    </w:rPr>
                  </w:pPr>
                </w:p>
              </w:tc>
            </w:tr>
            <w:tr w14:paraId="2AAA3F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46" w:type="pct"/>
                  <w:vMerge w:val="continue"/>
                  <w:tcBorders>
                    <w:tl2br w:val="nil"/>
                    <w:tr2bl w:val="nil"/>
                  </w:tcBorders>
                  <w:noWrap w:val="0"/>
                  <w:vAlign w:val="center"/>
                </w:tcPr>
                <w:p w14:paraId="617CAEBF">
                  <w:pPr>
                    <w:keepNext w:val="0"/>
                    <w:keepLines w:val="0"/>
                    <w:suppressLineNumbers w:val="0"/>
                    <w:snapToGrid w:val="0"/>
                    <w:spacing w:before="0" w:beforeAutospacing="0" w:after="0" w:afterAutospacing="0"/>
                    <w:ind w:left="0" w:right="0"/>
                    <w:rPr>
                      <w:rFonts w:hint="default" w:ascii="Times New Roman" w:hAnsi="Times New Roman" w:eastAsia="宋体" w:cs="Times New Roman"/>
                      <w:bCs/>
                      <w:szCs w:val="21"/>
                    </w:rPr>
                  </w:pPr>
                </w:p>
              </w:tc>
              <w:tc>
                <w:tcPr>
                  <w:tcW w:w="1250" w:type="pct"/>
                  <w:tcBorders>
                    <w:tl2br w:val="nil"/>
                    <w:tr2bl w:val="nil"/>
                  </w:tcBorders>
                  <w:noWrap w:val="0"/>
                  <w:vAlign w:val="center"/>
                </w:tcPr>
                <w:p w14:paraId="78540F88">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szCs w:val="21"/>
                    </w:rPr>
                  </w:pPr>
                  <w:r>
                    <w:rPr>
                      <w:rFonts w:hint="eastAsia" w:ascii="Times New Roman" w:hAnsi="Times New Roman" w:eastAsia="宋体" w:cs="Times New Roman"/>
                      <w:bCs/>
                      <w:szCs w:val="21"/>
                    </w:rPr>
                    <w:t>COD</w:t>
                  </w:r>
                </w:p>
              </w:tc>
              <w:tc>
                <w:tcPr>
                  <w:tcW w:w="1250" w:type="pct"/>
                  <w:tcBorders>
                    <w:tl2br w:val="nil"/>
                    <w:tr2bl w:val="nil"/>
                  </w:tcBorders>
                  <w:noWrap w:val="0"/>
                  <w:vAlign w:val="center"/>
                </w:tcPr>
                <w:p w14:paraId="7D33B596">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rPr>
                    <w:t>0.0</w:t>
                  </w:r>
                  <w:r>
                    <w:rPr>
                      <w:rFonts w:hint="eastAsia" w:ascii="Times New Roman" w:hAnsi="Times New Roman" w:eastAsia="宋体" w:cs="Times New Roman"/>
                      <w:bCs/>
                      <w:szCs w:val="21"/>
                      <w:lang w:val="en-US" w:eastAsia="zh-CN"/>
                    </w:rPr>
                    <w:t>026</w:t>
                  </w:r>
                </w:p>
              </w:tc>
              <w:tc>
                <w:tcPr>
                  <w:tcW w:w="1252" w:type="pct"/>
                  <w:vMerge w:val="restart"/>
                  <w:tcBorders>
                    <w:tl2br w:val="nil"/>
                    <w:tr2bl w:val="nil"/>
                  </w:tcBorders>
                  <w:noWrap w:val="0"/>
                  <w:vAlign w:val="center"/>
                </w:tcPr>
                <w:p w14:paraId="79E62972">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szCs w:val="21"/>
                    </w:rPr>
                  </w:pPr>
                  <w:r>
                    <w:rPr>
                      <w:rFonts w:hint="eastAsia" w:ascii="Times New Roman" w:hAnsi="Times New Roman" w:eastAsia="宋体" w:cs="Times New Roman"/>
                      <w:bCs/>
                      <w:szCs w:val="21"/>
                    </w:rPr>
                    <w:t>进入地表水环境</w:t>
                  </w:r>
                </w:p>
              </w:tc>
            </w:tr>
            <w:tr w14:paraId="579125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6" w:type="pct"/>
                  <w:vMerge w:val="continue"/>
                  <w:tcBorders>
                    <w:tl2br w:val="nil"/>
                    <w:tr2bl w:val="nil"/>
                  </w:tcBorders>
                  <w:noWrap w:val="0"/>
                  <w:vAlign w:val="top"/>
                </w:tcPr>
                <w:p w14:paraId="0A806E55">
                  <w:pPr>
                    <w:keepNext w:val="0"/>
                    <w:keepLines w:val="0"/>
                    <w:suppressLineNumbers w:val="0"/>
                    <w:snapToGrid w:val="0"/>
                    <w:spacing w:before="0" w:beforeAutospacing="0" w:after="0" w:afterAutospacing="0"/>
                    <w:ind w:left="0" w:right="0"/>
                    <w:rPr>
                      <w:rFonts w:hint="default" w:ascii="Times New Roman" w:hAnsi="Times New Roman" w:eastAsia="宋体" w:cs="Times New Roman"/>
                      <w:bCs/>
                      <w:szCs w:val="21"/>
                    </w:rPr>
                  </w:pPr>
                </w:p>
              </w:tc>
              <w:tc>
                <w:tcPr>
                  <w:tcW w:w="1250" w:type="pct"/>
                  <w:tcBorders>
                    <w:tl2br w:val="nil"/>
                    <w:tr2bl w:val="nil"/>
                  </w:tcBorders>
                  <w:noWrap w:val="0"/>
                  <w:vAlign w:val="center"/>
                </w:tcPr>
                <w:p w14:paraId="3E066141">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szCs w:val="21"/>
                    </w:rPr>
                  </w:pPr>
                  <w:r>
                    <w:rPr>
                      <w:rFonts w:hint="eastAsia" w:ascii="Times New Roman" w:hAnsi="Times New Roman" w:eastAsia="宋体" w:cs="Times New Roman"/>
                      <w:bCs/>
                      <w:szCs w:val="21"/>
                    </w:rPr>
                    <w:t>NH</w:t>
                  </w:r>
                  <w:r>
                    <w:rPr>
                      <w:rFonts w:hint="eastAsia" w:ascii="Times New Roman" w:hAnsi="Times New Roman" w:eastAsia="宋体" w:cs="Times New Roman"/>
                      <w:bCs/>
                      <w:szCs w:val="21"/>
                      <w:vertAlign w:val="subscript"/>
                    </w:rPr>
                    <w:t>3</w:t>
                  </w:r>
                  <w:r>
                    <w:rPr>
                      <w:rFonts w:hint="eastAsia" w:ascii="Times New Roman" w:hAnsi="Times New Roman" w:eastAsia="宋体" w:cs="Times New Roman"/>
                      <w:bCs/>
                      <w:szCs w:val="21"/>
                    </w:rPr>
                    <w:t>-N</w:t>
                  </w:r>
                </w:p>
              </w:tc>
              <w:tc>
                <w:tcPr>
                  <w:tcW w:w="1250" w:type="pct"/>
                  <w:tcBorders>
                    <w:tl2br w:val="nil"/>
                    <w:tr2bl w:val="nil"/>
                  </w:tcBorders>
                  <w:noWrap w:val="0"/>
                  <w:vAlign w:val="center"/>
                </w:tcPr>
                <w:p w14:paraId="4C77EF2D">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rPr>
                    <w:t>0.00</w:t>
                  </w:r>
                  <w:r>
                    <w:rPr>
                      <w:rFonts w:hint="eastAsia" w:ascii="Times New Roman" w:hAnsi="Times New Roman" w:eastAsia="宋体" w:cs="Times New Roman"/>
                      <w:bCs/>
                      <w:szCs w:val="21"/>
                      <w:lang w:val="en-US" w:eastAsia="zh-CN"/>
                    </w:rPr>
                    <w:t>03</w:t>
                  </w:r>
                </w:p>
              </w:tc>
              <w:tc>
                <w:tcPr>
                  <w:tcW w:w="1252" w:type="pct"/>
                  <w:vMerge w:val="continue"/>
                  <w:tcBorders>
                    <w:tl2br w:val="nil"/>
                    <w:tr2bl w:val="nil"/>
                  </w:tcBorders>
                  <w:noWrap w:val="0"/>
                  <w:vAlign w:val="top"/>
                </w:tcPr>
                <w:p w14:paraId="0AEE6804">
                  <w:pPr>
                    <w:keepNext w:val="0"/>
                    <w:keepLines w:val="0"/>
                    <w:suppressLineNumbers w:val="0"/>
                    <w:snapToGrid w:val="0"/>
                    <w:spacing w:before="0" w:beforeAutospacing="0" w:after="0" w:afterAutospacing="0"/>
                    <w:ind w:left="0" w:right="0"/>
                    <w:rPr>
                      <w:rFonts w:hint="default" w:ascii="Times New Roman" w:hAnsi="Times New Roman" w:eastAsia="宋体" w:cs="Times New Roman"/>
                      <w:bCs/>
                      <w:szCs w:val="21"/>
                    </w:rPr>
                  </w:pPr>
                </w:p>
              </w:tc>
            </w:tr>
          </w:tbl>
          <w:p w14:paraId="2B2C40C3">
            <w:pPr>
              <w:pStyle w:val="68"/>
              <w:keepNext w:val="0"/>
              <w:keepLines w:val="0"/>
              <w:suppressLineNumbers w:val="0"/>
              <w:spacing w:before="0" w:beforeAutospacing="0" w:after="0" w:afterAutospacing="0"/>
              <w:ind w:left="0" w:right="0" w:firstLine="480"/>
              <w:rPr>
                <w:rFonts w:hint="eastAsia" w:ascii="Times New Roman" w:hAnsi="Times New Roman" w:eastAsia="宋体" w:cs="Times New Roman"/>
                <w:kern w:val="2"/>
                <w:lang w:val="en-US" w:eastAsia="zh-CN"/>
              </w:rPr>
            </w:pPr>
            <w:r>
              <w:rPr>
                <w:rFonts w:hint="eastAsia" w:ascii="Times New Roman" w:hAnsi="Times New Roman" w:eastAsia="宋体" w:cs="Times New Roman"/>
                <w:sz w:val="24"/>
              </w:rPr>
              <w:t>项目污染物排放总量控制指标以当地生态环境主管部门审核确认为准，主要污染物排放总量指标须按相关要求实行等量替代。</w:t>
            </w:r>
          </w:p>
          <w:p w14:paraId="1FA900EE">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宋体"/>
                <w:kern w:val="0"/>
                <w:sz w:val="24"/>
              </w:rPr>
            </w:pPr>
          </w:p>
          <w:p w14:paraId="76D71799">
            <w:pPr>
              <w:pStyle w:val="32"/>
              <w:keepNext w:val="0"/>
              <w:keepLines w:val="0"/>
              <w:suppressLineNumbers w:val="0"/>
              <w:spacing w:before="0" w:beforeAutospacing="0" w:afterAutospacing="0"/>
              <w:ind w:right="0"/>
              <w:rPr>
                <w:rFonts w:hint="eastAsia" w:ascii="Times New Roman" w:hAnsi="Times New Roman" w:eastAsia="宋体" w:cs="宋体"/>
                <w:kern w:val="0"/>
                <w:sz w:val="24"/>
              </w:rPr>
            </w:pPr>
          </w:p>
          <w:p w14:paraId="32D16104">
            <w:pPr>
              <w:keepNext w:val="0"/>
              <w:keepLines w:val="0"/>
              <w:suppressLineNumbers w:val="0"/>
              <w:spacing w:before="0" w:beforeAutospacing="0" w:after="0" w:afterAutospacing="0"/>
              <w:ind w:left="0" w:right="0"/>
              <w:rPr>
                <w:rFonts w:hint="eastAsia" w:ascii="Times New Roman" w:hAnsi="Times New Roman" w:eastAsia="宋体" w:cs="宋体"/>
                <w:kern w:val="0"/>
                <w:sz w:val="24"/>
              </w:rPr>
            </w:pPr>
          </w:p>
          <w:p w14:paraId="56F6BC7A">
            <w:pPr>
              <w:keepNext w:val="0"/>
              <w:keepLines w:val="0"/>
              <w:suppressLineNumbers w:val="0"/>
              <w:spacing w:before="0" w:beforeAutospacing="0" w:after="0" w:afterAutospacing="0"/>
              <w:ind w:left="0" w:right="0"/>
              <w:rPr>
                <w:rFonts w:hint="eastAsia" w:ascii="Times New Roman" w:hAnsi="Times New Roman" w:eastAsia="宋体" w:cs="Times New Roman"/>
              </w:rPr>
            </w:pPr>
          </w:p>
          <w:p w14:paraId="28A5B771">
            <w:pPr>
              <w:pStyle w:val="2"/>
              <w:keepNext w:val="0"/>
              <w:keepLines w:val="0"/>
              <w:suppressLineNumbers w:val="0"/>
              <w:spacing w:before="0" w:beforeAutospacing="0" w:afterAutospacing="0"/>
              <w:ind w:left="0" w:leftChars="0" w:right="0" w:firstLine="0" w:firstLineChars="0"/>
              <w:rPr>
                <w:rFonts w:hint="eastAsia"/>
              </w:rPr>
            </w:pPr>
          </w:p>
          <w:p w14:paraId="438D1430">
            <w:pPr>
              <w:keepNext w:val="0"/>
              <w:keepLines w:val="0"/>
              <w:suppressLineNumbers w:val="0"/>
              <w:spacing w:before="0" w:beforeAutospacing="0" w:after="0" w:afterAutospacing="0"/>
              <w:ind w:left="0" w:right="0"/>
              <w:rPr>
                <w:rFonts w:hint="eastAsia"/>
              </w:rPr>
            </w:pPr>
          </w:p>
          <w:p w14:paraId="7C33179A">
            <w:pPr>
              <w:pStyle w:val="2"/>
              <w:keepNext w:val="0"/>
              <w:keepLines w:val="0"/>
              <w:suppressLineNumbers w:val="0"/>
              <w:spacing w:before="0" w:beforeAutospacing="0" w:afterAutospacing="0"/>
              <w:ind w:right="0"/>
              <w:rPr>
                <w:rFonts w:hint="eastAsia"/>
              </w:rPr>
            </w:pPr>
          </w:p>
          <w:p w14:paraId="29D87AF2">
            <w:pPr>
              <w:keepNext w:val="0"/>
              <w:keepLines w:val="0"/>
              <w:suppressLineNumbers w:val="0"/>
              <w:spacing w:before="0" w:beforeAutospacing="0" w:after="0" w:afterAutospacing="0"/>
              <w:ind w:left="0" w:right="0"/>
              <w:rPr>
                <w:rFonts w:hint="eastAsia"/>
              </w:rPr>
            </w:pPr>
          </w:p>
          <w:p w14:paraId="2EA0E685">
            <w:pPr>
              <w:pStyle w:val="2"/>
              <w:keepNext w:val="0"/>
              <w:keepLines w:val="0"/>
              <w:suppressLineNumbers w:val="0"/>
              <w:spacing w:before="0" w:beforeAutospacing="0" w:afterAutospacing="0"/>
              <w:ind w:right="0"/>
              <w:rPr>
                <w:rFonts w:hint="eastAsia"/>
              </w:rPr>
            </w:pPr>
          </w:p>
          <w:p w14:paraId="44E162A6">
            <w:pPr>
              <w:keepNext w:val="0"/>
              <w:keepLines w:val="0"/>
              <w:suppressLineNumbers w:val="0"/>
              <w:spacing w:before="0" w:beforeAutospacing="0" w:after="0" w:afterAutospacing="0"/>
              <w:ind w:left="0" w:right="0"/>
              <w:rPr>
                <w:rFonts w:hint="eastAsia"/>
              </w:rPr>
            </w:pPr>
          </w:p>
          <w:p w14:paraId="11FF4654">
            <w:pPr>
              <w:pStyle w:val="2"/>
              <w:keepNext w:val="0"/>
              <w:keepLines w:val="0"/>
              <w:suppressLineNumbers w:val="0"/>
              <w:spacing w:before="0" w:beforeAutospacing="0" w:afterAutospacing="0"/>
              <w:ind w:right="0"/>
              <w:rPr>
                <w:rFonts w:hint="eastAsia"/>
              </w:rPr>
            </w:pPr>
          </w:p>
          <w:p w14:paraId="581C3F6C">
            <w:pPr>
              <w:keepNext w:val="0"/>
              <w:keepLines w:val="0"/>
              <w:suppressLineNumbers w:val="0"/>
              <w:spacing w:before="0" w:beforeAutospacing="0" w:after="0" w:afterAutospacing="0"/>
              <w:ind w:left="0" w:right="0"/>
              <w:rPr>
                <w:rFonts w:hint="eastAsia"/>
              </w:rPr>
            </w:pPr>
          </w:p>
          <w:p w14:paraId="0F0030D8">
            <w:pPr>
              <w:pStyle w:val="2"/>
              <w:keepNext w:val="0"/>
              <w:keepLines w:val="0"/>
              <w:suppressLineNumbers w:val="0"/>
              <w:spacing w:before="0" w:beforeAutospacing="0" w:afterAutospacing="0"/>
              <w:ind w:right="0"/>
              <w:rPr>
                <w:rFonts w:hint="eastAsia"/>
              </w:rPr>
            </w:pPr>
          </w:p>
          <w:p w14:paraId="3AEC2691">
            <w:pPr>
              <w:keepNext w:val="0"/>
              <w:keepLines w:val="0"/>
              <w:suppressLineNumbers w:val="0"/>
              <w:spacing w:before="0" w:beforeAutospacing="0" w:after="0" w:afterAutospacing="0"/>
              <w:ind w:left="0" w:right="0"/>
              <w:rPr>
                <w:rFonts w:hint="eastAsia"/>
              </w:rPr>
            </w:pPr>
          </w:p>
          <w:p w14:paraId="562BE8B3">
            <w:pPr>
              <w:pStyle w:val="2"/>
              <w:keepNext w:val="0"/>
              <w:keepLines w:val="0"/>
              <w:suppressLineNumbers w:val="0"/>
              <w:spacing w:before="0" w:beforeAutospacing="0" w:afterAutospacing="0"/>
              <w:ind w:right="0"/>
              <w:rPr>
                <w:rFonts w:hint="eastAsia"/>
              </w:rPr>
            </w:pPr>
          </w:p>
          <w:p w14:paraId="5835F6BE">
            <w:pPr>
              <w:keepNext w:val="0"/>
              <w:keepLines w:val="0"/>
              <w:suppressLineNumbers w:val="0"/>
              <w:spacing w:before="0" w:beforeAutospacing="0" w:after="0" w:afterAutospacing="0"/>
              <w:ind w:left="0" w:right="0"/>
              <w:rPr>
                <w:rFonts w:hint="eastAsia"/>
              </w:rPr>
            </w:pPr>
          </w:p>
          <w:p w14:paraId="5CFFA35A">
            <w:pPr>
              <w:pStyle w:val="2"/>
              <w:keepNext w:val="0"/>
              <w:keepLines w:val="0"/>
              <w:suppressLineNumbers w:val="0"/>
              <w:spacing w:before="0" w:beforeAutospacing="0" w:afterAutospacing="0"/>
              <w:ind w:right="0"/>
              <w:rPr>
                <w:rFonts w:hint="eastAsia"/>
              </w:rPr>
            </w:pPr>
          </w:p>
          <w:p w14:paraId="727CEB4F">
            <w:pPr>
              <w:keepNext w:val="0"/>
              <w:keepLines w:val="0"/>
              <w:suppressLineNumbers w:val="0"/>
              <w:spacing w:before="0" w:beforeAutospacing="0" w:after="0" w:afterAutospacing="0"/>
              <w:ind w:left="0" w:right="0"/>
              <w:rPr>
                <w:rFonts w:hint="eastAsia"/>
              </w:rPr>
            </w:pPr>
          </w:p>
          <w:p w14:paraId="317F1863">
            <w:pPr>
              <w:pStyle w:val="2"/>
              <w:keepNext w:val="0"/>
              <w:keepLines w:val="0"/>
              <w:suppressLineNumbers w:val="0"/>
              <w:spacing w:before="0" w:beforeAutospacing="0" w:afterAutospacing="0"/>
              <w:ind w:right="0"/>
              <w:rPr>
                <w:rFonts w:hint="eastAsia"/>
              </w:rPr>
            </w:pPr>
          </w:p>
        </w:tc>
      </w:tr>
    </w:tbl>
    <w:p w14:paraId="17209570">
      <w:pPr>
        <w:bidi w:val="0"/>
        <w:rPr>
          <w:rFonts w:hint="eastAsia"/>
        </w:rPr>
        <w:sectPr>
          <w:footerReference r:id="rId7" w:type="default"/>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bookmarkStart w:id="7" w:name="_Toc19785"/>
    </w:p>
    <w:p w14:paraId="3D625191">
      <w:pPr>
        <w:pStyle w:val="6"/>
        <w:tabs>
          <w:tab w:val="left" w:pos="3990"/>
        </w:tabs>
        <w:rPr>
          <w:rFonts w:ascii="Times New Roman" w:hAnsi="Times New Roman" w:eastAsia="宋体"/>
          <w:snapToGrid w:val="0"/>
          <w:color w:val="auto"/>
        </w:rPr>
      </w:pPr>
      <w:r>
        <w:rPr>
          <w:rFonts w:hint="eastAsia" w:ascii="Times New Roman" w:hAnsi="Times New Roman" w:eastAsia="宋体" w:cs="宋体"/>
          <w:snapToGrid w:val="0"/>
          <w:color w:val="auto"/>
        </w:rPr>
        <w:t>四、主要环境影响和保护措施</w:t>
      </w:r>
      <w:bookmarkEnd w:id="7"/>
    </w:p>
    <w:tbl>
      <w:tblPr>
        <w:tblStyle w:val="25"/>
        <w:tblW w:w="898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9"/>
        <w:gridCol w:w="734"/>
        <w:gridCol w:w="10"/>
        <w:gridCol w:w="8213"/>
        <w:gridCol w:w="10"/>
      </w:tblGrid>
      <w:tr w14:paraId="6915CD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wBefore w:w="19" w:type="dxa"/>
          <w:trHeight w:val="1065" w:hRule="atLeast"/>
          <w:jc w:val="center"/>
        </w:trPr>
        <w:tc>
          <w:tcPr>
            <w:tcW w:w="744" w:type="dxa"/>
            <w:gridSpan w:val="2"/>
            <w:noWrap w:val="0"/>
            <w:tcMar>
              <w:left w:w="28" w:type="dxa"/>
              <w:right w:w="28" w:type="dxa"/>
            </w:tcMar>
            <w:vAlign w:val="center"/>
          </w:tcPr>
          <w:p w14:paraId="40F8ED9C">
            <w:pPr>
              <w:pStyle w:val="22"/>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kern w:val="2"/>
                <w:szCs w:val="24"/>
              </w:rPr>
            </w:pPr>
            <w:r>
              <w:rPr>
                <w:rFonts w:hint="eastAsia" w:ascii="Times New Roman" w:hAnsi="Times New Roman" w:eastAsia="宋体" w:cs="宋体"/>
                <w:kern w:val="2"/>
                <w:szCs w:val="24"/>
              </w:rPr>
              <w:t>施工</w:t>
            </w:r>
          </w:p>
          <w:p w14:paraId="554DA626">
            <w:pPr>
              <w:pStyle w:val="22"/>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kern w:val="2"/>
                <w:szCs w:val="24"/>
              </w:rPr>
            </w:pPr>
            <w:r>
              <w:rPr>
                <w:rFonts w:hint="eastAsia" w:ascii="Times New Roman" w:hAnsi="Times New Roman" w:eastAsia="宋体" w:cs="宋体"/>
                <w:kern w:val="2"/>
                <w:szCs w:val="24"/>
              </w:rPr>
              <w:t>期环</w:t>
            </w:r>
          </w:p>
          <w:p w14:paraId="4CE68274">
            <w:pPr>
              <w:pStyle w:val="22"/>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kern w:val="2"/>
                <w:szCs w:val="24"/>
              </w:rPr>
            </w:pPr>
            <w:r>
              <w:rPr>
                <w:rFonts w:hint="eastAsia" w:ascii="Times New Roman" w:hAnsi="Times New Roman" w:eastAsia="宋体" w:cs="宋体"/>
                <w:kern w:val="2"/>
                <w:szCs w:val="24"/>
              </w:rPr>
              <w:t>境保</w:t>
            </w:r>
          </w:p>
          <w:p w14:paraId="77607559">
            <w:pPr>
              <w:pStyle w:val="22"/>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kern w:val="2"/>
                <w:szCs w:val="24"/>
              </w:rPr>
            </w:pPr>
            <w:r>
              <w:rPr>
                <w:rFonts w:hint="eastAsia" w:ascii="Times New Roman" w:hAnsi="Times New Roman" w:eastAsia="宋体" w:cs="宋体"/>
                <w:kern w:val="2"/>
                <w:szCs w:val="24"/>
              </w:rPr>
              <w:t>护措</w:t>
            </w:r>
          </w:p>
          <w:p w14:paraId="08CDE6E0">
            <w:pPr>
              <w:pStyle w:val="22"/>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bCs/>
                <w:kern w:val="2"/>
                <w:sz w:val="21"/>
                <w:szCs w:val="21"/>
              </w:rPr>
            </w:pPr>
            <w:r>
              <w:rPr>
                <w:rFonts w:hint="eastAsia" w:ascii="Times New Roman" w:hAnsi="Times New Roman" w:eastAsia="宋体" w:cs="宋体"/>
                <w:kern w:val="2"/>
                <w:szCs w:val="24"/>
              </w:rPr>
              <w:t>施</w:t>
            </w:r>
          </w:p>
        </w:tc>
        <w:tc>
          <w:tcPr>
            <w:tcW w:w="8223" w:type="dxa"/>
            <w:gridSpan w:val="2"/>
            <w:noWrap w:val="0"/>
            <w:vAlign w:val="center"/>
          </w:tcPr>
          <w:p w14:paraId="4DEA16FA">
            <w:pPr>
              <w:keepNext w:val="0"/>
              <w:keepLines w:val="0"/>
              <w:suppressLineNumbers w:val="0"/>
              <w:spacing w:before="120" w:beforeLines="50" w:beforeAutospacing="0" w:after="0" w:afterAutospacing="0" w:line="360" w:lineRule="auto"/>
              <w:ind w:left="0" w:right="0" w:firstLine="480" w:firstLineChars="200"/>
              <w:rPr>
                <w:rFonts w:hint="default" w:ascii="Times New Roman" w:hAnsi="Times New Roman" w:eastAsia="宋体" w:cs="Times New Roman"/>
                <w:bCs/>
                <w:sz w:val="24"/>
              </w:rPr>
            </w:pPr>
            <w:r>
              <w:rPr>
                <w:rFonts w:hint="default" w:ascii="Times New Roman" w:hAnsi="Times New Roman" w:eastAsia="宋体" w:cs="Times New Roman"/>
                <w:bCs/>
                <w:sz w:val="24"/>
              </w:rPr>
              <w:t>本项目施工期间</w:t>
            </w:r>
            <w:r>
              <w:rPr>
                <w:rFonts w:hint="eastAsia" w:ascii="Times New Roman" w:hAnsi="Times New Roman" w:eastAsia="宋体" w:cs="Times New Roman"/>
                <w:bCs/>
                <w:sz w:val="24"/>
              </w:rPr>
              <w:t>主要是</w:t>
            </w:r>
            <w:r>
              <w:rPr>
                <w:rFonts w:hint="default" w:ascii="Times New Roman" w:hAnsi="Times New Roman" w:eastAsia="宋体" w:cs="Times New Roman"/>
                <w:bCs/>
                <w:sz w:val="24"/>
              </w:rPr>
              <w:t>基础工程、主体工程、</w:t>
            </w:r>
            <w:r>
              <w:rPr>
                <w:rFonts w:hint="eastAsia" w:ascii="Times New Roman" w:hAnsi="Times New Roman" w:eastAsia="宋体" w:cs="Times New Roman"/>
                <w:bCs/>
                <w:sz w:val="24"/>
              </w:rPr>
              <w:t>配套设施</w:t>
            </w:r>
            <w:r>
              <w:rPr>
                <w:rFonts w:hint="default" w:ascii="Times New Roman" w:hAnsi="Times New Roman" w:eastAsia="宋体" w:cs="Times New Roman"/>
                <w:bCs/>
                <w:sz w:val="24"/>
              </w:rPr>
              <w:t>工程</w:t>
            </w:r>
            <w:r>
              <w:rPr>
                <w:rFonts w:hint="eastAsia" w:ascii="Times New Roman" w:hAnsi="Times New Roman" w:eastAsia="宋体" w:cs="Times New Roman"/>
                <w:bCs/>
                <w:sz w:val="24"/>
              </w:rPr>
              <w:t>、装修工程、设备安装工程，其主要环境问题是</w:t>
            </w:r>
            <w:r>
              <w:rPr>
                <w:rFonts w:hint="default" w:ascii="Times New Roman" w:hAnsi="Times New Roman" w:eastAsia="宋体" w:cs="Times New Roman"/>
                <w:bCs/>
                <w:sz w:val="24"/>
              </w:rPr>
              <w:t>噪声、扬尘、固体废弃物、少量污水和废气污染物，由于本项目工程量较小，施工工期短，施工期对周围环境影响较小。</w:t>
            </w:r>
          </w:p>
          <w:p w14:paraId="1C058E31">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Cs/>
                <w:sz w:val="24"/>
              </w:rPr>
            </w:pPr>
            <w:r>
              <w:rPr>
                <w:rFonts w:hint="eastAsia" w:ascii="Times New Roman" w:hAnsi="Times New Roman" w:eastAsia="宋体" w:cs="Times New Roman"/>
                <w:b/>
                <w:sz w:val="24"/>
              </w:rPr>
              <w:t>一</w:t>
            </w:r>
            <w:r>
              <w:rPr>
                <w:rFonts w:hint="default" w:ascii="Times New Roman" w:hAnsi="Times New Roman" w:eastAsia="宋体" w:cs="Times New Roman"/>
                <w:b/>
                <w:sz w:val="24"/>
              </w:rPr>
              <w:t>、废水产生及治理措施</w:t>
            </w:r>
          </w:p>
          <w:p w14:paraId="1AEF0335">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sz w:val="24"/>
              </w:rPr>
            </w:pPr>
            <w:r>
              <w:rPr>
                <w:rFonts w:hint="eastAsia" w:ascii="Times New Roman" w:hAnsi="Times New Roman" w:eastAsia="宋体" w:cs="Times New Roman"/>
                <w:bCs/>
                <w:sz w:val="24"/>
              </w:rPr>
              <w:t>1、施工人员生活污水</w:t>
            </w:r>
          </w:p>
          <w:p w14:paraId="3DA8A5E1">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Cs/>
                <w:sz w:val="24"/>
              </w:rPr>
            </w:pPr>
            <w:r>
              <w:rPr>
                <w:rFonts w:hint="default" w:ascii="Times New Roman" w:hAnsi="Times New Roman" w:eastAsia="宋体" w:cs="Times New Roman"/>
                <w:bCs/>
                <w:sz w:val="24"/>
              </w:rPr>
              <w:t>该工程施工期</w:t>
            </w:r>
            <w:r>
              <w:rPr>
                <w:rFonts w:hint="eastAsia" w:ascii="Times New Roman" w:hAnsi="Times New Roman" w:eastAsia="宋体" w:cs="Times New Roman"/>
                <w:bCs/>
                <w:sz w:val="24"/>
              </w:rPr>
              <w:t>施工人员</w:t>
            </w:r>
            <w:r>
              <w:rPr>
                <w:rFonts w:hint="default" w:ascii="Times New Roman" w:hAnsi="Times New Roman" w:eastAsia="宋体" w:cs="Times New Roman"/>
                <w:bCs/>
                <w:sz w:val="24"/>
              </w:rPr>
              <w:t>为</w:t>
            </w:r>
            <w:r>
              <w:rPr>
                <w:rFonts w:hint="eastAsia" w:cs="Times New Roman"/>
                <w:bCs/>
                <w:sz w:val="24"/>
                <w:lang w:val="en-US" w:eastAsia="zh-CN"/>
              </w:rPr>
              <w:t>10</w:t>
            </w:r>
            <w:r>
              <w:rPr>
                <w:rFonts w:hint="default" w:ascii="Times New Roman" w:hAnsi="Times New Roman" w:eastAsia="宋体" w:cs="Times New Roman"/>
                <w:bCs/>
                <w:sz w:val="24"/>
              </w:rPr>
              <w:t>人左右，施工工期约为</w:t>
            </w:r>
            <w:r>
              <w:rPr>
                <w:rFonts w:hint="eastAsia" w:ascii="Times New Roman" w:hAnsi="Times New Roman" w:eastAsia="宋体" w:cs="Times New Roman"/>
                <w:bCs/>
                <w:sz w:val="24"/>
              </w:rPr>
              <w:t>30天，均为</w:t>
            </w:r>
            <w:r>
              <w:rPr>
                <w:rFonts w:hint="default" w:ascii="Times New Roman" w:hAnsi="Times New Roman" w:eastAsia="宋体" w:cs="Times New Roman"/>
                <w:bCs/>
                <w:sz w:val="24"/>
              </w:rPr>
              <w:t>附近居民，不在项目</w:t>
            </w:r>
            <w:r>
              <w:rPr>
                <w:rFonts w:hint="eastAsia" w:ascii="Times New Roman" w:hAnsi="Times New Roman" w:eastAsia="宋体" w:cs="Times New Roman"/>
                <w:bCs/>
                <w:sz w:val="24"/>
              </w:rPr>
              <w:t>地</w:t>
            </w:r>
            <w:r>
              <w:rPr>
                <w:rFonts w:hint="default" w:ascii="Times New Roman" w:hAnsi="Times New Roman" w:eastAsia="宋体" w:cs="Times New Roman"/>
                <w:bCs/>
                <w:sz w:val="24"/>
              </w:rPr>
              <w:t>食宿</w:t>
            </w:r>
            <w:r>
              <w:rPr>
                <w:rFonts w:hint="eastAsia" w:ascii="Times New Roman" w:hAnsi="Times New Roman" w:eastAsia="宋体" w:cs="Times New Roman"/>
                <w:bCs/>
                <w:sz w:val="24"/>
              </w:rPr>
              <w:t>，工人</w:t>
            </w:r>
            <w:r>
              <w:rPr>
                <w:rFonts w:hint="default" w:ascii="Times New Roman" w:hAnsi="Times New Roman" w:eastAsia="宋体" w:cs="Times New Roman"/>
                <w:bCs/>
                <w:sz w:val="24"/>
              </w:rPr>
              <w:t>生活</w:t>
            </w:r>
            <w:r>
              <w:rPr>
                <w:rFonts w:hint="eastAsia" w:ascii="Times New Roman" w:hAnsi="Times New Roman" w:eastAsia="宋体" w:cs="Times New Roman"/>
                <w:bCs/>
                <w:sz w:val="24"/>
              </w:rPr>
              <w:t>用水</w:t>
            </w:r>
            <w:r>
              <w:rPr>
                <w:rFonts w:hint="default" w:ascii="Times New Roman" w:hAnsi="Times New Roman" w:eastAsia="宋体" w:cs="Times New Roman"/>
                <w:bCs/>
                <w:sz w:val="24"/>
              </w:rPr>
              <w:t>按每人0.05</w:t>
            </w:r>
            <w:r>
              <w:rPr>
                <w:rFonts w:hint="eastAsia" w:ascii="Times New Roman" w:hAnsi="Times New Roman" w:eastAsia="宋体" w:cs="Times New Roman"/>
                <w:bCs/>
                <w:sz w:val="24"/>
              </w:rPr>
              <w:t>m</w:t>
            </w:r>
            <w:r>
              <w:rPr>
                <w:rFonts w:hint="eastAsia" w:ascii="Times New Roman" w:hAnsi="Times New Roman" w:eastAsia="宋体" w:cs="Times New Roman"/>
                <w:bCs/>
                <w:sz w:val="24"/>
                <w:vertAlign w:val="superscript"/>
              </w:rPr>
              <w:t>3</w:t>
            </w:r>
            <w:r>
              <w:rPr>
                <w:rFonts w:hint="default" w:ascii="Times New Roman" w:hAnsi="Times New Roman" w:eastAsia="宋体" w:cs="Times New Roman"/>
                <w:bCs/>
                <w:sz w:val="24"/>
              </w:rPr>
              <w:t>/d计算</w:t>
            </w:r>
            <w:r>
              <w:rPr>
                <w:rFonts w:hint="default" w:ascii="Times New Roman" w:hAnsi="Times New Roman" w:eastAsia="宋体" w:cs="Times New Roman"/>
                <w:sz w:val="24"/>
              </w:rPr>
              <w:t>，其排放量按产生量的8</w:t>
            </w:r>
            <w:r>
              <w:rPr>
                <w:rFonts w:hint="eastAsia" w:cs="Times New Roman"/>
                <w:sz w:val="24"/>
                <w:lang w:val="en-US" w:eastAsia="zh-CN"/>
              </w:rPr>
              <w:t>5</w:t>
            </w:r>
            <w:r>
              <w:rPr>
                <w:rFonts w:hint="default" w:ascii="Times New Roman" w:hAnsi="Times New Roman" w:eastAsia="宋体" w:cs="Times New Roman"/>
                <w:sz w:val="24"/>
              </w:rPr>
              <w:t>%计，则</w:t>
            </w:r>
            <w:r>
              <w:rPr>
                <w:rFonts w:hint="eastAsia" w:ascii="Times New Roman" w:hAnsi="Times New Roman" w:eastAsia="宋体" w:cs="Times New Roman"/>
                <w:sz w:val="24"/>
              </w:rPr>
              <w:t>工人</w:t>
            </w:r>
            <w:r>
              <w:rPr>
                <w:rFonts w:hint="default" w:ascii="Times New Roman" w:hAnsi="Times New Roman" w:eastAsia="宋体" w:cs="Times New Roman"/>
                <w:sz w:val="24"/>
              </w:rPr>
              <w:t>生活污水排放量为</w:t>
            </w:r>
            <w:r>
              <w:rPr>
                <w:rFonts w:hint="eastAsia" w:cs="Times New Roman"/>
                <w:sz w:val="24"/>
                <w:lang w:val="en-US" w:eastAsia="zh-CN"/>
              </w:rPr>
              <w:t>0.425</w:t>
            </w:r>
            <w:r>
              <w:rPr>
                <w:rFonts w:hint="default" w:ascii="Times New Roman" w:hAnsi="Times New Roman" w:eastAsia="宋体" w:cs="Times New Roman"/>
                <w:sz w:val="24"/>
              </w:rPr>
              <w:t>m</w:t>
            </w:r>
            <w:r>
              <w:rPr>
                <w:rFonts w:hint="default" w:ascii="Times New Roman" w:hAnsi="Times New Roman" w:eastAsia="宋体" w:cs="Times New Roman"/>
                <w:sz w:val="24"/>
                <w:vertAlign w:val="superscript"/>
              </w:rPr>
              <w:t>3</w:t>
            </w:r>
            <w:r>
              <w:rPr>
                <w:rFonts w:hint="default" w:ascii="Times New Roman" w:hAnsi="Times New Roman" w:eastAsia="宋体" w:cs="Times New Roman"/>
                <w:sz w:val="24"/>
              </w:rPr>
              <w:t>/d</w:t>
            </w:r>
            <w:r>
              <w:rPr>
                <w:rFonts w:hint="eastAsia" w:ascii="Times New Roman" w:hAnsi="Times New Roman" w:eastAsia="宋体" w:cs="Times New Roman"/>
                <w:bCs/>
                <w:sz w:val="24"/>
              </w:rPr>
              <w:t>，</w:t>
            </w:r>
            <w:r>
              <w:rPr>
                <w:rFonts w:hint="default" w:ascii="Times New Roman" w:hAnsi="Times New Roman" w:eastAsia="宋体" w:cs="Times New Roman"/>
                <w:bCs/>
                <w:sz w:val="24"/>
              </w:rPr>
              <w:t>整个施工工期产生废水总量约为</w:t>
            </w:r>
            <w:r>
              <w:rPr>
                <w:rFonts w:hint="eastAsia" w:cs="Times New Roman"/>
                <w:bCs/>
                <w:sz w:val="24"/>
                <w:lang w:val="en-US" w:eastAsia="zh-CN"/>
              </w:rPr>
              <w:t>12.75</w:t>
            </w:r>
            <w:r>
              <w:rPr>
                <w:rFonts w:hint="eastAsia" w:ascii="Times New Roman" w:hAnsi="Times New Roman" w:eastAsia="宋体" w:cs="Times New Roman"/>
                <w:bCs/>
                <w:sz w:val="24"/>
              </w:rPr>
              <w:t>m</w:t>
            </w:r>
            <w:r>
              <w:rPr>
                <w:rFonts w:hint="eastAsia" w:ascii="Times New Roman" w:hAnsi="Times New Roman" w:eastAsia="宋体" w:cs="Times New Roman"/>
                <w:bCs/>
                <w:sz w:val="24"/>
                <w:vertAlign w:val="superscript"/>
              </w:rPr>
              <w:t>3</w:t>
            </w:r>
            <w:r>
              <w:rPr>
                <w:rFonts w:hint="default" w:ascii="Times New Roman" w:hAnsi="Times New Roman" w:eastAsia="宋体" w:cs="Times New Roman"/>
                <w:bCs/>
                <w:sz w:val="24"/>
              </w:rPr>
              <w:t>。</w:t>
            </w:r>
            <w:r>
              <w:rPr>
                <w:rFonts w:hint="eastAsia" w:cs="Times New Roman"/>
                <w:sz w:val="24"/>
                <w:lang w:val="en-US" w:eastAsia="zh-CN"/>
              </w:rPr>
              <w:t>依托大宇红砖厂已建预处理池进行处理后由槽罐车转运至邻水县大步口污水处理站进一步处理后排入大洪河</w:t>
            </w:r>
            <w:r>
              <w:rPr>
                <w:rFonts w:hint="eastAsia" w:ascii="Times New Roman" w:hAnsi="Times New Roman" w:eastAsia="宋体" w:cs="Times New Roman"/>
                <w:bCs/>
                <w:sz w:val="24"/>
              </w:rPr>
              <w:t>。</w:t>
            </w:r>
          </w:p>
          <w:p w14:paraId="2961F22C">
            <w:pPr>
              <w:keepNext w:val="0"/>
              <w:keepLines w:val="0"/>
              <w:suppressLineNumbers w:val="0"/>
              <w:suppressAutoHyphens/>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Cs/>
                <w:sz w:val="24"/>
              </w:rPr>
            </w:pPr>
            <w:r>
              <w:rPr>
                <w:rFonts w:hint="eastAsia" w:ascii="Times New Roman" w:hAnsi="Times New Roman" w:eastAsia="宋体" w:cs="Times New Roman"/>
                <w:bCs/>
                <w:sz w:val="24"/>
              </w:rPr>
              <w:t>2、</w:t>
            </w:r>
            <w:r>
              <w:rPr>
                <w:rFonts w:hint="default" w:ascii="Times New Roman" w:hAnsi="Times New Roman" w:eastAsia="宋体" w:cs="Times New Roman"/>
                <w:bCs/>
                <w:sz w:val="24"/>
              </w:rPr>
              <w:t>施工机械</w:t>
            </w:r>
            <w:r>
              <w:rPr>
                <w:rFonts w:hint="eastAsia" w:ascii="Times New Roman" w:hAnsi="Times New Roman" w:eastAsia="宋体" w:cs="Times New Roman"/>
                <w:bCs/>
                <w:sz w:val="24"/>
              </w:rPr>
              <w:t>及运输车辆</w:t>
            </w:r>
            <w:r>
              <w:rPr>
                <w:rFonts w:hint="default" w:ascii="Times New Roman" w:hAnsi="Times New Roman" w:eastAsia="宋体" w:cs="Times New Roman"/>
                <w:bCs/>
                <w:sz w:val="24"/>
              </w:rPr>
              <w:t>冲洗产生的含油污水</w:t>
            </w:r>
          </w:p>
          <w:p w14:paraId="5D8E7DE0">
            <w:pPr>
              <w:keepNext w:val="0"/>
              <w:keepLines w:val="0"/>
              <w:suppressLineNumbers w:val="0"/>
              <w:suppressAutoHyphens/>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Cs/>
                <w:sz w:val="24"/>
              </w:rPr>
            </w:pPr>
            <w:r>
              <w:rPr>
                <w:rFonts w:hint="default" w:ascii="Times New Roman" w:hAnsi="Times New Roman" w:eastAsia="宋体" w:cs="Times New Roman"/>
                <w:bCs/>
                <w:sz w:val="24"/>
              </w:rPr>
              <w:t>施工机械</w:t>
            </w:r>
            <w:r>
              <w:rPr>
                <w:rFonts w:hint="eastAsia" w:ascii="Times New Roman" w:hAnsi="Times New Roman" w:eastAsia="宋体" w:cs="Times New Roman"/>
                <w:bCs/>
                <w:sz w:val="24"/>
              </w:rPr>
              <w:t>及车辆冲洗</w:t>
            </w:r>
            <w:r>
              <w:rPr>
                <w:rFonts w:hint="default" w:ascii="Times New Roman" w:hAnsi="Times New Roman" w:eastAsia="宋体" w:cs="Times New Roman"/>
                <w:bCs/>
                <w:sz w:val="24"/>
              </w:rPr>
              <w:t>的含油废水的排放较为分散，其影响程度和范围有限，但石油类在自然条件下降解较慢，且对土壤理化性质及水体生物有较大影响，应当尽量给予控制；因此，应做好废油及含油废水的收集，本项目不设专门的机械维修点，主要利用当地现有的修理厂等解决机械维修、保养问题。</w:t>
            </w:r>
          </w:p>
          <w:p w14:paraId="682F49D4">
            <w:pPr>
              <w:keepNext w:val="0"/>
              <w:keepLines w:val="0"/>
              <w:suppressLineNumbers w:val="0"/>
              <w:suppressAutoHyphens/>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Cs/>
                <w:sz w:val="24"/>
              </w:rPr>
            </w:pPr>
            <w:r>
              <w:rPr>
                <w:rFonts w:hint="eastAsia" w:ascii="Times New Roman" w:hAnsi="Times New Roman" w:eastAsia="宋体" w:cs="宋体"/>
                <w:bCs/>
                <w:sz w:val="24"/>
              </w:rPr>
              <w:t>施工机械、运输车辆冲洗的含油废水产生量约</w:t>
            </w:r>
            <w:r>
              <w:rPr>
                <w:rFonts w:hint="default" w:ascii="Times New Roman" w:hAnsi="Times New Roman" w:eastAsia="宋体" w:cs="Times New Roman"/>
                <w:bCs/>
                <w:sz w:val="24"/>
              </w:rPr>
              <w:t>2m</w:t>
            </w:r>
            <w:r>
              <w:rPr>
                <w:rFonts w:hint="default" w:ascii="Times New Roman" w:hAnsi="Times New Roman" w:eastAsia="宋体" w:cs="Times New Roman"/>
                <w:bCs/>
                <w:sz w:val="24"/>
                <w:vertAlign w:val="superscript"/>
              </w:rPr>
              <w:t>3</w:t>
            </w:r>
            <w:r>
              <w:rPr>
                <w:rFonts w:hint="default" w:ascii="Times New Roman" w:hAnsi="Times New Roman" w:eastAsia="宋体" w:cs="Times New Roman"/>
                <w:bCs/>
                <w:sz w:val="24"/>
              </w:rPr>
              <w:t>/d</w:t>
            </w:r>
            <w:r>
              <w:rPr>
                <w:rFonts w:hint="eastAsia" w:ascii="Times New Roman" w:hAnsi="Times New Roman" w:eastAsia="宋体" w:cs="宋体"/>
                <w:bCs/>
                <w:sz w:val="24"/>
              </w:rPr>
              <w:t>，场地拟设置</w:t>
            </w:r>
            <w:r>
              <w:rPr>
                <w:rFonts w:hint="eastAsia" w:ascii="Times New Roman" w:hAnsi="Times New Roman" w:eastAsia="宋体" w:cs="Times New Roman"/>
                <w:bCs/>
                <w:sz w:val="24"/>
              </w:rPr>
              <w:t>5</w:t>
            </w:r>
            <w:r>
              <w:rPr>
                <w:rFonts w:hint="default" w:ascii="Times New Roman" w:hAnsi="Times New Roman" w:eastAsia="宋体" w:cs="Times New Roman"/>
                <w:bCs/>
                <w:sz w:val="24"/>
              </w:rPr>
              <w:t>m</w:t>
            </w:r>
            <w:r>
              <w:rPr>
                <w:rFonts w:hint="eastAsia" w:ascii="Times New Roman" w:hAnsi="Times New Roman" w:eastAsia="宋体" w:cs="Times New Roman"/>
                <w:bCs/>
                <w:sz w:val="24"/>
                <w:vertAlign w:val="superscript"/>
              </w:rPr>
              <w:t>3</w:t>
            </w:r>
            <w:r>
              <w:rPr>
                <w:rFonts w:hint="eastAsia" w:ascii="Times New Roman" w:hAnsi="Times New Roman" w:eastAsia="宋体" w:cs="宋体"/>
                <w:bCs/>
                <w:sz w:val="24"/>
              </w:rPr>
              <w:t>隔油沉淀池一个，施工机械、运输车辆冲洗废水经隔油、沉淀后回用，禁止外排</w:t>
            </w:r>
            <w:r>
              <w:rPr>
                <w:rFonts w:hint="eastAsia" w:ascii="Times New Roman" w:hAnsi="Times New Roman" w:eastAsia="宋体" w:cs="Times New Roman"/>
                <w:bCs/>
                <w:sz w:val="24"/>
              </w:rPr>
              <w:t>。</w:t>
            </w:r>
          </w:p>
          <w:p w14:paraId="31938447">
            <w:pPr>
              <w:keepNext w:val="0"/>
              <w:keepLines w:val="0"/>
              <w:suppressLineNumbers w:val="0"/>
              <w:suppressAutoHyphens/>
              <w:snapToGrid w:val="0"/>
              <w:spacing w:before="0" w:beforeAutospacing="0" w:after="0" w:afterAutospacing="0" w:line="360" w:lineRule="auto"/>
              <w:ind w:left="0" w:right="0" w:firstLine="480" w:firstLineChars="200"/>
              <w:jc w:val="left"/>
              <w:rPr>
                <w:rFonts w:hint="eastAsia" w:ascii="Times New Roman" w:hAnsi="Times New Roman" w:eastAsia="宋体" w:cs="Times New Roman"/>
              </w:rPr>
            </w:pPr>
            <w:r>
              <w:rPr>
                <w:rFonts w:hint="default" w:ascii="Times New Roman" w:hAnsi="Times New Roman" w:eastAsia="宋体" w:cs="Times New Roman"/>
                <w:kern w:val="0"/>
                <w:sz w:val="24"/>
              </w:rPr>
              <w:t>因此，采取上述治理措施后，施工期各类废水均可得到合理的处置，不会对区域地表水环境造成影响。</w:t>
            </w:r>
          </w:p>
          <w:p w14:paraId="00DDE131">
            <w:pPr>
              <w:keepNext w:val="0"/>
              <w:keepLines w:val="0"/>
              <w:suppressLineNumbers w:val="0"/>
              <w:spacing w:before="0" w:beforeAutospacing="0" w:after="0" w:afterAutospacing="0" w:line="360" w:lineRule="auto"/>
              <w:ind w:left="0" w:right="0"/>
              <w:jc w:val="left"/>
              <w:rPr>
                <w:rFonts w:hint="default" w:ascii="Times New Roman" w:hAnsi="Times New Roman" w:eastAsia="宋体" w:cs="Times New Roman"/>
                <w:b/>
                <w:sz w:val="24"/>
              </w:rPr>
            </w:pPr>
            <w:r>
              <w:rPr>
                <w:rFonts w:hint="eastAsia" w:ascii="Times New Roman" w:hAnsi="Times New Roman" w:eastAsia="宋体" w:cs="Times New Roman"/>
                <w:b/>
                <w:sz w:val="24"/>
              </w:rPr>
              <w:t>二</w:t>
            </w:r>
            <w:r>
              <w:rPr>
                <w:rFonts w:hint="default" w:ascii="Times New Roman" w:hAnsi="Times New Roman" w:eastAsia="宋体" w:cs="Times New Roman"/>
                <w:b/>
                <w:sz w:val="24"/>
              </w:rPr>
              <w:t>、噪声的产生及治理</w:t>
            </w:r>
          </w:p>
          <w:p w14:paraId="541745B5">
            <w:pPr>
              <w:keepNext w:val="0"/>
              <w:keepLines w:val="0"/>
              <w:suppressLineNumbers w:val="0"/>
              <w:suppressAutoHyphens/>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sz w:val="24"/>
              </w:rPr>
            </w:pPr>
            <w:r>
              <w:rPr>
                <w:rFonts w:hint="default" w:ascii="Times New Roman" w:hAnsi="Times New Roman" w:eastAsia="宋体" w:cs="Times New Roman"/>
                <w:bCs/>
                <w:sz w:val="24"/>
              </w:rPr>
              <w:t>施工期噪声主要是各种机械设备所产生的噪声和车辆行驶时产生的噪声，施工阶段各类施工机械噪声源强如下</w:t>
            </w:r>
            <w:r>
              <w:rPr>
                <w:rFonts w:hint="eastAsia" w:ascii="Times New Roman" w:hAnsi="Times New Roman" w:eastAsia="宋体" w:cs="Times New Roman"/>
                <w:bCs/>
                <w:sz w:val="24"/>
              </w:rPr>
              <w:t>表</w:t>
            </w:r>
            <w:r>
              <w:rPr>
                <w:rFonts w:hint="default" w:ascii="Times New Roman" w:hAnsi="Times New Roman" w:eastAsia="宋体" w:cs="Times New Roman"/>
                <w:bCs/>
                <w:sz w:val="24"/>
              </w:rPr>
              <w:t>所示。</w:t>
            </w:r>
          </w:p>
          <w:p w14:paraId="3A32DC5E">
            <w:pPr>
              <w:pStyle w:val="99"/>
              <w:keepNext w:val="0"/>
              <w:keepLines w:val="0"/>
              <w:suppressLineNumbers w:val="0"/>
              <w:spacing w:before="120" w:beforeLines="50" w:beforeAutospacing="0" w:after="0" w:afterAutospacing="0"/>
              <w:ind w:left="0" w:right="0"/>
              <w:rPr>
                <w:rFonts w:hint="eastAsia" w:ascii="Times New Roman" w:hAnsi="Times New Roman" w:eastAsia="宋体" w:cs="宋体"/>
                <w:bCs/>
                <w:sz w:val="21"/>
                <w:szCs w:val="21"/>
              </w:rPr>
            </w:pPr>
          </w:p>
          <w:p w14:paraId="69608A4D">
            <w:pPr>
              <w:pStyle w:val="99"/>
              <w:keepNext w:val="0"/>
              <w:keepLines w:val="0"/>
              <w:suppressLineNumbers w:val="0"/>
              <w:spacing w:before="120" w:beforeLines="50" w:beforeAutospacing="0" w:after="0" w:afterAutospacing="0"/>
              <w:ind w:left="0" w:right="0"/>
              <w:rPr>
                <w:rFonts w:hint="eastAsia" w:ascii="Times New Roman" w:hAnsi="Times New Roman" w:eastAsia="宋体" w:cs="宋体"/>
                <w:bCs/>
                <w:sz w:val="21"/>
                <w:szCs w:val="21"/>
              </w:rPr>
            </w:pPr>
            <w:r>
              <w:rPr>
                <w:rFonts w:hint="eastAsia" w:ascii="Times New Roman" w:hAnsi="Times New Roman" w:eastAsia="宋体" w:cs="宋体"/>
                <w:bCs/>
                <w:sz w:val="21"/>
                <w:szCs w:val="21"/>
              </w:rPr>
              <w:t>表4-1</w:t>
            </w:r>
            <w:r>
              <w:rPr>
                <w:rFonts w:hint="eastAsia" w:ascii="Times New Roman" w:hAnsi="Times New Roman" w:eastAsia="宋体" w:cs="宋体"/>
                <w:bCs/>
                <w:sz w:val="21"/>
                <w:szCs w:val="21"/>
                <w:lang w:val="en-US" w:eastAsia="zh-CN"/>
              </w:rPr>
              <w:t xml:space="preserve"> </w:t>
            </w:r>
            <w:r>
              <w:rPr>
                <w:rFonts w:hint="eastAsia" w:ascii="Times New Roman" w:hAnsi="Times New Roman" w:eastAsia="宋体" w:cs="宋体"/>
                <w:bCs/>
                <w:sz w:val="21"/>
                <w:szCs w:val="21"/>
              </w:rPr>
              <w:t xml:space="preserve"> 施工期噪声声源强度表（单位：dB（A））</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6"/>
              <w:gridCol w:w="3777"/>
              <w:gridCol w:w="1984"/>
            </w:tblGrid>
            <w:tr w14:paraId="07F3F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98" w:type="pct"/>
                  <w:noWrap w:val="0"/>
                  <w:vAlign w:val="center"/>
                </w:tcPr>
                <w:p w14:paraId="46CDE0FE">
                  <w:pPr>
                    <w:keepNext w:val="0"/>
                    <w:keepLines w:val="0"/>
                    <w:suppressLineNumbers w:val="0"/>
                    <w:suppressAutoHyphens/>
                    <w:spacing w:before="0" w:beforeAutospacing="0" w:after="0" w:afterAutospacing="0"/>
                    <w:ind w:left="0" w:right="0"/>
                    <w:jc w:val="center"/>
                    <w:rPr>
                      <w:rFonts w:hint="default" w:ascii="Times New Roman" w:hAnsi="Times New Roman" w:eastAsia="宋体" w:cs="Times New Roman"/>
                      <w:b/>
                      <w:bCs/>
                    </w:rPr>
                  </w:pPr>
                  <w:r>
                    <w:rPr>
                      <w:rFonts w:hint="eastAsia" w:ascii="Times New Roman" w:hAnsi="Times New Roman" w:eastAsia="宋体" w:cs="Times New Roman"/>
                      <w:b/>
                      <w:bCs/>
                    </w:rPr>
                    <w:t>施工阶</w:t>
                  </w:r>
                  <w:r>
                    <w:rPr>
                      <w:rFonts w:hint="default" w:ascii="Times New Roman" w:hAnsi="Times New Roman" w:eastAsia="宋体" w:cs="Times New Roman"/>
                      <w:b/>
                      <w:bCs/>
                    </w:rPr>
                    <w:t>段</w:t>
                  </w:r>
                </w:p>
              </w:tc>
              <w:tc>
                <w:tcPr>
                  <w:tcW w:w="2361" w:type="pct"/>
                  <w:noWrap w:val="0"/>
                  <w:vAlign w:val="center"/>
                </w:tcPr>
                <w:p w14:paraId="2D92EEE2">
                  <w:pPr>
                    <w:keepNext w:val="0"/>
                    <w:keepLines w:val="0"/>
                    <w:suppressLineNumbers w:val="0"/>
                    <w:suppressAutoHyphens/>
                    <w:spacing w:before="0" w:beforeAutospacing="0" w:after="0" w:afterAutospacing="0"/>
                    <w:ind w:left="0" w:right="0"/>
                    <w:jc w:val="center"/>
                    <w:rPr>
                      <w:rFonts w:hint="default" w:ascii="Times New Roman" w:hAnsi="Times New Roman" w:eastAsia="宋体" w:cs="Times New Roman"/>
                      <w:b/>
                      <w:bCs/>
                    </w:rPr>
                  </w:pPr>
                  <w:r>
                    <w:rPr>
                      <w:rFonts w:hint="default" w:ascii="Times New Roman" w:hAnsi="Times New Roman" w:eastAsia="宋体" w:cs="Times New Roman"/>
                      <w:b/>
                      <w:bCs/>
                    </w:rPr>
                    <w:t>主要设备名称</w:t>
                  </w:r>
                </w:p>
              </w:tc>
              <w:tc>
                <w:tcPr>
                  <w:tcW w:w="1240" w:type="pct"/>
                  <w:noWrap w:val="0"/>
                  <w:vAlign w:val="center"/>
                </w:tcPr>
                <w:p w14:paraId="12A698B2">
                  <w:pPr>
                    <w:keepNext w:val="0"/>
                    <w:keepLines w:val="0"/>
                    <w:suppressLineNumbers w:val="0"/>
                    <w:suppressAutoHyphens/>
                    <w:spacing w:before="0" w:beforeAutospacing="0" w:after="0" w:afterAutospacing="0"/>
                    <w:ind w:left="0" w:right="0"/>
                    <w:jc w:val="center"/>
                    <w:rPr>
                      <w:rFonts w:hint="default" w:ascii="Times New Roman" w:hAnsi="Times New Roman" w:eastAsia="宋体" w:cs="Times New Roman"/>
                      <w:b/>
                      <w:bCs/>
                    </w:rPr>
                  </w:pPr>
                  <w:r>
                    <w:rPr>
                      <w:rFonts w:hint="default" w:ascii="Times New Roman" w:hAnsi="Times New Roman" w:eastAsia="宋体" w:cs="Times New Roman"/>
                      <w:b/>
                      <w:bCs/>
                    </w:rPr>
                    <w:t>1 m</w:t>
                  </w:r>
                  <w:r>
                    <w:rPr>
                      <w:rFonts w:hint="eastAsia" w:ascii="Times New Roman" w:hAnsi="Times New Roman" w:eastAsia="宋体" w:cs="Times New Roman"/>
                      <w:b/>
                      <w:bCs/>
                    </w:rPr>
                    <w:t>处</w:t>
                  </w:r>
                  <w:r>
                    <w:rPr>
                      <w:rFonts w:hint="default" w:ascii="Times New Roman" w:hAnsi="Times New Roman" w:eastAsia="宋体" w:cs="Times New Roman"/>
                      <w:b/>
                      <w:bCs/>
                    </w:rPr>
                    <w:t>声源强度</w:t>
                  </w:r>
                </w:p>
              </w:tc>
            </w:tr>
            <w:tr w14:paraId="0D86D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98" w:type="pct"/>
                  <w:noWrap w:val="0"/>
                  <w:vAlign w:val="center"/>
                </w:tcPr>
                <w:p w14:paraId="6457D8E2">
                  <w:pPr>
                    <w:keepNext w:val="0"/>
                    <w:keepLines w:val="0"/>
                    <w:suppressLineNumbers w:val="0"/>
                    <w:suppressAutoHyphens/>
                    <w:spacing w:before="0" w:beforeAutospacing="0" w:after="0" w:afterAutospacing="0"/>
                    <w:ind w:left="0" w:right="0"/>
                    <w:jc w:val="center"/>
                    <w:rPr>
                      <w:rFonts w:hint="default" w:ascii="Times New Roman" w:hAnsi="Times New Roman" w:eastAsia="宋体" w:cs="Times New Roman"/>
                    </w:rPr>
                  </w:pPr>
                  <w:r>
                    <w:rPr>
                      <w:rFonts w:hint="eastAsia" w:ascii="Times New Roman" w:hAnsi="Times New Roman" w:eastAsia="宋体" w:cs="Times New Roman"/>
                    </w:rPr>
                    <w:t>土石</w:t>
                  </w:r>
                  <w:r>
                    <w:rPr>
                      <w:rFonts w:hint="default" w:ascii="Times New Roman" w:hAnsi="Times New Roman" w:eastAsia="宋体" w:cs="Times New Roman"/>
                    </w:rPr>
                    <w:t>方</w:t>
                  </w:r>
                </w:p>
              </w:tc>
              <w:tc>
                <w:tcPr>
                  <w:tcW w:w="2361" w:type="pct"/>
                  <w:noWrap w:val="0"/>
                  <w:vAlign w:val="center"/>
                </w:tcPr>
                <w:p w14:paraId="0A357749">
                  <w:pPr>
                    <w:keepNext w:val="0"/>
                    <w:keepLines w:val="0"/>
                    <w:suppressLineNumbers w:val="0"/>
                    <w:suppressAutoHyphens/>
                    <w:spacing w:before="0" w:beforeAutospacing="0" w:after="0" w:afterAutospacing="0"/>
                    <w:ind w:left="0" w:right="0"/>
                    <w:jc w:val="center"/>
                    <w:rPr>
                      <w:rFonts w:hint="default" w:ascii="Times New Roman" w:hAnsi="Times New Roman" w:eastAsia="宋体" w:cs="Times New Roman"/>
                    </w:rPr>
                  </w:pPr>
                  <w:r>
                    <w:rPr>
                      <w:rFonts w:hint="eastAsia" w:ascii="Times New Roman" w:hAnsi="Times New Roman" w:eastAsia="宋体" w:cs="Times New Roman"/>
                    </w:rPr>
                    <w:t>翻斗车、装卸车、推土车、挖掘机</w:t>
                  </w:r>
                </w:p>
              </w:tc>
              <w:tc>
                <w:tcPr>
                  <w:tcW w:w="1240" w:type="pct"/>
                  <w:noWrap w:val="0"/>
                  <w:vAlign w:val="center"/>
                </w:tcPr>
                <w:p w14:paraId="7E3416CF">
                  <w:pPr>
                    <w:keepNext w:val="0"/>
                    <w:keepLines w:val="0"/>
                    <w:suppressLineNumbers w:val="0"/>
                    <w:suppressAutoHyphens/>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108</w:t>
                  </w:r>
                </w:p>
              </w:tc>
            </w:tr>
            <w:tr w14:paraId="0EF2E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98" w:type="pct"/>
                  <w:noWrap w:val="0"/>
                  <w:vAlign w:val="center"/>
                </w:tcPr>
                <w:p w14:paraId="665AABBD">
                  <w:pPr>
                    <w:keepNext w:val="0"/>
                    <w:keepLines w:val="0"/>
                    <w:suppressLineNumbers w:val="0"/>
                    <w:suppressAutoHyphens/>
                    <w:spacing w:before="0" w:beforeAutospacing="0" w:after="0" w:afterAutospacing="0"/>
                    <w:ind w:left="0" w:right="0"/>
                    <w:jc w:val="center"/>
                    <w:rPr>
                      <w:rFonts w:hint="default" w:ascii="Times New Roman" w:hAnsi="Times New Roman" w:eastAsia="宋体" w:cs="Times New Roman"/>
                    </w:rPr>
                  </w:pPr>
                  <w:r>
                    <w:rPr>
                      <w:rFonts w:hint="eastAsia" w:ascii="Times New Roman" w:hAnsi="Times New Roman" w:eastAsia="宋体" w:cs="Times New Roman"/>
                    </w:rPr>
                    <w:t>基础施</w:t>
                  </w:r>
                  <w:r>
                    <w:rPr>
                      <w:rFonts w:hint="default" w:ascii="Times New Roman" w:hAnsi="Times New Roman" w:eastAsia="宋体" w:cs="Times New Roman"/>
                    </w:rPr>
                    <w:t>工</w:t>
                  </w:r>
                </w:p>
              </w:tc>
              <w:tc>
                <w:tcPr>
                  <w:tcW w:w="2361" w:type="pct"/>
                  <w:noWrap w:val="0"/>
                  <w:vAlign w:val="center"/>
                </w:tcPr>
                <w:p w14:paraId="0A05D5D2">
                  <w:pPr>
                    <w:keepNext w:val="0"/>
                    <w:keepLines w:val="0"/>
                    <w:suppressLineNumbers w:val="0"/>
                    <w:suppressAutoHyphens/>
                    <w:spacing w:before="0" w:beforeAutospacing="0" w:after="0" w:afterAutospacing="0"/>
                    <w:ind w:left="0" w:right="0"/>
                    <w:jc w:val="center"/>
                    <w:rPr>
                      <w:rFonts w:hint="default" w:ascii="Times New Roman" w:hAnsi="Times New Roman" w:eastAsia="宋体" w:cs="Times New Roman"/>
                    </w:rPr>
                  </w:pPr>
                  <w:r>
                    <w:rPr>
                      <w:rFonts w:hint="eastAsia" w:ascii="Times New Roman" w:hAnsi="Times New Roman" w:eastAsia="宋体" w:cs="Times New Roman"/>
                    </w:rPr>
                    <w:t>空压机、平地机、工程钻</w:t>
                  </w:r>
                  <w:r>
                    <w:rPr>
                      <w:rFonts w:hint="default" w:ascii="Times New Roman" w:hAnsi="Times New Roman" w:eastAsia="宋体" w:cs="Times New Roman"/>
                    </w:rPr>
                    <w:t>机</w:t>
                  </w:r>
                </w:p>
              </w:tc>
              <w:tc>
                <w:tcPr>
                  <w:tcW w:w="1240" w:type="pct"/>
                  <w:noWrap w:val="0"/>
                  <w:vAlign w:val="center"/>
                </w:tcPr>
                <w:p w14:paraId="35CE2981">
                  <w:pPr>
                    <w:keepNext w:val="0"/>
                    <w:keepLines w:val="0"/>
                    <w:suppressLineNumbers w:val="0"/>
                    <w:suppressAutoHyphens/>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109</w:t>
                  </w:r>
                </w:p>
              </w:tc>
            </w:tr>
            <w:tr w14:paraId="0C958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98" w:type="pct"/>
                  <w:noWrap w:val="0"/>
                  <w:vAlign w:val="center"/>
                </w:tcPr>
                <w:p w14:paraId="1A63939B">
                  <w:pPr>
                    <w:keepNext w:val="0"/>
                    <w:keepLines w:val="0"/>
                    <w:suppressLineNumbers w:val="0"/>
                    <w:suppressAutoHyphens/>
                    <w:spacing w:before="0" w:beforeAutospacing="0" w:after="0" w:afterAutospacing="0"/>
                    <w:ind w:left="0" w:right="0"/>
                    <w:jc w:val="center"/>
                    <w:rPr>
                      <w:rFonts w:hint="default" w:ascii="Times New Roman" w:hAnsi="Times New Roman" w:eastAsia="宋体" w:cs="Times New Roman"/>
                    </w:rPr>
                  </w:pPr>
                  <w:r>
                    <w:rPr>
                      <w:rFonts w:hint="eastAsia" w:ascii="Times New Roman" w:hAnsi="Times New Roman" w:eastAsia="宋体" w:cs="Times New Roman"/>
                    </w:rPr>
                    <w:t>结构施</w:t>
                  </w:r>
                  <w:r>
                    <w:rPr>
                      <w:rFonts w:hint="default" w:ascii="Times New Roman" w:hAnsi="Times New Roman" w:eastAsia="宋体" w:cs="Times New Roman"/>
                    </w:rPr>
                    <w:t>工</w:t>
                  </w:r>
                </w:p>
              </w:tc>
              <w:tc>
                <w:tcPr>
                  <w:tcW w:w="2361" w:type="pct"/>
                  <w:noWrap w:val="0"/>
                  <w:vAlign w:val="center"/>
                </w:tcPr>
                <w:p w14:paraId="5979773C">
                  <w:pPr>
                    <w:keepNext w:val="0"/>
                    <w:keepLines w:val="0"/>
                    <w:suppressLineNumbers w:val="0"/>
                    <w:suppressAutoHyphens/>
                    <w:spacing w:before="0" w:beforeAutospacing="0" w:after="0" w:afterAutospacing="0"/>
                    <w:ind w:left="0" w:right="0"/>
                    <w:jc w:val="center"/>
                    <w:rPr>
                      <w:rFonts w:hint="default" w:ascii="Times New Roman" w:hAnsi="Times New Roman" w:eastAsia="宋体" w:cs="Times New Roman"/>
                    </w:rPr>
                  </w:pPr>
                  <w:r>
                    <w:rPr>
                      <w:rFonts w:hint="eastAsia" w:ascii="Times New Roman" w:hAnsi="Times New Roman" w:eastAsia="宋体" w:cs="Times New Roman"/>
                    </w:rPr>
                    <w:t>振捣棒、混凝土输送泵、电焊</w:t>
                  </w:r>
                  <w:r>
                    <w:rPr>
                      <w:rFonts w:hint="default" w:ascii="Times New Roman" w:hAnsi="Times New Roman" w:eastAsia="宋体" w:cs="Times New Roman"/>
                    </w:rPr>
                    <w:t>机</w:t>
                  </w:r>
                </w:p>
              </w:tc>
              <w:tc>
                <w:tcPr>
                  <w:tcW w:w="1240" w:type="pct"/>
                  <w:noWrap w:val="0"/>
                  <w:vAlign w:val="center"/>
                </w:tcPr>
                <w:p w14:paraId="49B05C9F">
                  <w:pPr>
                    <w:keepNext w:val="0"/>
                    <w:keepLines w:val="0"/>
                    <w:suppressLineNumbers w:val="0"/>
                    <w:suppressAutoHyphens/>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105</w:t>
                  </w:r>
                </w:p>
              </w:tc>
            </w:tr>
            <w:tr w14:paraId="63D9B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98" w:type="pct"/>
                  <w:noWrap w:val="0"/>
                  <w:vAlign w:val="center"/>
                </w:tcPr>
                <w:p w14:paraId="7C36394F">
                  <w:pPr>
                    <w:keepNext w:val="0"/>
                    <w:keepLines w:val="0"/>
                    <w:suppressLineNumbers w:val="0"/>
                    <w:suppressAutoHyphens/>
                    <w:spacing w:before="0" w:beforeAutospacing="0" w:after="0" w:afterAutospacing="0"/>
                    <w:ind w:left="0" w:right="0"/>
                    <w:jc w:val="center"/>
                    <w:rPr>
                      <w:rFonts w:hint="default" w:ascii="Times New Roman" w:hAnsi="Times New Roman" w:eastAsia="宋体" w:cs="Times New Roman"/>
                    </w:rPr>
                  </w:pPr>
                  <w:r>
                    <w:rPr>
                      <w:rFonts w:hint="eastAsia" w:ascii="Times New Roman" w:hAnsi="Times New Roman" w:eastAsia="宋体" w:cs="Times New Roman"/>
                    </w:rPr>
                    <w:t>设备安装、装修阶</w:t>
                  </w:r>
                  <w:r>
                    <w:rPr>
                      <w:rFonts w:hint="default" w:ascii="Times New Roman" w:hAnsi="Times New Roman" w:eastAsia="宋体" w:cs="Times New Roman"/>
                    </w:rPr>
                    <w:t>段</w:t>
                  </w:r>
                </w:p>
              </w:tc>
              <w:tc>
                <w:tcPr>
                  <w:tcW w:w="2361" w:type="pct"/>
                  <w:noWrap w:val="0"/>
                  <w:vAlign w:val="center"/>
                </w:tcPr>
                <w:p w14:paraId="3DE9FA02">
                  <w:pPr>
                    <w:keepNext w:val="0"/>
                    <w:keepLines w:val="0"/>
                    <w:suppressLineNumbers w:val="0"/>
                    <w:suppressAutoHyphens/>
                    <w:spacing w:before="0" w:beforeAutospacing="0" w:after="0" w:afterAutospacing="0"/>
                    <w:ind w:left="0" w:right="0"/>
                    <w:jc w:val="center"/>
                    <w:rPr>
                      <w:rFonts w:hint="default" w:ascii="Times New Roman" w:hAnsi="Times New Roman" w:eastAsia="宋体" w:cs="Times New Roman"/>
                    </w:rPr>
                  </w:pPr>
                  <w:r>
                    <w:rPr>
                      <w:rFonts w:hint="eastAsia" w:ascii="Times New Roman" w:hAnsi="Times New Roman" w:eastAsia="宋体" w:cs="Times New Roman"/>
                    </w:rPr>
                    <w:t>吊车、载重车、铆钉机、电钻、</w:t>
                  </w:r>
                  <w:r>
                    <w:rPr>
                      <w:rFonts w:hint="eastAsia" w:ascii="Times New Roman" w:hAnsi="Times New Roman" w:eastAsia="宋体" w:cs="Times New Roman"/>
                      <w:lang w:eastAsia="zh-CN"/>
                    </w:rPr>
                    <w:t>运石机</w:t>
                  </w:r>
                </w:p>
              </w:tc>
              <w:tc>
                <w:tcPr>
                  <w:tcW w:w="1240" w:type="pct"/>
                  <w:noWrap w:val="0"/>
                  <w:vAlign w:val="center"/>
                </w:tcPr>
                <w:p w14:paraId="63CB1829">
                  <w:pPr>
                    <w:keepNext w:val="0"/>
                    <w:keepLines w:val="0"/>
                    <w:suppressLineNumbers w:val="0"/>
                    <w:suppressAutoHyphens/>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110</w:t>
                  </w:r>
                </w:p>
              </w:tc>
            </w:tr>
          </w:tbl>
          <w:p w14:paraId="090AA9F4">
            <w:pPr>
              <w:keepNext w:val="0"/>
              <w:keepLines w:val="0"/>
              <w:pageBreakBefore w:val="0"/>
              <w:widowControl w:val="0"/>
              <w:suppressLineNumbers w:val="0"/>
              <w:suppressAutoHyphens/>
              <w:kinsoku/>
              <w:wordWrap/>
              <w:overflowPunct/>
              <w:topLinePunct w:val="0"/>
              <w:autoSpaceDE/>
              <w:autoSpaceDN/>
              <w:bidi w:val="0"/>
              <w:adjustRightInd/>
              <w:snapToGrid/>
              <w:spacing w:before="157" w:beforeLines="50" w:beforeAutospacing="0" w:after="0" w:afterAutospacing="0" w:line="360" w:lineRule="auto"/>
              <w:ind w:left="0" w:right="0" w:firstLine="480" w:firstLineChars="200"/>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根据现场踏勘，</w:t>
            </w:r>
            <w:r>
              <w:rPr>
                <w:rFonts w:hint="eastAsia" w:ascii="Times New Roman" w:hAnsi="Times New Roman" w:eastAsia="宋体" w:cs="Times New Roman"/>
                <w:kern w:val="0"/>
                <w:sz w:val="24"/>
              </w:rPr>
              <w:t>本项目位于</w:t>
            </w:r>
            <w:r>
              <w:rPr>
                <w:rFonts w:hint="eastAsia" w:ascii="Times New Roman" w:hAnsi="Times New Roman" w:eastAsia="宋体" w:cs="Times New Roman"/>
                <w:sz w:val="24"/>
              </w:rPr>
              <w:t>邻水县石滓镇晒金村8组</w:t>
            </w:r>
            <w:r>
              <w:rPr>
                <w:rFonts w:hint="eastAsia" w:ascii="Times New Roman" w:hAnsi="Times New Roman" w:eastAsia="宋体" w:cs="Times New Roman"/>
                <w:kern w:val="0"/>
                <w:sz w:val="24"/>
              </w:rPr>
              <w:t>，周边50m范围</w:t>
            </w:r>
            <w:r>
              <w:rPr>
                <w:rFonts w:hint="eastAsia" w:cs="Times New Roman"/>
                <w:kern w:val="0"/>
                <w:sz w:val="24"/>
                <w:lang w:val="en-US" w:eastAsia="zh-CN"/>
              </w:rPr>
              <w:t>存在环境敏感目标</w:t>
            </w:r>
            <w:r>
              <w:rPr>
                <w:rFonts w:hint="eastAsia" w:ascii="Times New Roman" w:hAnsi="Times New Roman" w:eastAsia="宋体" w:cs="Times New Roman"/>
                <w:kern w:val="0"/>
                <w:sz w:val="24"/>
              </w:rPr>
              <w:t>。</w:t>
            </w:r>
            <w:r>
              <w:rPr>
                <w:rFonts w:hint="default" w:ascii="Times New Roman" w:hAnsi="Times New Roman" w:eastAsia="宋体" w:cs="Times New Roman"/>
                <w:kern w:val="0"/>
                <w:sz w:val="24"/>
              </w:rPr>
              <w:t>评价要求施工单位应严格按照相关要求文明施工，采取以下噪声防治措施：</w:t>
            </w:r>
          </w:p>
          <w:p w14:paraId="72B180A6">
            <w:pPr>
              <w:keepNext w:val="0"/>
              <w:keepLines w:val="0"/>
              <w:suppressLineNumbers w:val="0"/>
              <w:suppressAutoHyphens/>
              <w:spacing w:before="0" w:beforeAutospacing="0" w:after="0" w:afterAutospacing="0" w:line="360" w:lineRule="auto"/>
              <w:ind w:left="0" w:right="0" w:firstLine="480" w:firstLineChars="200"/>
              <w:rPr>
                <w:rFonts w:hint="default" w:ascii="Times New Roman" w:hAnsi="Times New Roman" w:eastAsia="宋体" w:cs="Times New Roman"/>
                <w:kern w:val="0"/>
                <w:sz w:val="24"/>
              </w:rPr>
            </w:pPr>
            <w:r>
              <w:rPr>
                <w:rFonts w:hint="eastAsia" w:ascii="Times New Roman" w:hAnsi="Times New Roman" w:eastAsia="宋体" w:cs="宋体"/>
                <w:kern w:val="0"/>
                <w:sz w:val="24"/>
              </w:rPr>
              <w:t>①</w:t>
            </w:r>
            <w:r>
              <w:rPr>
                <w:rFonts w:hint="default" w:ascii="Times New Roman" w:hAnsi="Times New Roman" w:eastAsia="宋体" w:cs="Times New Roman"/>
                <w:kern w:val="0"/>
                <w:sz w:val="24"/>
              </w:rPr>
              <w:t>选用低噪设备，并采取有效的隔声、减振措施。</w:t>
            </w:r>
          </w:p>
          <w:p w14:paraId="2632E8CB">
            <w:pPr>
              <w:keepNext w:val="0"/>
              <w:keepLines w:val="0"/>
              <w:suppressLineNumbers w:val="0"/>
              <w:suppressAutoHyphens/>
              <w:spacing w:before="0" w:beforeAutospacing="0" w:after="0" w:afterAutospacing="0" w:line="360" w:lineRule="auto"/>
              <w:ind w:left="0" w:right="0" w:firstLine="480" w:firstLineChars="200"/>
              <w:jc w:val="left"/>
              <w:rPr>
                <w:rFonts w:hint="default" w:ascii="Times New Roman" w:hAnsi="Times New Roman" w:eastAsia="宋体" w:cs="Times New Roman"/>
                <w:kern w:val="0"/>
                <w:sz w:val="24"/>
              </w:rPr>
            </w:pPr>
            <w:r>
              <w:rPr>
                <w:rFonts w:hint="eastAsia" w:ascii="Times New Roman" w:hAnsi="Times New Roman" w:eastAsia="宋体" w:cs="宋体"/>
                <w:kern w:val="0"/>
                <w:sz w:val="24"/>
              </w:rPr>
              <w:t>②</w:t>
            </w:r>
            <w:r>
              <w:rPr>
                <w:rFonts w:hint="default" w:ascii="Times New Roman" w:hAnsi="Times New Roman" w:eastAsia="宋体" w:cs="Times New Roman"/>
                <w:kern w:val="0"/>
                <w:sz w:val="24"/>
              </w:rPr>
              <w:t>合理布置施工总平面。施工期高噪声设备尽量布置在远离周围厂房办公区，有效利用距离的衰减，降低施工噪声或偶发性噪声对其影响。</w:t>
            </w:r>
          </w:p>
          <w:p w14:paraId="21BB1325">
            <w:pPr>
              <w:keepNext w:val="0"/>
              <w:keepLines w:val="0"/>
              <w:suppressLineNumbers w:val="0"/>
              <w:suppressAutoHyphens/>
              <w:spacing w:before="0" w:beforeAutospacing="0" w:after="0" w:afterAutospacing="0" w:line="360" w:lineRule="auto"/>
              <w:ind w:left="0" w:right="0" w:firstLine="480" w:firstLineChars="200"/>
              <w:jc w:val="left"/>
              <w:rPr>
                <w:rFonts w:hint="default" w:ascii="Times New Roman" w:hAnsi="Times New Roman" w:eastAsia="宋体" w:cs="Times New Roman"/>
                <w:kern w:val="0"/>
                <w:sz w:val="24"/>
              </w:rPr>
            </w:pPr>
            <w:r>
              <w:rPr>
                <w:rFonts w:hint="eastAsia" w:ascii="Times New Roman" w:hAnsi="Times New Roman" w:eastAsia="宋体" w:cs="宋体"/>
                <w:kern w:val="0"/>
                <w:sz w:val="24"/>
              </w:rPr>
              <w:t>③</w:t>
            </w:r>
            <w:r>
              <w:rPr>
                <w:rFonts w:hint="default" w:ascii="Times New Roman" w:hAnsi="Times New Roman" w:eastAsia="宋体" w:cs="Times New Roman"/>
                <w:kern w:val="0"/>
                <w:sz w:val="24"/>
              </w:rPr>
              <w:t>文明施工。装卸、搬运木材、模具、钢材等严禁抛掷。材料运输车辆进场要专人指挥，限速，场内运输车辆禁止鸣笛。</w:t>
            </w:r>
          </w:p>
          <w:p w14:paraId="47824393">
            <w:pPr>
              <w:keepNext w:val="0"/>
              <w:keepLines w:val="0"/>
              <w:suppressLineNumbers w:val="0"/>
              <w:suppressAutoHyphens/>
              <w:spacing w:before="0" w:beforeAutospacing="0" w:after="0" w:afterAutospacing="0" w:line="360" w:lineRule="auto"/>
              <w:ind w:left="0" w:right="0" w:firstLine="480" w:firstLineChars="200"/>
              <w:rPr>
                <w:rFonts w:hint="default" w:ascii="Times New Roman" w:hAnsi="Times New Roman" w:eastAsia="宋体" w:cs="Times New Roman"/>
                <w:kern w:val="0"/>
                <w:sz w:val="24"/>
              </w:rPr>
            </w:pPr>
            <w:r>
              <w:rPr>
                <w:rFonts w:hint="eastAsia" w:ascii="Times New Roman" w:hAnsi="Times New Roman" w:eastAsia="宋体" w:cs="宋体"/>
                <w:kern w:val="0"/>
                <w:sz w:val="24"/>
              </w:rPr>
              <w:t>④</w:t>
            </w:r>
            <w:r>
              <w:rPr>
                <w:rFonts w:hint="default" w:ascii="Times New Roman" w:hAnsi="Times New Roman" w:eastAsia="宋体" w:cs="Times New Roman"/>
                <w:kern w:val="0"/>
                <w:sz w:val="24"/>
              </w:rPr>
              <w:t>合理安排施工时间。应将高噪声作业安排在白天进行，杜绝</w:t>
            </w:r>
            <w:r>
              <w:rPr>
                <w:rFonts w:hint="eastAsia" w:ascii="Times New Roman" w:hAnsi="Times New Roman" w:eastAsia="宋体" w:cs="Times New Roman"/>
                <w:kern w:val="0"/>
                <w:sz w:val="24"/>
                <w:lang w:val="en-US" w:eastAsia="zh-CN"/>
              </w:rPr>
              <w:t>在</w:t>
            </w:r>
            <w:r>
              <w:rPr>
                <w:rFonts w:hint="default" w:ascii="Times New Roman" w:hAnsi="Times New Roman" w:eastAsia="宋体" w:cs="Times New Roman"/>
                <w:kern w:val="0"/>
                <w:sz w:val="24"/>
              </w:rPr>
              <w:t>22:00~0</w:t>
            </w:r>
            <w:r>
              <w:rPr>
                <w:rFonts w:hint="eastAsia" w:ascii="Times New Roman" w:hAnsi="Times New Roman" w:eastAsia="宋体" w:cs="Times New Roman"/>
                <w:kern w:val="0"/>
                <w:sz w:val="24"/>
                <w:lang w:val="en-US" w:eastAsia="zh-CN"/>
              </w:rPr>
              <w:t>8</w:t>
            </w:r>
            <w:r>
              <w:rPr>
                <w:rFonts w:hint="default" w:ascii="Times New Roman" w:hAnsi="Times New Roman" w:eastAsia="宋体" w:cs="Times New Roman"/>
                <w:kern w:val="0"/>
                <w:sz w:val="24"/>
              </w:rPr>
              <w:t>:00</w:t>
            </w:r>
            <w:r>
              <w:rPr>
                <w:rFonts w:hint="eastAsia" w:ascii="Times New Roman" w:hAnsi="Times New Roman" w:eastAsia="宋体" w:cs="Times New Roman"/>
                <w:kern w:val="0"/>
                <w:sz w:val="24"/>
                <w:lang w:val="en-US" w:eastAsia="zh-CN"/>
              </w:rPr>
              <w:t>进行</w:t>
            </w:r>
            <w:r>
              <w:rPr>
                <w:rFonts w:hint="default" w:ascii="Times New Roman" w:hAnsi="Times New Roman" w:eastAsia="宋体" w:cs="Times New Roman"/>
                <w:kern w:val="0"/>
                <w:sz w:val="24"/>
              </w:rPr>
              <w:t>施工。</w:t>
            </w:r>
          </w:p>
          <w:p w14:paraId="0BC210FC">
            <w:pPr>
              <w:keepNext w:val="0"/>
              <w:keepLines w:val="0"/>
              <w:suppressLineNumbers w:val="0"/>
              <w:suppressAutoHyphens/>
              <w:spacing w:before="0" w:beforeAutospacing="0" w:after="0" w:afterAutospacing="0" w:line="360" w:lineRule="auto"/>
              <w:ind w:left="0" w:right="0" w:firstLine="480" w:firstLineChars="200"/>
              <w:rPr>
                <w:rFonts w:hint="default" w:ascii="Times New Roman" w:hAnsi="Times New Roman" w:eastAsia="宋体" w:cs="Times New Roman"/>
                <w:kern w:val="0"/>
                <w:sz w:val="24"/>
              </w:rPr>
            </w:pPr>
            <w:r>
              <w:rPr>
                <w:rFonts w:hint="eastAsia" w:ascii="Times New Roman" w:hAnsi="Times New Roman" w:eastAsia="宋体" w:cs="宋体"/>
                <w:kern w:val="0"/>
                <w:sz w:val="24"/>
              </w:rPr>
              <w:t>⑤</w:t>
            </w:r>
            <w:r>
              <w:rPr>
                <w:rFonts w:hint="default" w:ascii="Times New Roman" w:hAnsi="Times New Roman" w:eastAsia="宋体" w:cs="Times New Roman"/>
                <w:kern w:val="0"/>
                <w:sz w:val="24"/>
              </w:rPr>
              <w:t>施工前应进行公示，同时建设单位应要求施工单位在现场张贴通告和投诉电话，建设单位在接到投诉电话后及时与当地环保部门联系，及时处理各种环境纠纷。</w:t>
            </w:r>
          </w:p>
          <w:p w14:paraId="471DD62D">
            <w:pPr>
              <w:keepNext w:val="0"/>
              <w:keepLines w:val="0"/>
              <w:suppressLineNumbers w:val="0"/>
              <w:suppressAutoHyphens/>
              <w:spacing w:before="0" w:beforeAutospacing="0" w:after="0" w:afterAutospacing="0" w:line="360" w:lineRule="auto"/>
              <w:ind w:left="0" w:right="0"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评价认为，本项目施工阶段采取以上噪声防治措施后，场界噪声可达到《建筑施工场界环境噪声排放标准》（GB12523-2011）规定的限值，实现达标排放，对周围环境的影响甚微。</w:t>
            </w:r>
          </w:p>
          <w:p w14:paraId="1455713A">
            <w:pPr>
              <w:keepNext w:val="0"/>
              <w:keepLines w:val="0"/>
              <w:suppressLineNumbers w:val="0"/>
              <w:spacing w:before="0" w:beforeAutospacing="0" w:after="0" w:afterAutospacing="0" w:line="360" w:lineRule="auto"/>
              <w:ind w:left="0" w:right="0"/>
              <w:jc w:val="left"/>
              <w:rPr>
                <w:rFonts w:hint="default" w:ascii="Times New Roman" w:hAnsi="Times New Roman" w:eastAsia="宋体" w:cs="Times New Roman"/>
                <w:b/>
                <w:sz w:val="24"/>
              </w:rPr>
            </w:pPr>
            <w:r>
              <w:rPr>
                <w:rFonts w:hint="eastAsia" w:ascii="Times New Roman" w:hAnsi="Times New Roman" w:eastAsia="宋体" w:cs="Times New Roman"/>
                <w:b/>
                <w:sz w:val="24"/>
              </w:rPr>
              <w:t>三</w:t>
            </w:r>
            <w:r>
              <w:rPr>
                <w:rFonts w:hint="default" w:ascii="Times New Roman" w:hAnsi="Times New Roman" w:eastAsia="宋体" w:cs="Times New Roman"/>
                <w:b/>
                <w:sz w:val="24"/>
              </w:rPr>
              <w:t>、固废的产生及治理</w:t>
            </w:r>
          </w:p>
          <w:p w14:paraId="64B06AD1">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sz w:val="24"/>
              </w:rPr>
            </w:pPr>
            <w:r>
              <w:rPr>
                <w:rFonts w:hint="default" w:ascii="Times New Roman" w:hAnsi="Times New Roman" w:eastAsia="宋体" w:cs="Times New Roman"/>
                <w:bCs/>
                <w:sz w:val="24"/>
              </w:rPr>
              <w:t>施工期固体废弃物主要来自开挖的土石方、建筑垃圾和施工人员的生活垃圾</w:t>
            </w:r>
            <w:r>
              <w:rPr>
                <w:rFonts w:hint="eastAsia" w:ascii="Times New Roman" w:hAnsi="Times New Roman" w:eastAsia="宋体" w:cs="Times New Roman"/>
                <w:bCs/>
                <w:sz w:val="24"/>
              </w:rPr>
              <w:t>等</w:t>
            </w:r>
            <w:r>
              <w:rPr>
                <w:rFonts w:hint="default" w:ascii="Times New Roman" w:hAnsi="Times New Roman" w:eastAsia="宋体" w:cs="Times New Roman"/>
                <w:bCs/>
                <w:sz w:val="24"/>
              </w:rPr>
              <w:t>。</w:t>
            </w:r>
          </w:p>
          <w:p w14:paraId="6B4B0FAE">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rPr>
              <w:t>1、生活垃圾</w:t>
            </w:r>
          </w:p>
          <w:p w14:paraId="370EF16D">
            <w:pPr>
              <w:keepNext w:val="0"/>
              <w:keepLines w:val="0"/>
              <w:suppressLineNumbers w:val="0"/>
              <w:suppressAutoHyphens/>
              <w:spacing w:before="0" w:beforeAutospacing="0" w:after="0" w:afterAutospacing="0" w:line="360" w:lineRule="auto"/>
              <w:ind w:left="0" w:right="0" w:firstLine="480" w:firstLineChars="200"/>
              <w:jc w:val="left"/>
              <w:rPr>
                <w:rFonts w:hint="default" w:ascii="Times New Roman" w:hAnsi="Times New Roman" w:eastAsia="宋体" w:cs="Times New Roman"/>
                <w:bCs/>
                <w:sz w:val="24"/>
              </w:rPr>
            </w:pPr>
            <w:r>
              <w:rPr>
                <w:rFonts w:hint="default" w:ascii="Times New Roman" w:hAnsi="Times New Roman" w:eastAsia="宋体" w:cs="Times New Roman"/>
                <w:bCs/>
                <w:sz w:val="24"/>
              </w:rPr>
              <w:t>生活垃圾来源于施工作业人员生活过程遗弃的废物，其成分有塑料、纸类等。项目施工期间，各类施工人员较为集中，产生的生活垃圾按0.5kg/（人·d）计，在施工场地常驻施工的人员高峰期以</w:t>
            </w:r>
            <w:r>
              <w:rPr>
                <w:rFonts w:hint="eastAsia" w:cs="Times New Roman"/>
                <w:bCs/>
                <w:sz w:val="24"/>
                <w:lang w:val="en-US" w:eastAsia="zh-CN"/>
              </w:rPr>
              <w:t>1</w:t>
            </w:r>
            <w:r>
              <w:rPr>
                <w:rFonts w:hint="eastAsia" w:ascii="Times New Roman" w:hAnsi="Times New Roman" w:eastAsia="宋体" w:cs="Times New Roman"/>
                <w:bCs/>
                <w:sz w:val="24"/>
              </w:rPr>
              <w:t>0</w:t>
            </w:r>
            <w:r>
              <w:rPr>
                <w:rFonts w:hint="default" w:ascii="Times New Roman" w:hAnsi="Times New Roman" w:eastAsia="宋体" w:cs="Times New Roman"/>
                <w:bCs/>
                <w:sz w:val="24"/>
              </w:rPr>
              <w:t>人计，因此在建设期施工人员产生的生活垃圾总量为</w:t>
            </w:r>
            <w:r>
              <w:rPr>
                <w:rFonts w:hint="eastAsia" w:cs="Times New Roman"/>
                <w:bCs/>
                <w:sz w:val="24"/>
                <w:lang w:val="en-US" w:eastAsia="zh-CN"/>
              </w:rPr>
              <w:t>5</w:t>
            </w:r>
            <w:r>
              <w:rPr>
                <w:rFonts w:hint="default" w:ascii="Times New Roman" w:hAnsi="Times New Roman" w:eastAsia="宋体" w:cs="Times New Roman"/>
                <w:bCs/>
                <w:sz w:val="24"/>
              </w:rPr>
              <w:t>kg/d。</w:t>
            </w:r>
            <w:r>
              <w:rPr>
                <w:rFonts w:hint="eastAsia" w:ascii="Times New Roman" w:hAnsi="Times New Roman" w:eastAsia="宋体" w:cs="Times New Roman"/>
                <w:bCs/>
                <w:sz w:val="24"/>
              </w:rPr>
              <w:t>生活垃圾由当地环卫部门清运处理。</w:t>
            </w:r>
          </w:p>
          <w:p w14:paraId="5B1D165F">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rPr>
            </w:pPr>
            <w:r>
              <w:rPr>
                <w:rFonts w:hint="eastAsia" w:ascii="Times New Roman" w:hAnsi="Times New Roman" w:eastAsia="宋体" w:cs="Times New Roman"/>
                <w:sz w:val="24"/>
              </w:rPr>
              <w:t>2、开挖的土石方</w:t>
            </w:r>
          </w:p>
          <w:p w14:paraId="71CF9615">
            <w:pPr>
              <w:keepNext w:val="0"/>
              <w:keepLines w:val="0"/>
              <w:suppressLineNumbers w:val="0"/>
              <w:suppressAutoHyphens/>
              <w:spacing w:before="0" w:beforeAutospacing="0" w:after="0" w:afterAutospacing="0" w:line="360" w:lineRule="auto"/>
              <w:ind w:left="0" w:right="0" w:firstLine="480" w:firstLineChars="200"/>
              <w:rPr>
                <w:rFonts w:hint="default" w:ascii="Times New Roman" w:hAnsi="Times New Roman" w:eastAsia="宋体" w:cs="Times New Roman"/>
                <w:bCs/>
                <w:sz w:val="24"/>
              </w:rPr>
            </w:pPr>
            <w:r>
              <w:rPr>
                <w:rFonts w:hint="default" w:ascii="Times New Roman" w:hAnsi="Times New Roman" w:eastAsia="宋体" w:cs="Times New Roman"/>
                <w:sz w:val="24"/>
              </w:rPr>
              <w:t>根据现场踏勘及向建设单位核实，</w:t>
            </w:r>
            <w:r>
              <w:rPr>
                <w:rFonts w:hint="eastAsia" w:cs="Times New Roman"/>
                <w:sz w:val="24"/>
                <w:lang w:val="en-US" w:eastAsia="zh-CN"/>
              </w:rPr>
              <w:t>项目地块已完成土地平整工作</w:t>
            </w:r>
            <w:r>
              <w:rPr>
                <w:rFonts w:hint="eastAsia" w:ascii="Times New Roman" w:hAnsi="Times New Roman" w:eastAsia="宋体" w:cs="Times New Roman"/>
                <w:sz w:val="24"/>
              </w:rPr>
              <w:t>，因此施工过程挖方量较少，约0.</w:t>
            </w:r>
            <w:r>
              <w:rPr>
                <w:rFonts w:hint="eastAsia" w:cs="Times New Roman"/>
                <w:sz w:val="24"/>
                <w:lang w:val="en-US" w:eastAsia="zh-CN"/>
              </w:rPr>
              <w:t>1</w:t>
            </w:r>
            <w:r>
              <w:rPr>
                <w:rFonts w:hint="default" w:ascii="Times New Roman" w:hAnsi="Times New Roman" w:eastAsia="宋体" w:cs="Times New Roman"/>
                <w:sz w:val="24"/>
              </w:rPr>
              <w:t>万m</w:t>
            </w:r>
            <w:r>
              <w:rPr>
                <w:rFonts w:hint="default" w:ascii="Times New Roman" w:hAnsi="Times New Roman" w:eastAsia="宋体" w:cs="Times New Roman"/>
                <w:sz w:val="24"/>
                <w:vertAlign w:val="superscript"/>
              </w:rPr>
              <w:t>3</w:t>
            </w:r>
            <w:r>
              <w:rPr>
                <w:rFonts w:hint="default" w:ascii="Times New Roman" w:hAnsi="Times New Roman" w:eastAsia="宋体" w:cs="Times New Roman"/>
                <w:sz w:val="24"/>
              </w:rPr>
              <w:t>，</w:t>
            </w:r>
            <w:r>
              <w:rPr>
                <w:rFonts w:hint="eastAsia" w:ascii="Times New Roman" w:hAnsi="Times New Roman" w:eastAsia="宋体" w:cs="Times New Roman"/>
                <w:sz w:val="24"/>
              </w:rPr>
              <w:t>施工结束后全部回填用作绿化，</w:t>
            </w:r>
            <w:r>
              <w:rPr>
                <w:rFonts w:hint="default" w:ascii="Times New Roman" w:hAnsi="Times New Roman" w:eastAsia="宋体" w:cs="Times New Roman"/>
                <w:sz w:val="24"/>
              </w:rPr>
              <w:t>在场地内能够完全利用，无废弃土石方外运。施工期间在用地范围内设置土石方临时堆场，回填并压实，防范水土流失。</w:t>
            </w:r>
          </w:p>
          <w:p w14:paraId="442B9984">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rPr>
              <w:t>3、建筑垃圾</w:t>
            </w:r>
          </w:p>
          <w:p w14:paraId="5F5F547D">
            <w:pPr>
              <w:keepNext w:val="0"/>
              <w:keepLines w:val="0"/>
              <w:suppressLineNumbers w:val="0"/>
              <w:suppressAutoHyphens/>
              <w:overflowPunct w:val="0"/>
              <w:autoSpaceDE w:val="0"/>
              <w:autoSpaceDN w:val="0"/>
              <w:spacing w:before="0" w:beforeAutospacing="0" w:after="0" w:afterAutospacing="0" w:line="360" w:lineRule="auto"/>
              <w:ind w:left="0" w:right="0" w:firstLine="480" w:firstLineChars="200"/>
              <w:rPr>
                <w:rFonts w:hint="default" w:ascii="Times New Roman" w:hAnsi="Times New Roman" w:eastAsia="宋体" w:cs="宋体"/>
                <w:sz w:val="24"/>
              </w:rPr>
            </w:pPr>
            <w:r>
              <w:rPr>
                <w:rFonts w:hint="default" w:ascii="Times New Roman" w:hAnsi="Times New Roman" w:eastAsia="宋体" w:cs="宋体"/>
                <w:sz w:val="24"/>
              </w:rPr>
              <w:t>建筑垃圾的产生量与施工水平、管理水平、建筑类型有直接的联系，根据同类工程调查，每平方米建筑面积将产生0.5～</w:t>
            </w:r>
            <w:r>
              <w:rPr>
                <w:rFonts w:hint="default" w:ascii="Times New Roman" w:hAnsi="Times New Roman" w:eastAsia="宋体" w:cs="Times New Roman"/>
                <w:sz w:val="24"/>
              </w:rPr>
              <w:t>1.0</w:t>
            </w:r>
            <w:r>
              <w:rPr>
                <w:rFonts w:hint="default" w:ascii="Times New Roman" w:hAnsi="Times New Roman" w:eastAsia="宋体" w:cs="宋体"/>
                <w:sz w:val="24"/>
              </w:rPr>
              <w:t>kg左右的建筑垃圾，本次评价取每平方米建筑面积产生</w:t>
            </w:r>
            <w:r>
              <w:rPr>
                <w:rFonts w:hint="eastAsia" w:ascii="Times New Roman" w:hAnsi="Times New Roman" w:eastAsia="宋体" w:cs="宋体"/>
                <w:sz w:val="24"/>
              </w:rPr>
              <w:t>0.6</w:t>
            </w:r>
            <w:r>
              <w:rPr>
                <w:rFonts w:hint="default" w:ascii="Times New Roman" w:hAnsi="Times New Roman" w:eastAsia="宋体" w:cs="宋体"/>
                <w:sz w:val="24"/>
              </w:rPr>
              <w:t>kg建筑垃圾。本项目</w:t>
            </w:r>
            <w:r>
              <w:rPr>
                <w:rFonts w:hint="eastAsia" w:ascii="Times New Roman" w:hAnsi="Times New Roman" w:eastAsia="宋体" w:cs="宋体"/>
                <w:sz w:val="24"/>
              </w:rPr>
              <w:t>规划</w:t>
            </w:r>
            <w:r>
              <w:rPr>
                <w:rFonts w:hint="default" w:ascii="Times New Roman" w:hAnsi="Times New Roman" w:eastAsia="宋体" w:cs="宋体"/>
                <w:sz w:val="24"/>
              </w:rPr>
              <w:t>总建筑面积</w:t>
            </w:r>
            <w:r>
              <w:rPr>
                <w:rFonts w:hint="eastAsia" w:cs="Times New Roman"/>
                <w:sz w:val="24"/>
                <w:lang w:val="en-US" w:eastAsia="zh-CN"/>
              </w:rPr>
              <w:t>1500</w:t>
            </w:r>
            <w:r>
              <w:rPr>
                <w:rFonts w:hint="default" w:ascii="Times New Roman" w:hAnsi="Times New Roman" w:eastAsia="宋体" w:cs="Times New Roman"/>
                <w:sz w:val="24"/>
              </w:rPr>
              <w:t>m</w:t>
            </w:r>
            <w:r>
              <w:rPr>
                <w:rFonts w:hint="default" w:ascii="Times New Roman" w:hAnsi="Times New Roman" w:eastAsia="宋体" w:cs="宋体"/>
                <w:sz w:val="24"/>
                <w:vertAlign w:val="superscript"/>
              </w:rPr>
              <w:t>2</w:t>
            </w:r>
            <w:r>
              <w:rPr>
                <w:rFonts w:hint="default" w:ascii="Times New Roman" w:hAnsi="Times New Roman" w:eastAsia="宋体" w:cs="宋体"/>
                <w:sz w:val="24"/>
              </w:rPr>
              <w:t>，则整个施工期间项目将产生约</w:t>
            </w:r>
            <w:r>
              <w:rPr>
                <w:rFonts w:hint="eastAsia" w:cs="宋体"/>
                <w:sz w:val="24"/>
                <w:lang w:val="en-US" w:eastAsia="zh-CN"/>
              </w:rPr>
              <w:t>0.9</w:t>
            </w:r>
            <w:r>
              <w:rPr>
                <w:rFonts w:hint="eastAsia" w:ascii="Times New Roman" w:hAnsi="Times New Roman" w:eastAsia="宋体" w:cs="宋体"/>
                <w:sz w:val="24"/>
              </w:rPr>
              <w:t>t</w:t>
            </w:r>
            <w:r>
              <w:rPr>
                <w:rFonts w:hint="default" w:ascii="Times New Roman" w:hAnsi="Times New Roman" w:eastAsia="宋体" w:cs="宋体"/>
                <w:sz w:val="24"/>
              </w:rPr>
              <w:t>建筑垃圾</w:t>
            </w:r>
            <w:r>
              <w:rPr>
                <w:rFonts w:hint="eastAsia" w:ascii="Times New Roman" w:hAnsi="Times New Roman" w:eastAsia="宋体" w:cs="宋体"/>
                <w:bCs/>
                <w:sz w:val="24"/>
              </w:rPr>
              <w:t>，</w:t>
            </w:r>
            <w:r>
              <w:rPr>
                <w:rFonts w:hint="default" w:ascii="Times New Roman" w:hAnsi="Times New Roman" w:eastAsia="宋体" w:cs="宋体"/>
                <w:bCs/>
                <w:sz w:val="24"/>
              </w:rPr>
              <w:t>经过分类收集后</w:t>
            </w:r>
            <w:r>
              <w:rPr>
                <w:rFonts w:hint="eastAsia" w:ascii="Times New Roman" w:hAnsi="Times New Roman" w:eastAsia="宋体" w:cs="宋体"/>
                <w:bCs/>
                <w:sz w:val="24"/>
              </w:rPr>
              <w:t>，</w:t>
            </w:r>
            <w:r>
              <w:rPr>
                <w:rFonts w:hint="default" w:ascii="Times New Roman" w:hAnsi="Times New Roman" w:eastAsia="宋体" w:cs="宋体"/>
                <w:bCs/>
                <w:sz w:val="24"/>
              </w:rPr>
              <w:t>可以利用的部分如</w:t>
            </w:r>
            <w:r>
              <w:rPr>
                <w:rFonts w:hint="eastAsia" w:cs="宋体"/>
                <w:bCs/>
                <w:sz w:val="24"/>
                <w:lang w:val="en-US" w:eastAsia="zh-CN"/>
              </w:rPr>
              <w:t>废金属、</w:t>
            </w:r>
            <w:r>
              <w:rPr>
                <w:rFonts w:hint="default" w:ascii="Times New Roman" w:hAnsi="Times New Roman" w:eastAsia="宋体" w:cs="宋体"/>
                <w:bCs/>
                <w:sz w:val="24"/>
              </w:rPr>
              <w:t>木材等进行回收利用；不能利用建筑垃圾全部运至当地政府指定的建筑垃圾堆放点进行处置。</w:t>
            </w:r>
          </w:p>
          <w:p w14:paraId="77F67E65">
            <w:pPr>
              <w:keepNext w:val="0"/>
              <w:keepLines w:val="0"/>
              <w:suppressLineNumbers w:val="0"/>
              <w:adjustRightInd w:val="0"/>
              <w:snapToGrid w:val="0"/>
              <w:spacing w:before="0" w:beforeAutospacing="0" w:after="0" w:afterAutospacing="0" w:line="360" w:lineRule="auto"/>
              <w:ind w:left="0" w:right="0"/>
              <w:rPr>
                <w:rFonts w:hint="eastAsia" w:ascii="Times New Roman" w:hAnsi="Times New Roman" w:eastAsia="宋体" w:cs="Times New Roman"/>
                <w:b/>
                <w:bCs/>
                <w:sz w:val="24"/>
              </w:rPr>
            </w:pPr>
            <w:r>
              <w:rPr>
                <w:rFonts w:hint="eastAsia" w:ascii="Times New Roman" w:hAnsi="Times New Roman" w:eastAsia="宋体" w:cs="Times New Roman"/>
                <w:b/>
                <w:bCs/>
                <w:sz w:val="24"/>
              </w:rPr>
              <w:t>四、施工废气</w:t>
            </w:r>
          </w:p>
          <w:p w14:paraId="16F72C39">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rPr>
              <w:t>本项目施工期大气污染主要为施工扬尘、机械废气、装修废气。</w:t>
            </w:r>
          </w:p>
          <w:p w14:paraId="1C4C3CD8">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rPr>
              <w:t>1、施工扬尘</w:t>
            </w:r>
          </w:p>
          <w:p w14:paraId="5F34FB31">
            <w:pPr>
              <w:keepNext w:val="0"/>
              <w:keepLines w:val="0"/>
              <w:suppressLineNumbers w:val="0"/>
              <w:suppressAutoHyphens/>
              <w:snapToGrid w:val="0"/>
              <w:spacing w:before="0" w:beforeAutospacing="0" w:after="0" w:afterAutospacing="0" w:line="360" w:lineRule="auto"/>
              <w:ind w:left="0" w:right="0" w:firstLine="480" w:firstLineChars="200"/>
              <w:jc w:val="left"/>
              <w:rPr>
                <w:rFonts w:hint="default" w:ascii="Times New Roman" w:hAnsi="Times New Roman" w:eastAsia="宋体" w:cs="Times New Roman"/>
                <w:kern w:val="0"/>
                <w:sz w:val="24"/>
              </w:rPr>
            </w:pPr>
            <w:r>
              <w:rPr>
                <w:rFonts w:hint="default" w:ascii="Times New Roman" w:hAnsi="Times New Roman" w:eastAsia="宋体" w:cs="Times New Roman"/>
                <w:kern w:val="0"/>
                <w:sz w:val="24"/>
              </w:rPr>
              <w:t>评价要求建设单位在施工过程中应采用商品混凝土</w:t>
            </w:r>
            <w:r>
              <w:rPr>
                <w:rFonts w:hint="eastAsia" w:ascii="Times New Roman" w:hAnsi="Times New Roman" w:eastAsia="宋体" w:cs="Times New Roman"/>
                <w:kern w:val="0"/>
                <w:sz w:val="24"/>
              </w:rPr>
              <w:t>，</w:t>
            </w:r>
            <w:r>
              <w:rPr>
                <w:rFonts w:hint="default" w:ascii="Times New Roman" w:hAnsi="Times New Roman" w:eastAsia="宋体" w:cs="Times New Roman"/>
                <w:kern w:val="0"/>
                <w:sz w:val="24"/>
              </w:rPr>
              <w:t>施工期对区域大气环境的影响主要是地面扬尘污染，污染因子为TSP。项目施工</w:t>
            </w:r>
            <w:r>
              <w:rPr>
                <w:rFonts w:hint="eastAsia" w:ascii="Times New Roman" w:hAnsi="Times New Roman" w:eastAsia="宋体" w:cs="Times New Roman"/>
                <w:kern w:val="0"/>
                <w:sz w:val="24"/>
                <w:lang w:eastAsia="zh-CN"/>
              </w:rPr>
              <w:t>期间</w:t>
            </w:r>
            <w:r>
              <w:rPr>
                <w:rFonts w:hint="default" w:ascii="Times New Roman" w:hAnsi="Times New Roman" w:eastAsia="宋体" w:cs="Times New Roman"/>
                <w:kern w:val="0"/>
                <w:sz w:val="24"/>
              </w:rPr>
              <w:t>由于运输车辆等机具的使用以及施工材料的堆放均会产生一定量的扬尘，对环境空气质量有一定的负面影响，主要影响有：</w:t>
            </w:r>
          </w:p>
          <w:p w14:paraId="38367C07">
            <w:pPr>
              <w:keepNext w:val="0"/>
              <w:keepLines w:val="0"/>
              <w:suppressLineNumbers w:val="0"/>
              <w:suppressAutoHyphens/>
              <w:spacing w:before="0" w:beforeAutospacing="0" w:after="0" w:afterAutospacing="0" w:line="360" w:lineRule="auto"/>
              <w:ind w:left="0" w:right="0" w:firstLine="480" w:firstLineChars="200"/>
              <w:rPr>
                <w:rFonts w:hint="default" w:ascii="Times New Roman" w:hAnsi="Times New Roman" w:eastAsia="宋体" w:cs="Times New Roman"/>
                <w:kern w:val="0"/>
                <w:sz w:val="24"/>
              </w:rPr>
            </w:pPr>
            <w:r>
              <w:rPr>
                <w:rFonts w:hint="eastAsia" w:ascii="Times New Roman" w:hAnsi="Times New Roman" w:eastAsia="宋体" w:cs="宋体"/>
                <w:kern w:val="0"/>
                <w:sz w:val="24"/>
              </w:rPr>
              <w:t>①</w:t>
            </w:r>
            <w:r>
              <w:rPr>
                <w:rFonts w:hint="default" w:ascii="Times New Roman" w:hAnsi="Times New Roman" w:eastAsia="宋体" w:cs="Times New Roman"/>
                <w:kern w:val="0"/>
                <w:sz w:val="24"/>
              </w:rPr>
              <w:t>基础施工开挖土方时，土方挖掘会产生一定量的扬尘；</w:t>
            </w:r>
          </w:p>
          <w:p w14:paraId="233C46AB">
            <w:pPr>
              <w:keepNext w:val="0"/>
              <w:keepLines w:val="0"/>
              <w:suppressLineNumbers w:val="0"/>
              <w:suppressAutoHyphens/>
              <w:spacing w:before="0" w:beforeAutospacing="0" w:after="0" w:afterAutospacing="0" w:line="360" w:lineRule="auto"/>
              <w:ind w:left="0" w:right="0" w:firstLine="480" w:firstLineChars="200"/>
              <w:rPr>
                <w:rFonts w:hint="default" w:ascii="Times New Roman" w:hAnsi="Times New Roman" w:eastAsia="宋体" w:cs="Times New Roman"/>
                <w:kern w:val="0"/>
                <w:sz w:val="24"/>
              </w:rPr>
            </w:pPr>
            <w:r>
              <w:rPr>
                <w:rFonts w:hint="eastAsia" w:ascii="Times New Roman" w:hAnsi="Times New Roman" w:eastAsia="宋体" w:cs="宋体"/>
                <w:kern w:val="0"/>
                <w:sz w:val="24"/>
              </w:rPr>
              <w:t>②</w:t>
            </w:r>
            <w:r>
              <w:rPr>
                <w:rFonts w:hint="default" w:ascii="Times New Roman" w:hAnsi="Times New Roman" w:eastAsia="宋体" w:cs="Times New Roman"/>
                <w:kern w:val="0"/>
                <w:sz w:val="24"/>
              </w:rPr>
              <w:t>建筑材料及土石方运输过程中洒漏及扬尘；</w:t>
            </w:r>
          </w:p>
          <w:p w14:paraId="06DDD379">
            <w:pPr>
              <w:keepNext w:val="0"/>
              <w:keepLines w:val="0"/>
              <w:suppressLineNumbers w:val="0"/>
              <w:suppressAutoHyphens/>
              <w:spacing w:before="0" w:beforeAutospacing="0" w:after="0" w:afterAutospacing="0" w:line="360" w:lineRule="auto"/>
              <w:ind w:left="0" w:right="0" w:firstLine="480" w:firstLineChars="200"/>
              <w:rPr>
                <w:rFonts w:hint="default" w:ascii="Times New Roman" w:hAnsi="Times New Roman" w:eastAsia="宋体" w:cs="Times New Roman"/>
                <w:kern w:val="0"/>
                <w:sz w:val="24"/>
              </w:rPr>
            </w:pPr>
            <w:r>
              <w:rPr>
                <w:rFonts w:hint="eastAsia" w:ascii="Times New Roman" w:hAnsi="Times New Roman" w:eastAsia="宋体" w:cs="宋体"/>
                <w:kern w:val="0"/>
                <w:sz w:val="24"/>
              </w:rPr>
              <w:t>③</w:t>
            </w:r>
            <w:r>
              <w:rPr>
                <w:rFonts w:hint="default" w:ascii="Times New Roman" w:hAnsi="Times New Roman" w:eastAsia="宋体" w:cs="Times New Roman"/>
                <w:kern w:val="0"/>
                <w:sz w:val="24"/>
              </w:rPr>
              <w:t>现场施工材料的堆放不当。</w:t>
            </w:r>
          </w:p>
          <w:p w14:paraId="13049639">
            <w:pPr>
              <w:keepNext w:val="0"/>
              <w:keepLines w:val="0"/>
              <w:suppressLineNumbers w:val="0"/>
              <w:suppressAutoHyphens/>
              <w:spacing w:before="0" w:beforeAutospacing="0" w:after="0" w:afterAutospacing="0" w:line="360" w:lineRule="auto"/>
              <w:ind w:left="0" w:right="0"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通过类比调查，挖土的扬尘对环境的浓度有一定的贡献。但随着距离的增加，浓度贡献衰减很快，至20米左右基本上满足标准。在土壤湿度较大的情况下，其浓度贡献大的区域一般在施工现场10米以内。施工及运输车辆引起的扬尘对路边30米范围以内影响较大。为了将产生的影响减小到最小，施工中应严格按照有关规定执行，采取切实有效的措施做到：</w:t>
            </w:r>
          </w:p>
          <w:p w14:paraId="2C7E2664">
            <w:pPr>
              <w:keepNext w:val="0"/>
              <w:keepLines w:val="0"/>
              <w:suppressLineNumbers w:val="0"/>
              <w:suppressAutoHyphens/>
              <w:spacing w:before="0" w:beforeAutospacing="0" w:after="0" w:afterAutospacing="0" w:line="360" w:lineRule="auto"/>
              <w:ind w:left="0" w:right="0" w:firstLine="480" w:firstLineChars="200"/>
              <w:rPr>
                <w:rFonts w:hint="default" w:ascii="Times New Roman" w:hAnsi="Times New Roman" w:eastAsia="宋体" w:cs="Times New Roman"/>
                <w:kern w:val="0"/>
                <w:sz w:val="24"/>
              </w:rPr>
            </w:pPr>
            <w:r>
              <w:rPr>
                <w:rFonts w:hint="eastAsia" w:ascii="Times New Roman" w:hAnsi="Times New Roman" w:eastAsia="宋体" w:cs="宋体"/>
                <w:kern w:val="0"/>
                <w:sz w:val="24"/>
              </w:rPr>
              <w:t>①</w:t>
            </w:r>
            <w:r>
              <w:rPr>
                <w:rFonts w:hint="default" w:ascii="Times New Roman" w:hAnsi="Times New Roman" w:eastAsia="宋体" w:cs="Times New Roman"/>
                <w:kern w:val="0"/>
                <w:sz w:val="24"/>
              </w:rPr>
              <w:t>文明施工，定期对地面洒水，并对撒落在路面的渣土尽快清除。</w:t>
            </w:r>
          </w:p>
          <w:p w14:paraId="0C35BA34">
            <w:pPr>
              <w:keepNext w:val="0"/>
              <w:keepLines w:val="0"/>
              <w:suppressLineNumbers w:val="0"/>
              <w:suppressAutoHyphens/>
              <w:spacing w:before="0" w:beforeAutospacing="0" w:after="0" w:afterAutospacing="0" w:line="360" w:lineRule="auto"/>
              <w:ind w:left="0" w:right="0" w:firstLine="480" w:firstLineChars="200"/>
              <w:rPr>
                <w:rFonts w:hint="default" w:ascii="Times New Roman" w:hAnsi="Times New Roman" w:eastAsia="宋体" w:cs="Times New Roman"/>
                <w:kern w:val="0"/>
                <w:sz w:val="24"/>
              </w:rPr>
            </w:pPr>
            <w:r>
              <w:rPr>
                <w:rFonts w:hint="eastAsia" w:ascii="Times New Roman" w:hAnsi="Times New Roman" w:eastAsia="宋体" w:cs="宋体"/>
                <w:kern w:val="0"/>
                <w:sz w:val="24"/>
              </w:rPr>
              <w:t>②</w:t>
            </w:r>
            <w:r>
              <w:rPr>
                <w:rFonts w:hint="default" w:ascii="Times New Roman" w:hAnsi="Times New Roman" w:eastAsia="宋体" w:cs="Times New Roman"/>
                <w:kern w:val="0"/>
                <w:sz w:val="24"/>
              </w:rPr>
              <w:t>在施工场地对施工车辆实施限速行驶，同时施工现场主要运输道路进行洒水抑尘；在施工场地出口放置防尘垫，对运输车辆现场设置洗车场，用水清洗车体和轮胎，清洗用水进行统一收集，不得向水体排放。</w:t>
            </w:r>
          </w:p>
          <w:p w14:paraId="5230A4B0">
            <w:pPr>
              <w:keepNext w:val="0"/>
              <w:keepLines w:val="0"/>
              <w:suppressLineNumbers w:val="0"/>
              <w:suppressAutoHyphens/>
              <w:spacing w:before="0" w:beforeAutospacing="0" w:after="0" w:afterAutospacing="0" w:line="360" w:lineRule="auto"/>
              <w:ind w:left="0" w:right="0" w:firstLine="480" w:firstLineChars="200"/>
              <w:rPr>
                <w:rFonts w:hint="default" w:ascii="Times New Roman" w:hAnsi="Times New Roman" w:eastAsia="宋体" w:cs="Times New Roman"/>
                <w:kern w:val="0"/>
                <w:sz w:val="24"/>
              </w:rPr>
            </w:pPr>
            <w:r>
              <w:rPr>
                <w:rFonts w:hint="eastAsia" w:ascii="Times New Roman" w:hAnsi="Times New Roman" w:eastAsia="宋体" w:cs="宋体"/>
                <w:kern w:val="0"/>
                <w:sz w:val="24"/>
              </w:rPr>
              <w:t>③</w:t>
            </w:r>
            <w:r>
              <w:rPr>
                <w:rFonts w:hint="default" w:ascii="Times New Roman" w:hAnsi="Times New Roman" w:eastAsia="宋体" w:cs="Times New Roman"/>
                <w:kern w:val="0"/>
                <w:sz w:val="24"/>
              </w:rPr>
              <w:t>禁止在风天进行渣土堆放作业，建材堆放地点相对集中，临时废</w:t>
            </w:r>
            <w:r>
              <w:rPr>
                <w:rFonts w:hint="eastAsia" w:ascii="Times New Roman" w:hAnsi="Times New Roman" w:eastAsia="宋体" w:cs="Times New Roman"/>
                <w:kern w:val="0"/>
                <w:sz w:val="24"/>
              </w:rPr>
              <w:t>建筑垃圾</w:t>
            </w:r>
            <w:r>
              <w:rPr>
                <w:rFonts w:hint="default" w:ascii="Times New Roman" w:hAnsi="Times New Roman" w:eastAsia="宋体" w:cs="Times New Roman"/>
                <w:kern w:val="0"/>
                <w:sz w:val="24"/>
              </w:rPr>
              <w:t>堆场及时清运，并对堆场必须以毡布覆盖，不得有裸土，并且裸露地面进行硬化和绿化，减少建材的露天堆放时间；开挖出的土石方应加强围栏，表面用毡布覆盖，并及时将回填开挖土石方。</w:t>
            </w:r>
          </w:p>
          <w:p w14:paraId="2B49B2EA">
            <w:pPr>
              <w:keepNext w:val="0"/>
              <w:keepLines w:val="0"/>
              <w:suppressLineNumbers w:val="0"/>
              <w:suppressAutoHyphens/>
              <w:spacing w:before="0" w:beforeAutospacing="0" w:after="0" w:afterAutospacing="0" w:line="360" w:lineRule="auto"/>
              <w:ind w:left="0" w:right="0" w:firstLine="480" w:firstLineChars="200"/>
              <w:rPr>
                <w:rFonts w:hint="default" w:ascii="Times New Roman" w:hAnsi="Times New Roman" w:eastAsia="宋体" w:cs="Times New Roman"/>
                <w:kern w:val="0"/>
                <w:sz w:val="24"/>
              </w:rPr>
            </w:pPr>
            <w:r>
              <w:rPr>
                <w:rFonts w:hint="eastAsia" w:ascii="Times New Roman" w:hAnsi="Times New Roman" w:eastAsia="宋体" w:cs="宋体"/>
                <w:kern w:val="0"/>
                <w:sz w:val="24"/>
              </w:rPr>
              <w:t>④</w:t>
            </w:r>
            <w:r>
              <w:rPr>
                <w:rFonts w:hint="default" w:ascii="Times New Roman" w:hAnsi="Times New Roman" w:eastAsia="宋体" w:cs="Times New Roman"/>
                <w:kern w:val="0"/>
                <w:sz w:val="24"/>
              </w:rPr>
              <w:t>风速大于3m/s时应停止施工。</w:t>
            </w:r>
          </w:p>
          <w:p w14:paraId="24ED3EEF">
            <w:pPr>
              <w:keepNext w:val="0"/>
              <w:keepLines w:val="0"/>
              <w:suppressLineNumbers w:val="0"/>
              <w:suppressAutoHyphens/>
              <w:spacing w:before="0" w:beforeAutospacing="0" w:after="0" w:afterAutospacing="0" w:line="360" w:lineRule="auto"/>
              <w:ind w:left="0" w:right="0" w:firstLine="480" w:firstLineChars="200"/>
              <w:rPr>
                <w:rFonts w:hint="default" w:ascii="Times New Roman" w:hAnsi="Times New Roman" w:eastAsia="宋体" w:cs="Times New Roman"/>
                <w:kern w:val="0"/>
                <w:sz w:val="24"/>
              </w:rPr>
            </w:pPr>
            <w:r>
              <w:rPr>
                <w:rFonts w:hint="eastAsia" w:ascii="Times New Roman" w:hAnsi="Times New Roman" w:eastAsia="宋体" w:cs="宋体"/>
                <w:kern w:val="0"/>
                <w:sz w:val="24"/>
              </w:rPr>
              <w:t>⑤</w:t>
            </w:r>
            <w:r>
              <w:rPr>
                <w:rFonts w:hint="default" w:ascii="Times New Roman" w:hAnsi="Times New Roman" w:eastAsia="宋体" w:cs="Times New Roman"/>
                <w:kern w:val="0"/>
                <w:sz w:val="24"/>
              </w:rPr>
              <w:t>此外，为进一步减轻扬尘污染，评价要求施工单位应落实湿法作业，打围作业，硬化道路，设置冲洗设施、设备，配齐保洁人员，定时清扫施工现场等措施。同时应落实不准车辆带泥出门，不准运渣车辆超载，不准场地积水，不准现场焚烧废弃物等要求。</w:t>
            </w:r>
          </w:p>
          <w:p w14:paraId="7D2C69B3">
            <w:pPr>
              <w:keepNext w:val="0"/>
              <w:keepLines w:val="0"/>
              <w:suppressLineNumbers w:val="0"/>
              <w:suppressAutoHyphens/>
              <w:spacing w:before="0" w:beforeAutospacing="0" w:after="0" w:afterAutospacing="0" w:line="360" w:lineRule="auto"/>
              <w:ind w:left="0" w:right="0" w:firstLine="480" w:firstLineChars="200"/>
              <w:rPr>
                <w:rFonts w:hint="default" w:ascii="Times New Roman" w:hAnsi="Times New Roman" w:eastAsia="宋体" w:cs="Times New Roman"/>
                <w:kern w:val="0"/>
                <w:sz w:val="24"/>
              </w:rPr>
            </w:pPr>
            <w:r>
              <w:rPr>
                <w:rFonts w:hint="eastAsia" w:ascii="Times New Roman" w:hAnsi="Times New Roman" w:eastAsia="宋体" w:cs="Times New Roman"/>
                <w:kern w:val="0"/>
                <w:sz w:val="24"/>
              </w:rPr>
              <w:t>⑥</w:t>
            </w:r>
            <w:r>
              <w:rPr>
                <w:rFonts w:hint="default" w:ascii="Times New Roman" w:hAnsi="Times New Roman" w:eastAsia="宋体" w:cs="Times New Roman"/>
                <w:kern w:val="0"/>
                <w:sz w:val="24"/>
              </w:rPr>
              <w:t>根据</w:t>
            </w:r>
            <w:r>
              <w:rPr>
                <w:rFonts w:hint="eastAsia" w:ascii="Times New Roman" w:hAnsi="Times New Roman" w:eastAsia="宋体" w:cs="Times New Roman"/>
                <w:kern w:val="0"/>
                <w:sz w:val="24"/>
              </w:rPr>
              <w:t>《</w:t>
            </w:r>
            <w:r>
              <w:rPr>
                <w:rFonts w:hint="default" w:ascii="Times New Roman" w:hAnsi="Times New Roman" w:eastAsia="宋体" w:cs="Times New Roman"/>
                <w:kern w:val="0"/>
                <w:sz w:val="24"/>
                <w:lang w:val="zh-CN"/>
              </w:rPr>
              <w:t>四川省建筑工程扬尘污染防治技术导则（试行）</w:t>
            </w:r>
            <w:r>
              <w:rPr>
                <w:rFonts w:hint="eastAsia" w:ascii="Times New Roman" w:hAnsi="Times New Roman" w:eastAsia="宋体" w:cs="Times New Roman"/>
                <w:kern w:val="0"/>
                <w:sz w:val="24"/>
              </w:rPr>
              <w:t>》</w:t>
            </w:r>
            <w:r>
              <w:rPr>
                <w:rFonts w:hint="eastAsia" w:ascii="Times New Roman" w:hAnsi="Times New Roman" w:eastAsia="宋体" w:cs="Times New Roman"/>
                <w:kern w:val="0"/>
                <w:sz w:val="24"/>
                <w:lang w:val="zh-CN"/>
              </w:rPr>
              <w:t>、《邻水县建筑施工扬尘治理12条措施》及“六必须六不准”、实现六个100%的要求：</w:t>
            </w:r>
          </w:p>
          <w:p w14:paraId="58594412">
            <w:pPr>
              <w:keepNext w:val="0"/>
              <w:keepLines w:val="0"/>
              <w:suppressLineNumbers w:val="0"/>
              <w:suppressAutoHyphens/>
              <w:spacing w:before="0" w:beforeAutospacing="0" w:after="0" w:afterAutospacing="0" w:line="360" w:lineRule="auto"/>
              <w:ind w:left="0" w:right="0"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a．必须湿法作业，必须打围作业，必须硬化道路，必须设置冲洗设施、设备，必须配齐保洁人员，必须定时清扫施工现场。</w:t>
            </w:r>
          </w:p>
          <w:p w14:paraId="5DDA8258">
            <w:pPr>
              <w:keepNext w:val="0"/>
              <w:keepLines w:val="0"/>
              <w:suppressLineNumbers w:val="0"/>
              <w:suppressAutoHyphens/>
              <w:spacing w:before="0" w:beforeAutospacing="0" w:after="0" w:afterAutospacing="0" w:line="360" w:lineRule="auto"/>
              <w:ind w:left="0" w:right="0"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b．不准车辆带泥出门，不准运渣车辆超载，不准高空抛洒建渣，不准现场搅拌混凝土，不准场地积水，不准现场焚烧废弃物。</w:t>
            </w:r>
          </w:p>
          <w:p w14:paraId="06D3638A">
            <w:pPr>
              <w:keepNext w:val="0"/>
              <w:keepLines w:val="0"/>
              <w:suppressLineNumbers w:val="0"/>
              <w:suppressAutoHyphens/>
              <w:spacing w:before="0" w:beforeAutospacing="0" w:after="0" w:afterAutospacing="0" w:line="360" w:lineRule="auto"/>
              <w:ind w:left="0" w:right="0" w:firstLine="480" w:firstLineChars="200"/>
              <w:rPr>
                <w:rFonts w:hint="eastAsia" w:ascii="Times New Roman" w:hAnsi="Times New Roman" w:eastAsia="宋体" w:cs="Times New Roman"/>
                <w:sz w:val="24"/>
              </w:rPr>
            </w:pPr>
            <w:r>
              <w:rPr>
                <w:rFonts w:hint="default" w:ascii="Times New Roman" w:hAnsi="Times New Roman" w:eastAsia="宋体" w:cs="Times New Roman"/>
                <w:kern w:val="0"/>
                <w:sz w:val="24"/>
              </w:rPr>
              <w:t>通过采取上述防治措施，可大大降低施工扬尘产生量，使施工扬尘对周围环境的影响减至最低。</w:t>
            </w:r>
          </w:p>
          <w:p w14:paraId="547BCA07">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sz w:val="24"/>
              </w:rPr>
            </w:pPr>
            <w:r>
              <w:rPr>
                <w:rFonts w:hint="eastAsia" w:ascii="Times New Roman" w:hAnsi="Times New Roman" w:eastAsia="宋体" w:cs="Times New Roman"/>
                <w:sz w:val="24"/>
              </w:rPr>
              <w:t>2、机械废气</w:t>
            </w:r>
          </w:p>
          <w:p w14:paraId="4277F20C">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b/>
                <w:bCs/>
                <w:sz w:val="24"/>
              </w:rPr>
            </w:pPr>
            <w:r>
              <w:rPr>
                <w:rFonts w:hint="default" w:ascii="Times New Roman" w:hAnsi="Times New Roman" w:eastAsia="宋体" w:cs="Times New Roman"/>
                <w:kern w:val="0"/>
                <w:sz w:val="24"/>
              </w:rPr>
              <w:t>施工期间，使用机动车运送原材料、设备和建筑机械设备的运转，均会排放一定量的CO、NOx以及未完全燃烧的THC等，其特点是排放量小，且属间断性无组织排放，由于施工场地开阔，扩散条件良好，因此在采取相应的措施后能够做到达标排放。在施工期内应多加注意施工设备的维护，使其能够正常运行，提高设备</w:t>
            </w:r>
            <w:r>
              <w:rPr>
                <w:rFonts w:hint="eastAsia" w:ascii="Times New Roman" w:hAnsi="Times New Roman" w:eastAsia="宋体" w:cs="Times New Roman"/>
                <w:kern w:val="0"/>
                <w:sz w:val="24"/>
              </w:rPr>
              <w:t>辅料</w:t>
            </w:r>
            <w:r>
              <w:rPr>
                <w:rFonts w:hint="default" w:ascii="Times New Roman" w:hAnsi="Times New Roman" w:eastAsia="宋体" w:cs="Times New Roman"/>
                <w:kern w:val="0"/>
                <w:sz w:val="24"/>
              </w:rPr>
              <w:t>的利用率。</w:t>
            </w:r>
          </w:p>
          <w:p w14:paraId="40561D54">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rPr>
              <w:t>3、装修油漆废气</w:t>
            </w:r>
          </w:p>
          <w:p w14:paraId="5D21AD80">
            <w:pPr>
              <w:keepNext w:val="0"/>
              <w:keepLines w:val="0"/>
              <w:suppressLineNumbers w:val="0"/>
              <w:suppressAutoHyphens/>
              <w:spacing w:before="0" w:beforeAutospacing="0" w:after="0" w:afterAutospacing="0" w:line="360" w:lineRule="auto"/>
              <w:ind w:left="0" w:right="0"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由于油漆废气的排放时间和部位不能十分明确，并且装修阶段的油漆废气排放周期短，且作业量较小。因此，在装修油漆期间，施工单位在采用环保型油漆、加强了室内的通风换气情况下，再加之项目所在场地扩散条件较好，项目装修施工产生的油漆废气可实现达标排放。</w:t>
            </w:r>
          </w:p>
          <w:p w14:paraId="0D8F6C71">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综上所述，本项目施工期的影响是暂时的，在施工结束后，影响区域的各环境要素基本可以得到恢复。施工期对环境的影响较小。</w:t>
            </w:r>
          </w:p>
          <w:p w14:paraId="675B5ACD">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kern w:val="0"/>
                <w:sz w:val="24"/>
              </w:rPr>
            </w:pPr>
          </w:p>
          <w:p w14:paraId="3597E44C">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kern w:val="0"/>
                <w:sz w:val="24"/>
              </w:rPr>
            </w:pPr>
          </w:p>
          <w:p w14:paraId="2DC44FDE">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kern w:val="0"/>
                <w:sz w:val="24"/>
              </w:rPr>
            </w:pPr>
          </w:p>
          <w:p w14:paraId="125514EF">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kern w:val="0"/>
                <w:sz w:val="24"/>
              </w:rPr>
            </w:pPr>
          </w:p>
          <w:p w14:paraId="55A6B5F0">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kern w:val="0"/>
                <w:sz w:val="24"/>
              </w:rPr>
            </w:pPr>
          </w:p>
          <w:p w14:paraId="5EA03511">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kern w:val="0"/>
                <w:sz w:val="24"/>
              </w:rPr>
            </w:pPr>
          </w:p>
          <w:p w14:paraId="26331117">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kern w:val="0"/>
                <w:sz w:val="24"/>
              </w:rPr>
            </w:pPr>
          </w:p>
          <w:p w14:paraId="7A4519EB">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kern w:val="0"/>
                <w:sz w:val="24"/>
              </w:rPr>
            </w:pPr>
          </w:p>
          <w:p w14:paraId="7ACC83FE">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kern w:val="0"/>
                <w:sz w:val="24"/>
              </w:rPr>
            </w:pPr>
          </w:p>
          <w:p w14:paraId="225D0A57">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kern w:val="0"/>
                <w:sz w:val="24"/>
              </w:rPr>
            </w:pPr>
          </w:p>
          <w:p w14:paraId="7D4D7C3F">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kern w:val="0"/>
                <w:sz w:val="24"/>
              </w:rPr>
            </w:pPr>
          </w:p>
          <w:p w14:paraId="1D159F41">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kern w:val="0"/>
                <w:sz w:val="24"/>
              </w:rPr>
            </w:pPr>
          </w:p>
          <w:p w14:paraId="0CE09C01">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kern w:val="0"/>
                <w:sz w:val="24"/>
              </w:rPr>
            </w:pPr>
          </w:p>
          <w:p w14:paraId="29806FB0">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rPr>
            </w:pPr>
          </w:p>
          <w:p w14:paraId="5253CB27">
            <w:pPr>
              <w:pStyle w:val="2"/>
              <w:keepNext w:val="0"/>
              <w:keepLines w:val="0"/>
              <w:suppressLineNumbers w:val="0"/>
              <w:spacing w:before="0" w:beforeAutospacing="0" w:afterAutospacing="0"/>
              <w:ind w:right="0"/>
              <w:rPr>
                <w:rFonts w:hint="default" w:ascii="Times New Roman" w:hAnsi="Times New Roman" w:eastAsia="宋体" w:cs="Times New Roman"/>
              </w:rPr>
            </w:pPr>
          </w:p>
          <w:p w14:paraId="30E8298E">
            <w:pPr>
              <w:keepNext w:val="0"/>
              <w:keepLines w:val="0"/>
              <w:suppressLineNumbers w:val="0"/>
              <w:spacing w:before="0" w:beforeAutospacing="0" w:after="0" w:afterAutospacing="0"/>
              <w:ind w:left="0" w:right="0"/>
              <w:rPr>
                <w:rFonts w:hint="default" w:ascii="Times New Roman" w:hAnsi="Times New Roman" w:eastAsia="宋体" w:cs="Times New Roman"/>
              </w:rPr>
            </w:pPr>
          </w:p>
          <w:p w14:paraId="482DA516">
            <w:pPr>
              <w:pStyle w:val="2"/>
              <w:keepNext w:val="0"/>
              <w:keepLines w:val="0"/>
              <w:suppressLineNumbers w:val="0"/>
              <w:spacing w:before="0" w:beforeAutospacing="0" w:afterAutospacing="0"/>
              <w:ind w:right="0"/>
              <w:rPr>
                <w:rFonts w:hint="default" w:ascii="Times New Roman" w:hAnsi="Times New Roman" w:eastAsia="宋体" w:cs="Times New Roman"/>
              </w:rPr>
            </w:pPr>
          </w:p>
          <w:p w14:paraId="15D0B38E">
            <w:pPr>
              <w:keepNext w:val="0"/>
              <w:keepLines w:val="0"/>
              <w:suppressLineNumbers w:val="0"/>
              <w:spacing w:before="0" w:beforeAutospacing="0" w:after="0" w:afterAutospacing="0"/>
              <w:ind w:left="0" w:right="0"/>
              <w:rPr>
                <w:rFonts w:hint="default" w:ascii="Times New Roman" w:hAnsi="Times New Roman" w:eastAsia="宋体" w:cs="Times New Roman"/>
              </w:rPr>
            </w:pPr>
          </w:p>
          <w:p w14:paraId="68A85E16">
            <w:pPr>
              <w:pStyle w:val="2"/>
              <w:keepNext w:val="0"/>
              <w:keepLines w:val="0"/>
              <w:suppressLineNumbers w:val="0"/>
              <w:spacing w:before="0" w:beforeAutospacing="0" w:afterAutospacing="0"/>
              <w:ind w:right="0"/>
              <w:rPr>
                <w:rFonts w:hint="default" w:ascii="Times New Roman" w:hAnsi="Times New Roman" w:eastAsia="宋体" w:cs="Times New Roman"/>
              </w:rPr>
            </w:pPr>
          </w:p>
          <w:p w14:paraId="557C0E41">
            <w:pPr>
              <w:keepNext w:val="0"/>
              <w:keepLines w:val="0"/>
              <w:suppressLineNumbers w:val="0"/>
              <w:spacing w:before="0" w:beforeAutospacing="0" w:after="0" w:afterAutospacing="0"/>
              <w:ind w:left="0" w:right="0"/>
              <w:rPr>
                <w:rFonts w:hint="default" w:ascii="Times New Roman" w:hAnsi="Times New Roman" w:eastAsia="宋体" w:cs="Times New Roman"/>
              </w:rPr>
            </w:pPr>
          </w:p>
          <w:p w14:paraId="76B00366">
            <w:pPr>
              <w:pStyle w:val="2"/>
              <w:keepNext w:val="0"/>
              <w:keepLines w:val="0"/>
              <w:suppressLineNumbers w:val="0"/>
              <w:spacing w:before="0" w:beforeAutospacing="0" w:afterAutospacing="0"/>
              <w:ind w:right="0"/>
              <w:rPr>
                <w:rFonts w:hint="default" w:ascii="Times New Roman" w:hAnsi="Times New Roman" w:eastAsia="宋体" w:cs="Times New Roman"/>
              </w:rPr>
            </w:pPr>
          </w:p>
          <w:p w14:paraId="784A05BB">
            <w:pPr>
              <w:keepNext w:val="0"/>
              <w:keepLines w:val="0"/>
              <w:suppressLineNumbers w:val="0"/>
              <w:spacing w:before="0" w:beforeAutospacing="0" w:after="0" w:afterAutospacing="0"/>
              <w:ind w:left="0" w:right="0"/>
              <w:rPr>
                <w:rFonts w:hint="default" w:ascii="Times New Roman" w:hAnsi="Times New Roman" w:eastAsia="宋体" w:cs="Times New Roman"/>
              </w:rPr>
            </w:pPr>
          </w:p>
          <w:p w14:paraId="53ABB74A">
            <w:pPr>
              <w:pStyle w:val="2"/>
              <w:keepNext w:val="0"/>
              <w:keepLines w:val="0"/>
              <w:suppressLineNumbers w:val="0"/>
              <w:spacing w:before="0" w:beforeAutospacing="0" w:afterAutospacing="0"/>
              <w:ind w:right="0"/>
              <w:rPr>
                <w:rFonts w:hint="default"/>
              </w:rPr>
            </w:pPr>
          </w:p>
        </w:tc>
      </w:tr>
      <w:tr w14:paraId="2CC7C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13066" w:hRule="atLeast"/>
          <w:jc w:val="center"/>
        </w:trPr>
        <w:tc>
          <w:tcPr>
            <w:tcW w:w="753" w:type="dxa"/>
            <w:gridSpan w:val="2"/>
            <w:noWrap w:val="0"/>
            <w:vAlign w:val="center"/>
          </w:tcPr>
          <w:p w14:paraId="659880E5">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4"/>
              </w:rPr>
            </w:pPr>
            <w:r>
              <w:rPr>
                <w:rFonts w:hint="eastAsia" w:ascii="Times New Roman" w:hAnsi="Times New Roman" w:eastAsia="宋体" w:cs="Times New Roman"/>
                <w:sz w:val="24"/>
              </w:rPr>
              <w:t>运营</w:t>
            </w:r>
          </w:p>
          <w:p w14:paraId="7B140D7F">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4"/>
              </w:rPr>
            </w:pPr>
            <w:r>
              <w:rPr>
                <w:rFonts w:hint="eastAsia" w:ascii="Times New Roman" w:hAnsi="Times New Roman" w:eastAsia="宋体" w:cs="Times New Roman"/>
                <w:sz w:val="24"/>
              </w:rPr>
              <w:t>期环</w:t>
            </w:r>
          </w:p>
          <w:p w14:paraId="3DC050C4">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4"/>
              </w:rPr>
            </w:pPr>
            <w:r>
              <w:rPr>
                <w:rFonts w:hint="eastAsia" w:ascii="Times New Roman" w:hAnsi="Times New Roman" w:eastAsia="宋体" w:cs="Times New Roman"/>
                <w:sz w:val="24"/>
              </w:rPr>
              <w:t>境影</w:t>
            </w:r>
          </w:p>
          <w:p w14:paraId="67F9BAA8">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4"/>
              </w:rPr>
            </w:pPr>
            <w:r>
              <w:rPr>
                <w:rFonts w:hint="eastAsia" w:ascii="Times New Roman" w:hAnsi="Times New Roman" w:eastAsia="宋体" w:cs="Times New Roman"/>
                <w:sz w:val="24"/>
              </w:rPr>
              <w:t>响和</w:t>
            </w:r>
          </w:p>
          <w:p w14:paraId="2CF2A688">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4"/>
              </w:rPr>
            </w:pPr>
            <w:r>
              <w:rPr>
                <w:rFonts w:hint="eastAsia" w:ascii="Times New Roman" w:hAnsi="Times New Roman" w:eastAsia="宋体" w:cs="Times New Roman"/>
                <w:sz w:val="24"/>
              </w:rPr>
              <w:t>保护</w:t>
            </w:r>
          </w:p>
          <w:p w14:paraId="33C144F3">
            <w:pPr>
              <w:keepNext w:val="0"/>
              <w:keepLines w:val="0"/>
              <w:suppressLineNumbers w:val="0"/>
              <w:spacing w:before="0" w:beforeAutospacing="0" w:after="0" w:afterAutospacing="0"/>
              <w:ind w:left="0" w:right="0"/>
              <w:jc w:val="center"/>
              <w:rPr>
                <w:rFonts w:hint="eastAsia" w:ascii="Times New Roman" w:hAnsi="Times New Roman" w:eastAsia="宋体" w:cs="Times New Roman"/>
              </w:rPr>
            </w:pPr>
            <w:r>
              <w:rPr>
                <w:rFonts w:hint="eastAsia" w:ascii="Times New Roman" w:hAnsi="Times New Roman" w:eastAsia="宋体" w:cs="Times New Roman"/>
                <w:sz w:val="24"/>
              </w:rPr>
              <w:t>措施</w:t>
            </w:r>
          </w:p>
        </w:tc>
        <w:tc>
          <w:tcPr>
            <w:tcW w:w="8223" w:type="dxa"/>
            <w:gridSpan w:val="2"/>
            <w:noWrap w:val="0"/>
            <w:vAlign w:val="top"/>
          </w:tcPr>
          <w:p w14:paraId="60046C8E">
            <w:pPr>
              <w:pStyle w:val="48"/>
              <w:keepNext w:val="0"/>
              <w:keepLines w:val="0"/>
              <w:suppressLineNumbers w:val="0"/>
              <w:spacing w:before="0" w:beforeAutospacing="0" w:after="0" w:afterAutospacing="0" w:line="360" w:lineRule="auto"/>
              <w:ind w:left="0" w:right="0" w:firstLine="0"/>
              <w:rPr>
                <w:rFonts w:hint="eastAsia" w:ascii="Times New Roman" w:hAnsi="Times New Roman" w:eastAsia="宋体" w:cs="Times New Roman"/>
                <w:b/>
                <w:bCs/>
                <w:spacing w:val="0"/>
                <w:sz w:val="24"/>
                <w:szCs w:val="20"/>
              </w:rPr>
            </w:pPr>
            <w:r>
              <w:rPr>
                <w:rFonts w:hint="eastAsia" w:ascii="Times New Roman" w:hAnsi="Times New Roman" w:eastAsia="宋体" w:cs="Times New Roman"/>
                <w:b/>
                <w:bCs/>
                <w:spacing w:val="0"/>
                <w:sz w:val="24"/>
                <w:szCs w:val="20"/>
              </w:rPr>
              <w:t>一、废气</w:t>
            </w:r>
          </w:p>
          <w:p w14:paraId="67E6AC88">
            <w:pPr>
              <w:pStyle w:val="9"/>
              <w:keepNext/>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 w:val="0"/>
                <w:color w:val="0000FF"/>
                <w:sz w:val="24"/>
              </w:rPr>
            </w:pPr>
            <w:r>
              <w:rPr>
                <w:rFonts w:hint="eastAsia" w:ascii="Times New Roman" w:hAnsi="Times New Roman" w:eastAsia="宋体" w:cs="Times New Roman"/>
                <w:b w:val="0"/>
                <w:sz w:val="24"/>
              </w:rPr>
              <w:t>根据业主提供的设计资料，结合项目实际情况，本项目运营期</w:t>
            </w:r>
            <w:r>
              <w:rPr>
                <w:rFonts w:hint="default" w:ascii="Times New Roman" w:hAnsi="Times New Roman" w:eastAsia="宋体" w:cs="Times New Roman"/>
                <w:b w:val="0"/>
                <w:sz w:val="24"/>
              </w:rPr>
              <w:t>大气污染物主要为</w:t>
            </w:r>
            <w:r>
              <w:rPr>
                <w:rFonts w:hint="eastAsia" w:ascii="Times New Roman" w:hAnsi="Times New Roman" w:cs="Times New Roman"/>
                <w:b w:val="0"/>
                <w:sz w:val="24"/>
                <w:lang w:val="en-US" w:eastAsia="zh-CN"/>
              </w:rPr>
              <w:t>卸料粉尘、堆存粉尘、进料粉尘、破碎粉尘、装载粉尘和车辆运输</w:t>
            </w:r>
            <w:r>
              <w:rPr>
                <w:rFonts w:hint="default" w:ascii="Times New Roman" w:hAnsi="Times New Roman" w:cs="Times New Roman"/>
                <w:b w:val="0"/>
                <w:sz w:val="24"/>
                <w:lang w:val="en-US" w:eastAsia="zh-CN"/>
              </w:rPr>
              <w:t>扬尘</w:t>
            </w:r>
            <w:r>
              <w:rPr>
                <w:rFonts w:hint="default" w:ascii="Times New Roman" w:hAnsi="Times New Roman" w:eastAsia="宋体" w:cs="Times New Roman"/>
                <w:b w:val="0"/>
                <w:sz w:val="24"/>
              </w:rPr>
              <w:t>。</w:t>
            </w:r>
          </w:p>
          <w:p w14:paraId="42D6A76D">
            <w:pPr>
              <w:keepNext w:val="0"/>
              <w:keepLines w:val="0"/>
              <w:suppressLineNumbers w:val="0"/>
              <w:spacing w:before="0" w:beforeAutospacing="0" w:after="0" w:afterAutospacing="0" w:line="360" w:lineRule="auto"/>
              <w:ind w:left="0" w:right="0" w:firstLine="482" w:firstLineChars="200"/>
              <w:rPr>
                <w:rFonts w:hint="eastAsia" w:cs="Times New Roman"/>
                <w:b/>
                <w:sz w:val="24"/>
                <w:lang w:eastAsia="zh-CN"/>
              </w:rPr>
            </w:pPr>
            <w:r>
              <w:rPr>
                <w:rFonts w:hint="eastAsia" w:cs="Times New Roman"/>
                <w:b/>
                <w:sz w:val="24"/>
                <w:lang w:val="en-US" w:eastAsia="zh-CN"/>
              </w:rPr>
              <w:t>1、</w:t>
            </w:r>
            <w:r>
              <w:rPr>
                <w:rFonts w:hint="eastAsia" w:ascii="Times New Roman" w:hAnsi="Times New Roman" w:eastAsia="宋体" w:cs="Times New Roman"/>
                <w:b/>
                <w:sz w:val="24"/>
              </w:rPr>
              <w:t>产排污环节及源强核算过程</w:t>
            </w:r>
          </w:p>
          <w:p w14:paraId="6EB8D533">
            <w:pPr>
              <w:keepNext w:val="0"/>
              <w:keepLines w:val="0"/>
              <w:suppressLineNumbers w:val="0"/>
              <w:spacing w:before="0" w:beforeAutospacing="0" w:after="0" w:afterAutospacing="0" w:line="360" w:lineRule="auto"/>
              <w:ind w:left="0" w:right="0" w:firstLine="482" w:firstLineChars="200"/>
              <w:rPr>
                <w:rFonts w:hint="default" w:cs="Times New Roman"/>
                <w:b/>
                <w:sz w:val="24"/>
                <w:lang w:val="en-US" w:eastAsia="zh-CN"/>
              </w:rPr>
            </w:pPr>
            <w:r>
              <w:rPr>
                <w:rFonts w:hint="eastAsia" w:cs="Times New Roman"/>
                <w:b/>
                <w:sz w:val="24"/>
                <w:lang w:eastAsia="zh-CN"/>
              </w:rPr>
              <w:t>（</w:t>
            </w:r>
            <w:r>
              <w:rPr>
                <w:rFonts w:hint="eastAsia" w:cs="Times New Roman"/>
                <w:b/>
                <w:sz w:val="24"/>
                <w:lang w:val="en-US" w:eastAsia="zh-CN"/>
              </w:rPr>
              <w:t>1</w:t>
            </w:r>
            <w:r>
              <w:rPr>
                <w:rFonts w:hint="eastAsia" w:cs="Times New Roman"/>
                <w:b/>
                <w:sz w:val="24"/>
                <w:lang w:eastAsia="zh-CN"/>
              </w:rPr>
              <w:t>）</w:t>
            </w:r>
            <w:r>
              <w:rPr>
                <w:rFonts w:hint="eastAsia" w:cs="Times New Roman"/>
                <w:b/>
                <w:sz w:val="24"/>
                <w:lang w:val="en-US" w:eastAsia="zh-CN"/>
              </w:rPr>
              <w:t>装卸粉尘</w:t>
            </w:r>
          </w:p>
          <w:p w14:paraId="51F5DCC9">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bidi="ar-SA"/>
              </w:rPr>
              <w:t>本项目外购的鹅卵石和建筑废料经货运车辆运输至项目原料堆场进行卸料暂存</w:t>
            </w:r>
            <w:r>
              <w:rPr>
                <w:rFonts w:hint="eastAsia" w:cs="Times New Roman"/>
                <w:kern w:val="0"/>
                <w:sz w:val="24"/>
                <w:szCs w:val="24"/>
                <w:lang w:val="en-US" w:eastAsia="zh-CN" w:bidi="ar-SA"/>
              </w:rPr>
              <w:t>；成品由铲车铲入货运车辆进行外运。装卸过程产生的粉尘采用交通部水运研究所和武汉理工大学（原武汉水运工程学院）提出的经验公式计算：</w:t>
            </w:r>
          </w:p>
          <w:p w14:paraId="332EAF53">
            <w:pPr>
              <w:keepNext w:val="0"/>
              <w:keepLines w:val="0"/>
              <w:widowControl/>
              <w:suppressLineNumbers w:val="0"/>
              <w:spacing w:before="0" w:beforeAutospacing="0" w:after="0" w:afterAutospacing="0"/>
              <w:ind w:left="0" w:leftChars="0" w:right="0" w:rightChars="0" w:firstLine="0" w:firstLineChars="0"/>
              <w:jc w:val="center"/>
              <w:rPr>
                <w:rFonts w:hint="default"/>
                <w:i w:val="0"/>
                <w:iCs w:val="0"/>
                <w:sz w:val="24"/>
                <w:szCs w:val="24"/>
                <w:lang w:val="en-US"/>
              </w:rPr>
            </w:pPr>
            <w:r>
              <w:rPr>
                <w:rFonts w:hint="default" w:ascii="Times New Roman" w:hAnsi="Times New Roman" w:eastAsia="宋体" w:cs="Times New Roman"/>
                <w:i w:val="0"/>
                <w:iCs w:val="0"/>
                <w:color w:val="000000"/>
                <w:kern w:val="0"/>
                <w:sz w:val="24"/>
                <w:szCs w:val="24"/>
                <w:lang w:val="en-US" w:eastAsia="zh-CN" w:bidi="ar"/>
              </w:rPr>
              <w:t>Q</w:t>
            </w:r>
            <w:r>
              <w:rPr>
                <w:rFonts w:hint="default" w:ascii="Symbol" w:hAnsi="Symbol" w:eastAsia="宋体" w:cs="Symbol"/>
                <w:i w:val="0"/>
                <w:iCs w:val="0"/>
                <w:color w:val="000000"/>
                <w:kern w:val="0"/>
                <w:sz w:val="24"/>
                <w:szCs w:val="24"/>
                <w:lang w:val="en-US" w:eastAsia="zh-CN" w:bidi="ar"/>
              </w:rPr>
              <w:t xml:space="preserve"> </w:t>
            </w:r>
            <w:r>
              <w:rPr>
                <w:rFonts w:hint="default" w:ascii="Times New Roman" w:hAnsi="Times New Roman" w:eastAsia="宋体" w:cs="Times New Roman"/>
                <w:i w:val="0"/>
                <w:iCs w:val="0"/>
                <w:color w:val="000000"/>
                <w:kern w:val="0"/>
                <w:sz w:val="24"/>
                <w:szCs w:val="24"/>
                <w:lang w:val="en-US" w:eastAsia="zh-CN" w:bidi="ar"/>
              </w:rPr>
              <w:t>0.03V</w:t>
            </w:r>
            <w:r>
              <w:rPr>
                <w:rFonts w:hint="eastAsia" w:ascii="Times New Roman" w:hAnsi="Times New Roman" w:eastAsia="宋体" w:cs="Times New Roman"/>
                <w:i w:val="0"/>
                <w:iCs w:val="0"/>
                <w:color w:val="000000"/>
                <w:kern w:val="0"/>
                <w:sz w:val="24"/>
                <w:szCs w:val="24"/>
                <w:vertAlign w:val="superscript"/>
                <w:lang w:val="en-US" w:eastAsia="zh-CN" w:bidi="ar"/>
              </w:rPr>
              <w:t>1.6</w:t>
            </w:r>
            <w:r>
              <w:rPr>
                <w:rFonts w:hint="default" w:ascii="Times New Roman" w:hAnsi="Times New Roman" w:eastAsia="宋体" w:cs="Times New Roman"/>
                <w:i w:val="0"/>
                <w:iCs w:val="0"/>
                <w:color w:val="000000"/>
                <w:kern w:val="0"/>
                <w:sz w:val="24"/>
                <w:szCs w:val="24"/>
                <w:lang w:val="en-US" w:eastAsia="zh-CN" w:bidi="ar"/>
              </w:rPr>
              <w:t>H</w:t>
            </w:r>
            <w:r>
              <w:rPr>
                <w:rFonts w:hint="eastAsia" w:ascii="Times New Roman" w:hAnsi="Times New Roman" w:eastAsia="宋体" w:cs="Times New Roman"/>
                <w:i w:val="0"/>
                <w:iCs w:val="0"/>
                <w:color w:val="000000"/>
                <w:kern w:val="0"/>
                <w:sz w:val="24"/>
                <w:szCs w:val="24"/>
                <w:vertAlign w:val="superscript"/>
                <w:lang w:val="en-US" w:eastAsia="zh-CN" w:bidi="ar"/>
              </w:rPr>
              <w:t>1.23</w:t>
            </w:r>
            <w:r>
              <w:rPr>
                <w:rFonts w:hint="default" w:ascii="Symbol" w:hAnsi="Symbol" w:eastAsia="宋体" w:cs="Symbol"/>
                <w:i w:val="0"/>
                <w:iCs w:val="0"/>
                <w:color w:val="000000"/>
                <w:kern w:val="0"/>
                <w:sz w:val="24"/>
                <w:szCs w:val="24"/>
                <w:lang w:val="en-US" w:eastAsia="zh-CN" w:bidi="ar"/>
              </w:rPr>
              <w:t xml:space="preserve"> </w:t>
            </w:r>
            <w:r>
              <w:rPr>
                <w:rFonts w:hint="default" w:ascii="Times New Roman" w:hAnsi="Times New Roman" w:eastAsia="宋体" w:cs="Times New Roman"/>
                <w:i w:val="0"/>
                <w:iCs w:val="0"/>
                <w:color w:val="000000"/>
                <w:kern w:val="0"/>
                <w:sz w:val="24"/>
                <w:szCs w:val="24"/>
                <w:lang w:val="en-US" w:eastAsia="zh-CN" w:bidi="ar"/>
              </w:rPr>
              <w:t>e</w:t>
            </w:r>
            <w:r>
              <w:rPr>
                <w:rFonts w:hint="eastAsia" w:ascii="Times New Roman" w:hAnsi="Times New Roman" w:eastAsia="宋体" w:cs="Times New Roman"/>
                <w:i w:val="0"/>
                <w:iCs w:val="0"/>
                <w:color w:val="000000"/>
                <w:kern w:val="0"/>
                <w:sz w:val="24"/>
                <w:szCs w:val="24"/>
                <w:vertAlign w:val="superscript"/>
                <w:lang w:val="en-US" w:eastAsia="zh-CN" w:bidi="ar"/>
              </w:rPr>
              <w:t>-0.28w</w:t>
            </w:r>
            <w:r>
              <w:rPr>
                <w:rFonts w:hint="default" w:ascii="Symbol" w:hAnsi="Symbol" w:eastAsia="宋体" w:cs="Symbol"/>
                <w:i w:val="0"/>
                <w:iCs w:val="0"/>
                <w:color w:val="000000"/>
                <w:kern w:val="0"/>
                <w:sz w:val="24"/>
                <w:szCs w:val="24"/>
                <w:lang w:val="en-US" w:eastAsia="zh-CN" w:bidi="ar"/>
              </w:rPr>
              <w:t></w:t>
            </w:r>
            <w:r>
              <w:rPr>
                <w:rFonts w:hint="default" w:ascii="Times New Roman" w:hAnsi="Times New Roman" w:eastAsia="宋体" w:cs="Times New Roman"/>
                <w:i w:val="0"/>
                <w:iCs w:val="0"/>
                <w:color w:val="000000"/>
                <w:kern w:val="0"/>
                <w:sz w:val="24"/>
                <w:szCs w:val="24"/>
                <w:lang w:val="en-US" w:eastAsia="zh-CN" w:bidi="ar"/>
              </w:rPr>
              <w:t>G</w:t>
            </w:r>
            <w:r>
              <w:rPr>
                <w:rFonts w:hint="eastAsia" w:ascii="Times New Roman" w:hAnsi="Times New Roman" w:eastAsia="宋体" w:cs="Times New Roman"/>
                <w:i w:val="0"/>
                <w:iCs w:val="0"/>
                <w:color w:val="000000"/>
                <w:kern w:val="0"/>
                <w:sz w:val="24"/>
                <w:szCs w:val="24"/>
                <w:lang w:val="en-US" w:eastAsia="zh-CN" w:bidi="ar"/>
              </w:rPr>
              <w:t xml:space="preserve">      （1）</w:t>
            </w:r>
          </w:p>
          <w:p w14:paraId="2536A2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sz w:val="21"/>
                <w:szCs w:val="21"/>
              </w:rPr>
            </w:pPr>
            <w:r>
              <w:rPr>
                <w:rFonts w:hint="eastAsia" w:ascii="宋体" w:hAnsi="宋体" w:eastAsia="宋体" w:cs="宋体"/>
                <w:color w:val="000000"/>
                <w:kern w:val="0"/>
                <w:sz w:val="21"/>
                <w:szCs w:val="21"/>
                <w:lang w:val="en-US" w:eastAsia="zh-CN" w:bidi="ar"/>
              </w:rPr>
              <w:t>式中：</w:t>
            </w:r>
            <w:r>
              <w:rPr>
                <w:rFonts w:hint="default" w:ascii="Times New Roman" w:hAnsi="Times New Roman" w:eastAsia="宋体" w:cs="Times New Roman"/>
                <w:color w:val="000000"/>
                <w:kern w:val="0"/>
                <w:sz w:val="21"/>
                <w:szCs w:val="21"/>
                <w:lang w:val="en-US" w:eastAsia="zh-CN" w:bidi="ar"/>
              </w:rPr>
              <w:t>Q—</w:t>
            </w:r>
            <w:r>
              <w:rPr>
                <w:rFonts w:hint="eastAsia" w:ascii="宋体" w:hAnsi="宋体" w:eastAsia="宋体" w:cs="宋体"/>
                <w:color w:val="000000"/>
                <w:kern w:val="0"/>
                <w:sz w:val="21"/>
                <w:szCs w:val="21"/>
                <w:lang w:val="en-US" w:eastAsia="zh-CN" w:bidi="ar"/>
              </w:rPr>
              <w:t>起尘量，</w:t>
            </w:r>
            <w:r>
              <w:rPr>
                <w:rFonts w:hint="default" w:ascii="Times New Roman" w:hAnsi="Times New Roman" w:eastAsia="宋体" w:cs="Times New Roman"/>
                <w:color w:val="000000"/>
                <w:kern w:val="0"/>
                <w:sz w:val="21"/>
                <w:szCs w:val="21"/>
                <w:lang w:val="en-US" w:eastAsia="zh-CN" w:bidi="ar"/>
              </w:rPr>
              <w:t>kg/a</w:t>
            </w:r>
            <w:r>
              <w:rPr>
                <w:rFonts w:hint="eastAsia" w:ascii="宋体" w:hAnsi="宋体" w:eastAsia="宋体" w:cs="宋体"/>
                <w:color w:val="000000"/>
                <w:kern w:val="0"/>
                <w:sz w:val="21"/>
                <w:szCs w:val="21"/>
                <w:lang w:val="en-US" w:eastAsia="zh-CN" w:bidi="ar"/>
              </w:rPr>
              <w:t>；</w:t>
            </w:r>
          </w:p>
          <w:p w14:paraId="260A14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sz w:val="21"/>
                <w:szCs w:val="21"/>
              </w:rPr>
            </w:pPr>
            <w:r>
              <w:rPr>
                <w:rFonts w:hint="default" w:ascii="Times New Roman" w:hAnsi="Times New Roman" w:eastAsia="宋体" w:cs="Times New Roman"/>
                <w:color w:val="000000"/>
                <w:kern w:val="0"/>
                <w:sz w:val="21"/>
                <w:szCs w:val="21"/>
                <w:lang w:val="en-US" w:eastAsia="zh-CN" w:bidi="ar"/>
              </w:rPr>
              <w:t>H—</w:t>
            </w:r>
            <w:r>
              <w:rPr>
                <w:rFonts w:hint="eastAsia" w:ascii="宋体" w:hAnsi="宋体" w:eastAsia="宋体" w:cs="宋体"/>
                <w:color w:val="000000"/>
                <w:kern w:val="0"/>
                <w:sz w:val="21"/>
                <w:szCs w:val="21"/>
                <w:lang w:val="en-US" w:eastAsia="zh-CN" w:bidi="ar"/>
              </w:rPr>
              <w:t>物料装卸平均高度，根据项目运行情况</w:t>
            </w:r>
            <w:r>
              <w:rPr>
                <w:rFonts w:hint="eastAsia" w:ascii="宋体" w:hAnsi="宋体" w:cs="宋体"/>
                <w:color w:val="000000"/>
                <w:kern w:val="0"/>
                <w:sz w:val="21"/>
                <w:szCs w:val="21"/>
                <w:lang w:val="en-US" w:eastAsia="zh-CN" w:bidi="ar"/>
              </w:rPr>
              <w:t>，原料卸料过程</w:t>
            </w:r>
            <w:r>
              <w:rPr>
                <w:rFonts w:hint="eastAsia" w:ascii="宋体" w:hAnsi="宋体" w:eastAsia="宋体" w:cs="宋体"/>
                <w:color w:val="000000"/>
                <w:kern w:val="0"/>
                <w:sz w:val="21"/>
                <w:szCs w:val="21"/>
                <w:lang w:val="en-US" w:eastAsia="zh-CN" w:bidi="ar"/>
              </w:rPr>
              <w:t>平均取值约2m</w:t>
            </w:r>
            <w:r>
              <w:rPr>
                <w:rFonts w:hint="eastAsia" w:ascii="宋体" w:hAnsi="宋体" w:cs="宋体"/>
                <w:color w:val="000000"/>
                <w:kern w:val="0"/>
                <w:sz w:val="21"/>
                <w:szCs w:val="21"/>
                <w:lang w:val="en-US" w:eastAsia="zh-CN" w:bidi="ar"/>
              </w:rPr>
              <w:t>，成品装载过程</w:t>
            </w:r>
            <w:r>
              <w:rPr>
                <w:rFonts w:hint="eastAsia" w:ascii="宋体" w:hAnsi="宋体" w:eastAsia="宋体" w:cs="宋体"/>
                <w:color w:val="000000"/>
                <w:kern w:val="0"/>
                <w:sz w:val="21"/>
                <w:szCs w:val="21"/>
                <w:lang w:val="en-US" w:eastAsia="zh-CN" w:bidi="ar"/>
              </w:rPr>
              <w:t>平均取值约</w:t>
            </w:r>
            <w:r>
              <w:rPr>
                <w:rFonts w:hint="eastAsia" w:ascii="宋体" w:hAnsi="宋体" w:cs="宋体"/>
                <w:color w:val="000000"/>
                <w:kern w:val="0"/>
                <w:sz w:val="21"/>
                <w:szCs w:val="21"/>
                <w:lang w:val="en-US" w:eastAsia="zh-CN" w:bidi="ar"/>
              </w:rPr>
              <w:t>0.8</w:t>
            </w:r>
            <w:r>
              <w:rPr>
                <w:rFonts w:hint="eastAsia" w:ascii="宋体" w:hAnsi="宋体" w:eastAsia="宋体" w:cs="宋体"/>
                <w:color w:val="000000"/>
                <w:kern w:val="0"/>
                <w:sz w:val="21"/>
                <w:szCs w:val="21"/>
                <w:lang w:val="en-US" w:eastAsia="zh-CN" w:bidi="ar"/>
              </w:rPr>
              <w:t>m；</w:t>
            </w:r>
          </w:p>
          <w:p w14:paraId="71B415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sz w:val="21"/>
                <w:szCs w:val="21"/>
              </w:rPr>
            </w:pPr>
            <w:r>
              <w:rPr>
                <w:rFonts w:hint="default" w:ascii="Times New Roman" w:hAnsi="Times New Roman" w:eastAsia="宋体" w:cs="Times New Roman"/>
                <w:color w:val="000000"/>
                <w:kern w:val="0"/>
                <w:sz w:val="21"/>
                <w:szCs w:val="21"/>
                <w:lang w:val="en-US" w:eastAsia="zh-CN" w:bidi="ar"/>
              </w:rPr>
              <w:t>G—</w:t>
            </w:r>
            <w:r>
              <w:rPr>
                <w:rFonts w:hint="eastAsia" w:ascii="宋体" w:hAnsi="宋体" w:eastAsia="宋体" w:cs="宋体"/>
                <w:color w:val="000000"/>
                <w:kern w:val="0"/>
                <w:sz w:val="21"/>
                <w:szCs w:val="21"/>
                <w:lang w:val="en-US" w:eastAsia="zh-CN" w:bidi="ar"/>
              </w:rPr>
              <w:t>年装卸物料量，</w:t>
            </w:r>
            <w:r>
              <w:rPr>
                <w:rFonts w:hint="default" w:ascii="Times New Roman" w:hAnsi="Times New Roman" w:eastAsia="宋体" w:cs="Times New Roman"/>
                <w:color w:val="000000"/>
                <w:kern w:val="0"/>
                <w:sz w:val="21"/>
                <w:szCs w:val="21"/>
                <w:lang w:val="en-US" w:eastAsia="zh-CN" w:bidi="ar"/>
              </w:rPr>
              <w:t>t</w:t>
            </w:r>
            <w:r>
              <w:rPr>
                <w:rFonts w:hint="eastAsia" w:ascii="宋体" w:hAnsi="宋体" w:eastAsia="宋体" w:cs="宋体"/>
                <w:color w:val="000000"/>
                <w:kern w:val="0"/>
                <w:sz w:val="21"/>
                <w:szCs w:val="21"/>
                <w:lang w:val="en-US" w:eastAsia="zh-CN" w:bidi="ar"/>
              </w:rPr>
              <w:t>；</w:t>
            </w:r>
          </w:p>
          <w:p w14:paraId="0C20F2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sz w:val="21"/>
                <w:szCs w:val="21"/>
              </w:rPr>
            </w:pPr>
            <w:r>
              <w:rPr>
                <w:rFonts w:hint="default" w:ascii="Times New Roman" w:hAnsi="Times New Roman" w:eastAsia="宋体" w:cs="Times New Roman"/>
                <w:color w:val="000000"/>
                <w:kern w:val="0"/>
                <w:sz w:val="21"/>
                <w:szCs w:val="21"/>
                <w:lang w:val="en-US" w:eastAsia="zh-CN" w:bidi="ar"/>
              </w:rPr>
              <w:t>V—</w:t>
            </w:r>
            <w:r>
              <w:rPr>
                <w:rFonts w:hint="eastAsia" w:ascii="宋体" w:hAnsi="宋体" w:eastAsia="宋体" w:cs="宋体"/>
                <w:color w:val="000000"/>
                <w:kern w:val="0"/>
                <w:sz w:val="21"/>
                <w:szCs w:val="21"/>
                <w:lang w:val="en-US" w:eastAsia="zh-CN" w:bidi="ar"/>
              </w:rPr>
              <w:t>风速，</w:t>
            </w:r>
            <w:r>
              <w:rPr>
                <w:rFonts w:hint="default" w:ascii="Times New Roman" w:hAnsi="Times New Roman" w:eastAsia="宋体" w:cs="Times New Roman"/>
                <w:color w:val="000000"/>
                <w:kern w:val="0"/>
                <w:sz w:val="21"/>
                <w:szCs w:val="21"/>
                <w:lang w:val="en-US" w:eastAsia="zh-CN" w:bidi="ar"/>
              </w:rPr>
              <w:t>m/s</w:t>
            </w:r>
            <w:r>
              <w:rPr>
                <w:rFonts w:hint="eastAsia" w:ascii="宋体" w:hAnsi="宋体" w:eastAsia="宋体" w:cs="宋体"/>
                <w:color w:val="000000"/>
                <w:kern w:val="0"/>
                <w:sz w:val="21"/>
                <w:szCs w:val="21"/>
                <w:lang w:val="en-US" w:eastAsia="zh-CN" w:bidi="ar"/>
              </w:rPr>
              <w:t>，邻水县年平均风速约</w:t>
            </w:r>
            <w:r>
              <w:rPr>
                <w:rFonts w:hint="default" w:ascii="Times New Roman" w:hAnsi="Times New Roman" w:eastAsia="宋体" w:cs="Times New Roman"/>
                <w:color w:val="000000"/>
                <w:kern w:val="0"/>
                <w:sz w:val="21"/>
                <w:szCs w:val="21"/>
                <w:lang w:val="en-US" w:eastAsia="zh-CN" w:bidi="ar"/>
              </w:rPr>
              <w:t>1.</w:t>
            </w:r>
            <w:r>
              <w:rPr>
                <w:rFonts w:hint="eastAsia" w:ascii="Times New Roman" w:hAnsi="Times New Roman" w:eastAsia="宋体" w:cs="Times New Roman"/>
                <w:color w:val="000000"/>
                <w:kern w:val="0"/>
                <w:sz w:val="21"/>
                <w:szCs w:val="21"/>
                <w:lang w:val="en-US" w:eastAsia="zh-CN" w:bidi="ar"/>
              </w:rPr>
              <w:t>1</w:t>
            </w:r>
            <w:r>
              <w:rPr>
                <w:rFonts w:hint="default" w:ascii="Times New Roman" w:hAnsi="Times New Roman" w:eastAsia="宋体" w:cs="Times New Roman"/>
                <w:color w:val="000000"/>
                <w:kern w:val="0"/>
                <w:sz w:val="21"/>
                <w:szCs w:val="21"/>
                <w:lang w:val="en-US" w:eastAsia="zh-CN" w:bidi="ar"/>
              </w:rPr>
              <w:t>m/s</w:t>
            </w:r>
            <w:r>
              <w:rPr>
                <w:rFonts w:hint="eastAsia" w:ascii="Times New Roman" w:hAnsi="Times New Roman" w:eastAsia="宋体" w:cs="Times New Roman"/>
                <w:color w:val="000000"/>
                <w:kern w:val="0"/>
                <w:sz w:val="21"/>
                <w:szCs w:val="21"/>
                <w:lang w:val="en-US" w:eastAsia="zh-CN" w:bidi="ar"/>
              </w:rPr>
              <w:t>，本项目堆场设三面围挡，物料表面风速取值0.5m/s</w:t>
            </w:r>
          </w:p>
          <w:p w14:paraId="307E73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sz w:val="21"/>
                <w:szCs w:val="21"/>
              </w:rPr>
            </w:pPr>
            <w:r>
              <w:rPr>
                <w:rFonts w:hint="default" w:ascii="Times New Roman" w:hAnsi="Times New Roman" w:eastAsia="宋体" w:cs="Times New Roman"/>
                <w:color w:val="000000"/>
                <w:kern w:val="0"/>
                <w:sz w:val="21"/>
                <w:szCs w:val="21"/>
                <w:lang w:val="en-US" w:eastAsia="zh-CN" w:bidi="ar"/>
              </w:rPr>
              <w:t>W—</w:t>
            </w:r>
            <w:r>
              <w:rPr>
                <w:rFonts w:hint="eastAsia" w:ascii="宋体" w:hAnsi="宋体" w:eastAsia="宋体" w:cs="宋体"/>
                <w:color w:val="000000"/>
                <w:kern w:val="0"/>
                <w:sz w:val="21"/>
                <w:szCs w:val="21"/>
                <w:lang w:val="en-US" w:eastAsia="zh-CN" w:bidi="ar"/>
              </w:rPr>
              <w:t>物料含水率，</w:t>
            </w:r>
            <w:r>
              <w:rPr>
                <w:rFonts w:hint="default" w:ascii="Times New Roman" w:hAnsi="Times New Roman" w:eastAsia="宋体" w:cs="Times New Roman"/>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w:t>
            </w:r>
          </w:p>
          <w:p w14:paraId="5DBE2E2D">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bidi="ar-SA"/>
              </w:rPr>
              <w:t>本项目原料经货车卸料至原料堆场，年卸料量</w:t>
            </w:r>
            <w:r>
              <w:rPr>
                <w:rFonts w:hint="eastAsia" w:cs="Times New Roman"/>
                <w:kern w:val="0"/>
                <w:sz w:val="24"/>
                <w:szCs w:val="24"/>
                <w:lang w:val="en-US" w:eastAsia="zh-CN" w:bidi="ar-SA"/>
              </w:rPr>
              <w:t>约28425</w:t>
            </w:r>
            <w:r>
              <w:rPr>
                <w:rFonts w:hint="default" w:ascii="Times New Roman" w:hAnsi="Times New Roman" w:eastAsia="宋体" w:cs="Times New Roman"/>
                <w:kern w:val="0"/>
                <w:sz w:val="24"/>
                <w:szCs w:val="24"/>
                <w:lang w:val="en-US" w:eastAsia="zh-CN" w:bidi="ar-SA"/>
              </w:rPr>
              <w:t>t</w:t>
            </w:r>
            <w:r>
              <w:rPr>
                <w:rFonts w:hint="eastAsia" w:ascii="Times New Roman" w:hAnsi="Times New Roman" w:eastAsia="宋体" w:cs="Times New Roman"/>
                <w:kern w:val="0"/>
                <w:sz w:val="24"/>
                <w:szCs w:val="24"/>
                <w:lang w:val="en-US" w:eastAsia="zh-CN" w:bidi="ar-SA"/>
              </w:rPr>
              <w:t>，卸料时原料含水率</w:t>
            </w:r>
            <w:r>
              <w:rPr>
                <w:rFonts w:hint="eastAsia" w:cs="Times New Roman"/>
                <w:kern w:val="0"/>
                <w:sz w:val="24"/>
                <w:szCs w:val="24"/>
                <w:lang w:val="en-US" w:eastAsia="zh-CN" w:bidi="ar-SA"/>
              </w:rPr>
              <w:t>约</w:t>
            </w:r>
            <w:r>
              <w:rPr>
                <w:rFonts w:hint="eastAsia" w:ascii="Times New Roman" w:hAnsi="Times New Roman" w:eastAsia="宋体" w:cs="Times New Roman"/>
                <w:kern w:val="0"/>
                <w:sz w:val="24"/>
                <w:szCs w:val="24"/>
                <w:lang w:val="en-US" w:eastAsia="zh-CN" w:bidi="ar-SA"/>
              </w:rPr>
              <w:t>为</w:t>
            </w:r>
            <w:r>
              <w:rPr>
                <w:rFonts w:hint="eastAsia" w:cs="Times New Roman"/>
                <w:kern w:val="0"/>
                <w:sz w:val="24"/>
                <w:szCs w:val="24"/>
                <w:lang w:val="en-US" w:eastAsia="zh-CN" w:bidi="ar-SA"/>
              </w:rPr>
              <w:t>2</w:t>
            </w:r>
            <w:r>
              <w:rPr>
                <w:rFonts w:hint="default" w:ascii="Times New Roman" w:hAnsi="Times New Roman" w:eastAsia="宋体" w:cs="Times New Roman"/>
                <w:kern w:val="0"/>
                <w:sz w:val="24"/>
                <w:szCs w:val="24"/>
                <w:lang w:val="en-US" w:eastAsia="zh-CN" w:bidi="ar-SA"/>
              </w:rPr>
              <w:t>%</w:t>
            </w:r>
            <w:r>
              <w:rPr>
                <w:rFonts w:hint="eastAsia" w:ascii="Times New Roman" w:hAnsi="Times New Roman" w:eastAsia="宋体" w:cs="Times New Roman"/>
                <w:kern w:val="0"/>
                <w:sz w:val="24"/>
                <w:szCs w:val="24"/>
                <w:lang w:val="en-US" w:eastAsia="zh-CN" w:bidi="ar-SA"/>
              </w:rPr>
              <w:t>，平均</w:t>
            </w:r>
            <w:r>
              <w:rPr>
                <w:rFonts w:hint="eastAsia" w:cs="Times New Roman"/>
                <w:kern w:val="0"/>
                <w:sz w:val="24"/>
                <w:szCs w:val="24"/>
                <w:lang w:val="en-US" w:eastAsia="zh-CN" w:bidi="ar-SA"/>
              </w:rPr>
              <w:t>装卸</w:t>
            </w:r>
            <w:r>
              <w:rPr>
                <w:rFonts w:hint="eastAsia" w:ascii="Times New Roman" w:hAnsi="Times New Roman" w:eastAsia="宋体" w:cs="Times New Roman"/>
                <w:kern w:val="0"/>
                <w:sz w:val="24"/>
                <w:szCs w:val="24"/>
                <w:lang w:val="en-US" w:eastAsia="zh-CN" w:bidi="ar-SA"/>
              </w:rPr>
              <w:t>高度为</w:t>
            </w:r>
            <w:r>
              <w:rPr>
                <w:rFonts w:hint="eastAsia" w:cs="Times New Roman"/>
                <w:kern w:val="0"/>
                <w:sz w:val="24"/>
                <w:szCs w:val="24"/>
                <w:lang w:val="en-US" w:eastAsia="zh-CN" w:bidi="ar-SA"/>
              </w:rPr>
              <w:t>2</w:t>
            </w:r>
            <w:r>
              <w:rPr>
                <w:rFonts w:hint="default" w:ascii="Times New Roman" w:hAnsi="Times New Roman" w:eastAsia="宋体" w:cs="Times New Roman"/>
                <w:kern w:val="0"/>
                <w:sz w:val="24"/>
                <w:szCs w:val="24"/>
                <w:lang w:val="en-US" w:eastAsia="zh-CN" w:bidi="ar-SA"/>
              </w:rPr>
              <w:t>m</w:t>
            </w:r>
            <w:r>
              <w:rPr>
                <w:rFonts w:hint="eastAsia" w:cs="Times New Roman"/>
                <w:kern w:val="0"/>
                <w:sz w:val="24"/>
                <w:szCs w:val="24"/>
                <w:lang w:val="en-US" w:eastAsia="zh-CN" w:bidi="ar-SA"/>
              </w:rPr>
              <w:t>；年成品装载量30000t，成品含水率10%，</w:t>
            </w:r>
            <w:r>
              <w:rPr>
                <w:rFonts w:hint="eastAsia" w:ascii="Times New Roman" w:hAnsi="Times New Roman" w:eastAsia="宋体" w:cs="Times New Roman"/>
                <w:kern w:val="0"/>
                <w:sz w:val="24"/>
                <w:szCs w:val="24"/>
                <w:lang w:val="en-US" w:eastAsia="zh-CN" w:bidi="ar-SA"/>
              </w:rPr>
              <w:t>平均</w:t>
            </w:r>
            <w:r>
              <w:rPr>
                <w:rFonts w:hint="eastAsia" w:cs="Times New Roman"/>
                <w:kern w:val="0"/>
                <w:sz w:val="24"/>
                <w:szCs w:val="24"/>
                <w:lang w:val="en-US" w:eastAsia="zh-CN" w:bidi="ar-SA"/>
              </w:rPr>
              <w:t>装卸</w:t>
            </w:r>
            <w:r>
              <w:rPr>
                <w:rFonts w:hint="eastAsia" w:ascii="Times New Roman" w:hAnsi="Times New Roman" w:eastAsia="宋体" w:cs="Times New Roman"/>
                <w:kern w:val="0"/>
                <w:sz w:val="24"/>
                <w:szCs w:val="24"/>
                <w:lang w:val="en-US" w:eastAsia="zh-CN" w:bidi="ar-SA"/>
              </w:rPr>
              <w:t>高度为</w:t>
            </w:r>
            <w:r>
              <w:rPr>
                <w:rFonts w:hint="eastAsia" w:cs="Times New Roman"/>
                <w:kern w:val="0"/>
                <w:sz w:val="24"/>
                <w:szCs w:val="24"/>
                <w:lang w:val="en-US" w:eastAsia="zh-CN" w:bidi="ar-SA"/>
              </w:rPr>
              <w:t>0.8</w:t>
            </w:r>
            <w:r>
              <w:rPr>
                <w:rFonts w:hint="default" w:ascii="Times New Roman" w:hAnsi="Times New Roman" w:eastAsia="宋体" w:cs="Times New Roman"/>
                <w:kern w:val="0"/>
                <w:sz w:val="24"/>
                <w:szCs w:val="24"/>
                <w:lang w:val="en-US" w:eastAsia="zh-CN" w:bidi="ar-SA"/>
              </w:rPr>
              <w:t>m</w:t>
            </w:r>
            <w:r>
              <w:rPr>
                <w:rFonts w:hint="eastAsia" w:cs="Times New Roman"/>
                <w:kern w:val="0"/>
                <w:sz w:val="24"/>
                <w:szCs w:val="24"/>
                <w:lang w:val="en-US" w:eastAsia="zh-CN" w:bidi="ar-SA"/>
              </w:rPr>
              <w:t>。</w:t>
            </w:r>
            <w:r>
              <w:rPr>
                <w:rFonts w:hint="eastAsia" w:ascii="Times New Roman" w:hAnsi="Times New Roman" w:eastAsia="宋体" w:cs="Times New Roman"/>
                <w:kern w:val="0"/>
                <w:sz w:val="24"/>
                <w:szCs w:val="24"/>
                <w:lang w:val="en-US" w:eastAsia="zh-CN" w:bidi="ar-SA"/>
              </w:rPr>
              <w:t>经计算，在不采取任何控尘措施的情况下，原料卸料扬尘产生量为</w:t>
            </w:r>
            <w:r>
              <w:rPr>
                <w:rFonts w:hint="eastAsia" w:cs="Times New Roman"/>
                <w:kern w:val="0"/>
                <w:sz w:val="24"/>
                <w:szCs w:val="24"/>
                <w:lang w:val="en-US" w:eastAsia="zh-CN" w:bidi="ar-SA"/>
              </w:rPr>
              <w:t>0.8756</w:t>
            </w:r>
            <w:r>
              <w:rPr>
                <w:rFonts w:hint="default" w:ascii="Times New Roman" w:hAnsi="Times New Roman" w:eastAsia="宋体" w:cs="Times New Roman"/>
                <w:kern w:val="0"/>
                <w:sz w:val="24"/>
                <w:szCs w:val="24"/>
                <w:lang w:val="en-US" w:eastAsia="zh-CN" w:bidi="ar-SA"/>
              </w:rPr>
              <w:t>t/a</w:t>
            </w:r>
            <w:r>
              <w:rPr>
                <w:rFonts w:hint="eastAsia" w:ascii="Times New Roman" w:hAnsi="Times New Roman" w:eastAsia="宋体" w:cs="Times New Roman"/>
                <w:kern w:val="0"/>
                <w:sz w:val="24"/>
                <w:szCs w:val="24"/>
                <w:lang w:val="en-US" w:eastAsia="zh-CN" w:bidi="ar-SA"/>
              </w:rPr>
              <w:t>。</w:t>
            </w:r>
          </w:p>
          <w:p w14:paraId="5546E981">
            <w:pPr>
              <w:keepNext w:val="0"/>
              <w:keepLines w:val="0"/>
              <w:suppressLineNumbers w:val="0"/>
              <w:spacing w:before="0" w:beforeAutospacing="0" w:after="0" w:afterAutospacing="0" w:line="360" w:lineRule="auto"/>
              <w:ind w:left="0" w:right="0" w:firstLine="482" w:firstLineChars="200"/>
              <w:rPr>
                <w:rFonts w:hint="default" w:cs="Times New Roman"/>
                <w:b/>
                <w:sz w:val="24"/>
                <w:lang w:val="en-US" w:eastAsia="zh-CN"/>
              </w:rPr>
            </w:pPr>
            <w:r>
              <w:rPr>
                <w:rFonts w:hint="eastAsia" w:cs="Times New Roman"/>
                <w:b/>
                <w:sz w:val="24"/>
                <w:lang w:eastAsia="zh-CN"/>
              </w:rPr>
              <w:t>（</w:t>
            </w:r>
            <w:r>
              <w:rPr>
                <w:rFonts w:hint="eastAsia" w:cs="Times New Roman"/>
                <w:b/>
                <w:sz w:val="24"/>
                <w:lang w:val="en-US" w:eastAsia="zh-CN"/>
              </w:rPr>
              <w:t>2</w:t>
            </w:r>
            <w:r>
              <w:rPr>
                <w:rFonts w:hint="eastAsia" w:cs="Times New Roman"/>
                <w:b/>
                <w:sz w:val="24"/>
                <w:lang w:eastAsia="zh-CN"/>
              </w:rPr>
              <w:t>）</w:t>
            </w:r>
            <w:r>
              <w:rPr>
                <w:rFonts w:hint="eastAsia" w:cs="Times New Roman"/>
                <w:b/>
                <w:sz w:val="24"/>
                <w:lang w:val="en-US" w:eastAsia="zh-CN"/>
              </w:rPr>
              <w:t>堆存粉尘</w:t>
            </w:r>
          </w:p>
          <w:p w14:paraId="76FDF9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rPr>
            </w:pPr>
            <w:r>
              <w:rPr>
                <w:rFonts w:hint="eastAsia" w:ascii="宋体" w:hAnsi="宋体" w:eastAsia="宋体" w:cs="宋体"/>
                <w:color w:val="000000"/>
                <w:kern w:val="0"/>
                <w:sz w:val="24"/>
                <w:szCs w:val="24"/>
                <w:lang w:val="en-US" w:eastAsia="zh-CN" w:bidi="ar"/>
              </w:rPr>
              <w:t>本项目原料及产品堆存区中物料堆存过程扬尘产生量采用清华大学在霍州电厂现场试验的模式计算：</w:t>
            </w:r>
          </w:p>
          <w:p w14:paraId="68025AE3">
            <w:pPr>
              <w:keepNext w:val="0"/>
              <w:keepLines w:val="0"/>
              <w:widowControl/>
              <w:suppressLineNumbers w:val="0"/>
              <w:spacing w:before="0" w:beforeAutospacing="0" w:after="0" w:afterAutospacing="0" w:line="360" w:lineRule="auto"/>
              <w:ind w:left="0" w:leftChars="0" w:right="0" w:rightChars="0" w:firstLine="0" w:firstLineChars="0"/>
              <w:jc w:val="center"/>
              <w:rPr>
                <w:rFonts w:hint="default"/>
                <w:i w:val="0"/>
                <w:iCs w:val="0"/>
                <w:sz w:val="24"/>
                <w:szCs w:val="24"/>
                <w:lang w:val="en-US"/>
              </w:rPr>
            </w:pPr>
            <w:r>
              <w:rPr>
                <w:rFonts w:hint="default" w:ascii="Times New Roman" w:hAnsi="Times New Roman" w:eastAsia="宋体" w:cs="Times New Roman"/>
                <w:i w:val="0"/>
                <w:iCs w:val="0"/>
                <w:color w:val="000000"/>
                <w:kern w:val="0"/>
                <w:sz w:val="24"/>
                <w:szCs w:val="24"/>
                <w:lang w:val="en-US" w:eastAsia="zh-CN" w:bidi="ar"/>
              </w:rPr>
              <w:t>Q</w:t>
            </w:r>
            <w:r>
              <w:rPr>
                <w:rFonts w:hint="default" w:ascii="Symbol" w:hAnsi="Symbol" w:eastAsia="宋体" w:cs="Symbol"/>
                <w:i w:val="0"/>
                <w:iCs w:val="0"/>
                <w:color w:val="000000"/>
                <w:kern w:val="0"/>
                <w:sz w:val="24"/>
                <w:szCs w:val="24"/>
                <w:lang w:val="en-US" w:eastAsia="zh-CN" w:bidi="ar"/>
              </w:rPr>
              <w:t></w:t>
            </w:r>
            <w:r>
              <w:rPr>
                <w:rFonts w:hint="default" w:ascii="Times New Roman" w:hAnsi="Times New Roman" w:eastAsia="宋体" w:cs="Times New Roman"/>
                <w:i w:val="0"/>
                <w:iCs w:val="0"/>
                <w:color w:val="000000"/>
                <w:kern w:val="0"/>
                <w:sz w:val="24"/>
                <w:szCs w:val="24"/>
                <w:lang w:val="en-US" w:eastAsia="zh-CN" w:bidi="ar"/>
              </w:rPr>
              <w:t>11.7U</w:t>
            </w:r>
            <w:r>
              <w:rPr>
                <w:rFonts w:hint="eastAsia" w:ascii="Times New Roman" w:hAnsi="Times New Roman" w:eastAsia="宋体" w:cs="Times New Roman"/>
                <w:i w:val="0"/>
                <w:iCs w:val="0"/>
                <w:color w:val="000000"/>
                <w:kern w:val="0"/>
                <w:sz w:val="24"/>
                <w:szCs w:val="24"/>
                <w:vertAlign w:val="superscript"/>
                <w:lang w:val="en-US" w:eastAsia="zh-CN" w:bidi="ar"/>
              </w:rPr>
              <w:t>2.45</w:t>
            </w:r>
            <w:r>
              <w:rPr>
                <w:rFonts w:hint="default" w:ascii="Times New Roman" w:hAnsi="Times New Roman" w:eastAsia="宋体" w:cs="Times New Roman"/>
                <w:i w:val="0"/>
                <w:iCs w:val="0"/>
                <w:color w:val="000000"/>
                <w:kern w:val="0"/>
                <w:sz w:val="24"/>
                <w:szCs w:val="24"/>
                <w:lang w:val="en-US" w:eastAsia="zh-CN" w:bidi="ar"/>
              </w:rPr>
              <w:t>S</w:t>
            </w:r>
            <w:r>
              <w:rPr>
                <w:rFonts w:hint="eastAsia" w:ascii="Times New Roman" w:hAnsi="Times New Roman" w:eastAsia="宋体" w:cs="Times New Roman"/>
                <w:i w:val="0"/>
                <w:iCs w:val="0"/>
                <w:color w:val="000000"/>
                <w:kern w:val="0"/>
                <w:sz w:val="24"/>
                <w:szCs w:val="24"/>
                <w:vertAlign w:val="superscript"/>
                <w:lang w:val="en-US" w:eastAsia="zh-CN" w:bidi="ar"/>
              </w:rPr>
              <w:t>0.345</w:t>
            </w:r>
            <w:r>
              <w:rPr>
                <w:rFonts w:hint="default" w:ascii="Times New Roman" w:hAnsi="Times New Roman" w:eastAsia="宋体" w:cs="Times New Roman"/>
                <w:i w:val="0"/>
                <w:iCs w:val="0"/>
                <w:color w:val="000000"/>
                <w:kern w:val="0"/>
                <w:sz w:val="24"/>
                <w:szCs w:val="24"/>
                <w:lang w:val="en-US" w:eastAsia="zh-CN" w:bidi="ar"/>
              </w:rPr>
              <w:t>e</w:t>
            </w:r>
            <w:r>
              <w:rPr>
                <w:rFonts w:hint="eastAsia" w:ascii="Times New Roman" w:hAnsi="Times New Roman" w:eastAsia="宋体" w:cs="Times New Roman"/>
                <w:i w:val="0"/>
                <w:iCs w:val="0"/>
                <w:color w:val="000000"/>
                <w:kern w:val="0"/>
                <w:sz w:val="24"/>
                <w:szCs w:val="24"/>
                <w:vertAlign w:val="superscript"/>
                <w:lang w:val="en-US" w:eastAsia="zh-CN" w:bidi="ar"/>
              </w:rPr>
              <w:t xml:space="preserve">-0.5w        </w:t>
            </w:r>
            <w:r>
              <w:rPr>
                <w:rFonts w:hint="eastAsia" w:ascii="Times New Roman" w:hAnsi="Times New Roman" w:eastAsia="宋体" w:cs="Times New Roman"/>
                <w:i w:val="0"/>
                <w:iCs w:val="0"/>
                <w:color w:val="000000"/>
                <w:kern w:val="0"/>
                <w:sz w:val="24"/>
                <w:szCs w:val="24"/>
                <w:lang w:val="en-US" w:eastAsia="zh-CN" w:bidi="ar"/>
              </w:rPr>
              <w:t>（2）</w:t>
            </w:r>
          </w:p>
          <w:p w14:paraId="3738D1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式中：</w:t>
            </w:r>
            <w:r>
              <w:rPr>
                <w:rFonts w:hint="default" w:ascii="宋体" w:hAnsi="宋体" w:eastAsia="宋体" w:cs="宋体"/>
                <w:color w:val="000000"/>
                <w:kern w:val="0"/>
                <w:sz w:val="21"/>
                <w:szCs w:val="21"/>
                <w:lang w:val="en-US" w:eastAsia="zh-CN" w:bidi="ar"/>
              </w:rPr>
              <w:t>Q—</w:t>
            </w:r>
            <w:r>
              <w:rPr>
                <w:rFonts w:hint="eastAsia" w:ascii="宋体" w:hAnsi="宋体" w:eastAsia="宋体" w:cs="宋体"/>
                <w:color w:val="000000"/>
                <w:kern w:val="0"/>
                <w:sz w:val="21"/>
                <w:szCs w:val="21"/>
                <w:lang w:val="en-US" w:eastAsia="zh-CN" w:bidi="ar"/>
              </w:rPr>
              <w:t>库房起尘强度，mg/s；</w:t>
            </w:r>
          </w:p>
          <w:p w14:paraId="40D744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color w:val="000000"/>
                <w:kern w:val="0"/>
                <w:sz w:val="21"/>
                <w:szCs w:val="21"/>
                <w:lang w:val="en-US" w:eastAsia="zh-CN" w:bidi="ar"/>
              </w:rPr>
            </w:pPr>
            <w:r>
              <w:rPr>
                <w:rFonts w:hint="default" w:ascii="宋体" w:hAnsi="宋体" w:eastAsia="宋体" w:cs="宋体"/>
                <w:color w:val="000000"/>
                <w:kern w:val="0"/>
                <w:sz w:val="21"/>
                <w:szCs w:val="21"/>
                <w:lang w:val="en-US" w:eastAsia="zh-CN" w:bidi="ar"/>
              </w:rPr>
              <w:t>U—</w:t>
            </w:r>
            <w:r>
              <w:rPr>
                <w:rFonts w:hint="eastAsia" w:ascii="宋体" w:hAnsi="宋体" w:eastAsia="宋体" w:cs="宋体"/>
                <w:color w:val="000000"/>
                <w:kern w:val="0"/>
                <w:sz w:val="21"/>
                <w:szCs w:val="21"/>
                <w:lang w:val="en-US" w:eastAsia="zh-CN" w:bidi="ar"/>
              </w:rPr>
              <w:t>风速，</w:t>
            </w:r>
            <w:r>
              <w:rPr>
                <w:rFonts w:hint="default" w:ascii="宋体" w:hAnsi="宋体" w:eastAsia="宋体" w:cs="宋体"/>
                <w:color w:val="000000"/>
                <w:kern w:val="0"/>
                <w:sz w:val="21"/>
                <w:szCs w:val="21"/>
                <w:lang w:val="en-US" w:eastAsia="zh-CN" w:bidi="ar"/>
              </w:rPr>
              <w:t>m/s</w:t>
            </w:r>
            <w:r>
              <w:rPr>
                <w:rFonts w:hint="eastAsia" w:ascii="宋体" w:hAnsi="宋体" w:eastAsia="宋体" w:cs="宋体"/>
                <w:color w:val="000000"/>
                <w:kern w:val="0"/>
                <w:sz w:val="21"/>
                <w:szCs w:val="21"/>
                <w:lang w:val="en-US" w:eastAsia="zh-CN" w:bidi="ar"/>
              </w:rPr>
              <w:t>，邻水县年平均风速约</w:t>
            </w:r>
            <w:r>
              <w:rPr>
                <w:rFonts w:hint="default" w:ascii="Times New Roman" w:hAnsi="Times New Roman" w:eastAsia="宋体" w:cs="Times New Roman"/>
                <w:color w:val="000000"/>
                <w:kern w:val="0"/>
                <w:sz w:val="21"/>
                <w:szCs w:val="21"/>
                <w:lang w:val="en-US" w:eastAsia="zh-CN" w:bidi="ar"/>
              </w:rPr>
              <w:t>1.</w:t>
            </w:r>
            <w:r>
              <w:rPr>
                <w:rFonts w:hint="eastAsia" w:ascii="Times New Roman" w:hAnsi="Times New Roman" w:eastAsia="宋体" w:cs="Times New Roman"/>
                <w:color w:val="000000"/>
                <w:kern w:val="0"/>
                <w:sz w:val="21"/>
                <w:szCs w:val="21"/>
                <w:lang w:val="en-US" w:eastAsia="zh-CN" w:bidi="ar"/>
              </w:rPr>
              <w:t>1</w:t>
            </w:r>
            <w:r>
              <w:rPr>
                <w:rFonts w:hint="default" w:ascii="Times New Roman" w:hAnsi="Times New Roman" w:eastAsia="宋体" w:cs="Times New Roman"/>
                <w:color w:val="000000"/>
                <w:kern w:val="0"/>
                <w:sz w:val="21"/>
                <w:szCs w:val="21"/>
                <w:lang w:val="en-US" w:eastAsia="zh-CN" w:bidi="ar"/>
              </w:rPr>
              <w:t>m/s</w:t>
            </w:r>
            <w:r>
              <w:rPr>
                <w:rFonts w:hint="eastAsia" w:ascii="Times New Roman" w:hAnsi="Times New Roman" w:eastAsia="宋体" w:cs="Times New Roman"/>
                <w:color w:val="000000"/>
                <w:kern w:val="0"/>
                <w:sz w:val="21"/>
                <w:szCs w:val="21"/>
                <w:lang w:val="en-US" w:eastAsia="zh-CN" w:bidi="ar"/>
              </w:rPr>
              <w:t>，本项目卸料堆场设三面围挡及</w:t>
            </w:r>
            <w:r>
              <w:rPr>
                <w:rFonts w:hint="eastAsia" w:cs="Times New Roman"/>
                <w:color w:val="000000"/>
                <w:kern w:val="0"/>
                <w:sz w:val="21"/>
                <w:szCs w:val="21"/>
                <w:lang w:val="en-US" w:eastAsia="zh-CN" w:bidi="ar"/>
              </w:rPr>
              <w:t>铺设防尘网</w:t>
            </w:r>
            <w:r>
              <w:rPr>
                <w:rFonts w:hint="eastAsia" w:ascii="Times New Roman" w:hAnsi="Times New Roman" w:eastAsia="宋体" w:cs="Times New Roman"/>
                <w:color w:val="000000"/>
                <w:kern w:val="0"/>
                <w:sz w:val="21"/>
                <w:szCs w:val="21"/>
                <w:lang w:val="en-US" w:eastAsia="zh-CN" w:bidi="ar"/>
              </w:rPr>
              <w:t>，物料表面风速取值0.</w:t>
            </w:r>
            <w:r>
              <w:rPr>
                <w:rFonts w:hint="eastAsia" w:cs="Times New Roman"/>
                <w:color w:val="000000"/>
                <w:kern w:val="0"/>
                <w:sz w:val="21"/>
                <w:szCs w:val="21"/>
                <w:lang w:val="en-US" w:eastAsia="zh-CN" w:bidi="ar"/>
              </w:rPr>
              <w:t>5</w:t>
            </w:r>
            <w:r>
              <w:rPr>
                <w:rFonts w:hint="eastAsia" w:ascii="Times New Roman" w:hAnsi="Times New Roman" w:eastAsia="宋体" w:cs="Times New Roman"/>
                <w:color w:val="000000"/>
                <w:kern w:val="0"/>
                <w:sz w:val="21"/>
                <w:szCs w:val="21"/>
                <w:lang w:val="en-US" w:eastAsia="zh-CN" w:bidi="ar"/>
              </w:rPr>
              <w:t>m/s</w:t>
            </w:r>
            <w:r>
              <w:rPr>
                <w:rFonts w:hint="eastAsia" w:ascii="宋体" w:hAnsi="宋体" w:eastAsia="宋体" w:cs="宋体"/>
                <w:color w:val="000000"/>
                <w:kern w:val="0"/>
                <w:sz w:val="21"/>
                <w:szCs w:val="21"/>
                <w:lang w:val="en-US" w:eastAsia="zh-CN" w:bidi="ar"/>
              </w:rPr>
              <w:t>；</w:t>
            </w:r>
          </w:p>
          <w:p w14:paraId="17FA3F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color w:val="000000"/>
                <w:kern w:val="0"/>
                <w:sz w:val="21"/>
                <w:szCs w:val="21"/>
                <w:lang w:val="en-US" w:eastAsia="zh-CN" w:bidi="ar"/>
              </w:rPr>
            </w:pPr>
            <w:r>
              <w:rPr>
                <w:rFonts w:hint="default" w:ascii="宋体" w:hAnsi="宋体" w:eastAsia="宋体" w:cs="宋体"/>
                <w:color w:val="000000"/>
                <w:kern w:val="0"/>
                <w:sz w:val="21"/>
                <w:szCs w:val="21"/>
                <w:lang w:val="en-US" w:eastAsia="zh-CN" w:bidi="ar"/>
              </w:rPr>
              <w:t>S—</w:t>
            </w:r>
            <w:r>
              <w:rPr>
                <w:rFonts w:hint="eastAsia" w:ascii="宋体" w:hAnsi="宋体" w:eastAsia="宋体" w:cs="宋体"/>
                <w:color w:val="000000"/>
                <w:kern w:val="0"/>
                <w:sz w:val="21"/>
                <w:szCs w:val="21"/>
                <w:lang w:val="en-US" w:eastAsia="zh-CN" w:bidi="ar"/>
              </w:rPr>
              <w:t>库房表面积，</w:t>
            </w:r>
            <w:r>
              <w:rPr>
                <w:rFonts w:hint="default" w:ascii="宋体" w:hAnsi="宋体" w:eastAsia="宋体" w:cs="宋体"/>
                <w:color w:val="000000"/>
                <w:kern w:val="0"/>
                <w:sz w:val="21"/>
                <w:szCs w:val="21"/>
                <w:lang w:val="en-US" w:eastAsia="zh-CN" w:bidi="ar"/>
              </w:rPr>
              <w:t>m</w:t>
            </w:r>
            <w:r>
              <w:rPr>
                <w:rFonts w:hint="default" w:ascii="宋体" w:hAnsi="宋体" w:eastAsia="宋体" w:cs="宋体"/>
                <w:color w:val="000000"/>
                <w:kern w:val="0"/>
                <w:sz w:val="21"/>
                <w:szCs w:val="21"/>
                <w:vertAlign w:val="superscript"/>
                <w:lang w:val="en-US" w:eastAsia="zh-CN" w:bidi="ar"/>
              </w:rPr>
              <w:t>2</w:t>
            </w:r>
            <w:r>
              <w:rPr>
                <w:rFonts w:hint="eastAsia" w:ascii="宋体" w:hAnsi="宋体" w:eastAsia="宋体" w:cs="宋体"/>
                <w:color w:val="000000"/>
                <w:kern w:val="0"/>
                <w:sz w:val="21"/>
                <w:szCs w:val="21"/>
                <w:lang w:val="en-US" w:eastAsia="zh-CN" w:bidi="ar"/>
              </w:rPr>
              <w:t>；</w:t>
            </w:r>
          </w:p>
          <w:p w14:paraId="5E9D41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color w:val="000000"/>
                <w:kern w:val="0"/>
                <w:sz w:val="21"/>
                <w:szCs w:val="21"/>
                <w:lang w:val="en-US" w:eastAsia="zh-CN" w:bidi="ar"/>
              </w:rPr>
            </w:pPr>
            <w:r>
              <w:rPr>
                <w:rFonts w:hint="default" w:ascii="宋体" w:hAnsi="宋体" w:eastAsia="宋体" w:cs="宋体"/>
                <w:color w:val="000000"/>
                <w:kern w:val="0"/>
                <w:sz w:val="21"/>
                <w:szCs w:val="21"/>
                <w:lang w:val="en-US" w:eastAsia="zh-CN" w:bidi="ar"/>
              </w:rPr>
              <w:t>W—</w:t>
            </w:r>
            <w:r>
              <w:rPr>
                <w:rFonts w:hint="eastAsia" w:ascii="宋体" w:hAnsi="宋体" w:eastAsia="宋体" w:cs="宋体"/>
                <w:color w:val="000000"/>
                <w:kern w:val="0"/>
                <w:sz w:val="21"/>
                <w:szCs w:val="21"/>
                <w:lang w:val="en-US" w:eastAsia="zh-CN" w:bidi="ar"/>
              </w:rPr>
              <w:t>原料含水量，</w:t>
            </w:r>
            <w:r>
              <w:rPr>
                <w:rFonts w:hint="default" w:ascii="宋体" w:hAnsi="宋体" w:eastAsia="宋体" w:cs="宋体"/>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w:t>
            </w:r>
          </w:p>
          <w:p w14:paraId="4EFFF6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cs="Times New Roman"/>
                <w:kern w:val="0"/>
                <w:sz w:val="24"/>
                <w:szCs w:val="24"/>
                <w:lang w:val="en-US" w:eastAsia="zh-CN" w:bidi="ar-SA"/>
              </w:rPr>
            </w:pPr>
            <w:r>
              <w:rPr>
                <w:rFonts w:hint="eastAsia"/>
                <w:sz w:val="24"/>
                <w:szCs w:val="24"/>
                <w:lang w:val="en-US" w:eastAsia="zh-CN"/>
              </w:rPr>
              <w:t>本项目原料堆场面积约1500m</w:t>
            </w:r>
            <w:r>
              <w:rPr>
                <w:rFonts w:hint="eastAsia"/>
                <w:sz w:val="24"/>
                <w:szCs w:val="24"/>
                <w:vertAlign w:val="superscript"/>
                <w:lang w:val="en-US" w:eastAsia="zh-CN"/>
              </w:rPr>
              <w:t>2</w:t>
            </w:r>
            <w:r>
              <w:rPr>
                <w:rFonts w:hint="eastAsia"/>
                <w:sz w:val="24"/>
                <w:szCs w:val="24"/>
                <w:vertAlign w:val="baseline"/>
                <w:lang w:val="en-US" w:eastAsia="zh-CN"/>
              </w:rPr>
              <w:t>，</w:t>
            </w:r>
            <w:r>
              <w:rPr>
                <w:rFonts w:hint="eastAsia" w:ascii="Times New Roman" w:hAnsi="Times New Roman" w:eastAsia="宋体" w:cs="Times New Roman"/>
                <w:kern w:val="0"/>
                <w:sz w:val="24"/>
                <w:szCs w:val="24"/>
                <w:lang w:val="en-US" w:eastAsia="zh-CN" w:bidi="ar-SA"/>
              </w:rPr>
              <w:t>原料含水率</w:t>
            </w:r>
            <w:r>
              <w:rPr>
                <w:rFonts w:hint="eastAsia" w:cs="Times New Roman"/>
                <w:kern w:val="0"/>
                <w:sz w:val="24"/>
                <w:szCs w:val="24"/>
                <w:lang w:val="en-US" w:eastAsia="zh-CN" w:bidi="ar-SA"/>
              </w:rPr>
              <w:t>约</w:t>
            </w:r>
            <w:r>
              <w:rPr>
                <w:rFonts w:hint="eastAsia" w:ascii="Times New Roman" w:hAnsi="Times New Roman" w:eastAsia="宋体" w:cs="Times New Roman"/>
                <w:kern w:val="0"/>
                <w:sz w:val="24"/>
                <w:szCs w:val="24"/>
                <w:lang w:val="en-US" w:eastAsia="zh-CN" w:bidi="ar-SA"/>
              </w:rPr>
              <w:t>为</w:t>
            </w:r>
            <w:r>
              <w:rPr>
                <w:rFonts w:hint="eastAsia" w:cs="Times New Roman"/>
                <w:kern w:val="0"/>
                <w:sz w:val="24"/>
                <w:szCs w:val="24"/>
                <w:lang w:val="en-US" w:eastAsia="zh-CN" w:bidi="ar-SA"/>
              </w:rPr>
              <w:t>2</w:t>
            </w:r>
            <w:r>
              <w:rPr>
                <w:rFonts w:hint="default" w:ascii="Times New Roman" w:hAnsi="Times New Roman" w:eastAsia="宋体" w:cs="Times New Roman"/>
                <w:kern w:val="0"/>
                <w:sz w:val="24"/>
                <w:szCs w:val="24"/>
                <w:lang w:val="en-US" w:eastAsia="zh-CN" w:bidi="ar-SA"/>
              </w:rPr>
              <w:t>%</w:t>
            </w:r>
            <w:r>
              <w:rPr>
                <w:rFonts w:hint="eastAsia" w:cs="Times New Roman"/>
                <w:kern w:val="0"/>
                <w:sz w:val="24"/>
                <w:szCs w:val="24"/>
                <w:lang w:val="en-US" w:eastAsia="zh-CN" w:bidi="ar-SA"/>
              </w:rPr>
              <w:t>，项目年运行200d，在不采取任何治理措施情况下，经核算原料堆场产尘量约0.5957t/a；</w:t>
            </w:r>
          </w:p>
          <w:p w14:paraId="4A54A5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eastAsia="宋体"/>
                <w:sz w:val="24"/>
                <w:szCs w:val="24"/>
                <w:vertAlign w:val="baseline"/>
                <w:lang w:val="en-US" w:eastAsia="zh-CN"/>
              </w:rPr>
            </w:pPr>
            <w:r>
              <w:rPr>
                <w:rFonts w:hint="eastAsia" w:cs="Times New Roman"/>
                <w:kern w:val="0"/>
                <w:sz w:val="24"/>
                <w:szCs w:val="24"/>
                <w:lang w:val="en-US" w:eastAsia="zh-CN" w:bidi="ar-SA"/>
              </w:rPr>
              <w:t>成品堆场面积约800m</w:t>
            </w:r>
            <w:r>
              <w:rPr>
                <w:rFonts w:hint="eastAsia" w:cs="Times New Roman"/>
                <w:kern w:val="0"/>
                <w:sz w:val="24"/>
                <w:szCs w:val="24"/>
                <w:vertAlign w:val="superscript"/>
                <w:lang w:val="en-US" w:eastAsia="zh-CN" w:bidi="ar-SA"/>
              </w:rPr>
              <w:t>2</w:t>
            </w:r>
            <w:r>
              <w:rPr>
                <w:rFonts w:hint="eastAsia" w:cs="Times New Roman"/>
                <w:kern w:val="0"/>
                <w:sz w:val="24"/>
                <w:szCs w:val="24"/>
                <w:vertAlign w:val="baseline"/>
                <w:lang w:val="en-US" w:eastAsia="zh-CN" w:bidi="ar-SA"/>
              </w:rPr>
              <w:t>，成品含水率约10%，</w:t>
            </w:r>
            <w:r>
              <w:rPr>
                <w:rFonts w:hint="eastAsia" w:cs="Times New Roman"/>
                <w:kern w:val="0"/>
                <w:sz w:val="24"/>
                <w:szCs w:val="24"/>
                <w:lang w:val="en-US" w:eastAsia="zh-CN" w:bidi="ar-SA"/>
              </w:rPr>
              <w:t>项目年运行200d，在不采取任何治理措施情况下，经核算原料堆场产尘量约0.4806t/a</w:t>
            </w:r>
          </w:p>
          <w:p w14:paraId="3ECAE284">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sz w:val="24"/>
                <w:lang w:val="en-US"/>
              </w:rPr>
            </w:pPr>
            <w:r>
              <w:rPr>
                <w:rFonts w:hint="eastAsia" w:cs="Times New Roman"/>
                <w:b/>
                <w:sz w:val="24"/>
                <w:lang w:val="en-US" w:eastAsia="zh-CN"/>
              </w:rPr>
              <w:t>（3）进料粉尘</w:t>
            </w:r>
          </w:p>
          <w:p w14:paraId="7F02D531">
            <w:pPr>
              <w:pStyle w:val="11"/>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本项目进料通过铲车进行原料转运，利用高差将原料落入喂料机金属槽中。该过程粉尘产生情况与原料卸料过程类似，因此，本次评价采用前文公式（1）进行核算，进料装卸平均高度H取值约0.8m，其余参数基本一致，在不采取处理措施的情况下进料粉尘的产生量约为0.2079t/a。</w:t>
            </w:r>
          </w:p>
          <w:p w14:paraId="21248BE3">
            <w:pPr>
              <w:pStyle w:val="11"/>
              <w:keepNext w:val="0"/>
              <w:keepLines w:val="0"/>
              <w:suppressLineNumbers w:val="0"/>
              <w:spacing w:before="0" w:beforeAutospacing="0" w:after="0" w:afterAutospacing="0" w:line="360" w:lineRule="auto"/>
              <w:ind w:left="0" w:right="0" w:firstLine="482" w:firstLineChars="200"/>
              <w:rPr>
                <w:rFonts w:hint="eastAsia" w:cs="Times New Roman"/>
                <w:b/>
                <w:bCs/>
                <w:sz w:val="24"/>
                <w:szCs w:val="24"/>
                <w:lang w:val="en-US" w:eastAsia="zh-CN"/>
              </w:rPr>
            </w:pPr>
            <w:r>
              <w:rPr>
                <w:rFonts w:hint="eastAsia" w:cs="Times New Roman"/>
                <w:b/>
                <w:bCs/>
                <w:sz w:val="24"/>
                <w:szCs w:val="24"/>
                <w:lang w:eastAsia="zh-CN"/>
              </w:rPr>
              <w:t>（</w:t>
            </w:r>
            <w:r>
              <w:rPr>
                <w:rFonts w:hint="eastAsia" w:cs="Times New Roman"/>
                <w:b/>
                <w:bCs/>
                <w:sz w:val="24"/>
                <w:szCs w:val="24"/>
                <w:lang w:val="en-US" w:eastAsia="zh-CN"/>
              </w:rPr>
              <w:t>4</w:t>
            </w:r>
            <w:r>
              <w:rPr>
                <w:rFonts w:hint="eastAsia" w:cs="Times New Roman"/>
                <w:b/>
                <w:bCs/>
                <w:sz w:val="24"/>
                <w:szCs w:val="24"/>
                <w:lang w:eastAsia="zh-CN"/>
              </w:rPr>
              <w:t>）</w:t>
            </w:r>
            <w:r>
              <w:rPr>
                <w:rFonts w:hint="eastAsia" w:cs="Times New Roman"/>
                <w:b/>
                <w:bCs/>
                <w:sz w:val="24"/>
                <w:szCs w:val="24"/>
                <w:lang w:val="en-US" w:eastAsia="zh-CN"/>
              </w:rPr>
              <w:t>破碎粉尘</w:t>
            </w:r>
          </w:p>
          <w:p w14:paraId="44A7F1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lang w:val="en-US" w:eastAsia="zh-CN"/>
              </w:rPr>
            </w:pPr>
            <w:r>
              <w:rPr>
                <w:rFonts w:hint="eastAsia"/>
                <w:sz w:val="24"/>
                <w:szCs w:val="24"/>
                <w:lang w:val="en-US" w:eastAsia="zh-CN"/>
              </w:rPr>
              <w:t>原料在进料过程会采用水喷淋的方式进行初步水洗，在初步去除泥土杂质的同时确保原料含水率大于10%，可有效避免物料在皮带运输过程产生扬尘。但当原料进入破碎机进行破碎时，由于机械作用下物料表面含水率会显著降低，不可避免的产生少量破碎粉尘。粉尘产生量参照《逸散性工业粉尘控制技术》中砂和砾石一级、二级破碎和筛选排放参数，即粉尘产生量均按0.05kg/t计，项目原材料用量约28425t，则破碎粉尘产生量为1.4213t/a。</w:t>
            </w:r>
          </w:p>
          <w:p w14:paraId="70BFF8AA">
            <w:pPr>
              <w:pStyle w:val="11"/>
              <w:keepNext w:val="0"/>
              <w:keepLines w:val="0"/>
              <w:suppressLineNumbers w:val="0"/>
              <w:spacing w:before="0" w:beforeAutospacing="0" w:after="0" w:afterAutospacing="0" w:line="360" w:lineRule="auto"/>
              <w:ind w:left="0" w:right="0" w:firstLine="482" w:firstLineChars="200"/>
              <w:rPr>
                <w:rFonts w:hint="eastAsia" w:cs="Times New Roman"/>
                <w:b/>
                <w:bCs/>
                <w:sz w:val="24"/>
                <w:szCs w:val="24"/>
                <w:lang w:val="en-US" w:eastAsia="zh-CN"/>
              </w:rPr>
            </w:pPr>
            <w:r>
              <w:rPr>
                <w:rFonts w:hint="eastAsia" w:cs="Times New Roman"/>
                <w:b/>
                <w:bCs/>
                <w:sz w:val="24"/>
                <w:szCs w:val="24"/>
                <w:lang w:eastAsia="zh-CN"/>
              </w:rPr>
              <w:t>（</w:t>
            </w:r>
            <w:r>
              <w:rPr>
                <w:rFonts w:hint="eastAsia" w:cs="Times New Roman"/>
                <w:b/>
                <w:bCs/>
                <w:sz w:val="24"/>
                <w:szCs w:val="24"/>
                <w:lang w:val="en-US" w:eastAsia="zh-CN"/>
              </w:rPr>
              <w:t>5</w:t>
            </w:r>
            <w:r>
              <w:rPr>
                <w:rFonts w:hint="eastAsia" w:cs="Times New Roman"/>
                <w:b/>
                <w:bCs/>
                <w:sz w:val="24"/>
                <w:szCs w:val="24"/>
                <w:lang w:eastAsia="zh-CN"/>
              </w:rPr>
              <w:t>）</w:t>
            </w:r>
            <w:r>
              <w:rPr>
                <w:rFonts w:hint="eastAsia" w:cs="Times New Roman"/>
                <w:b/>
                <w:bCs/>
                <w:sz w:val="24"/>
                <w:szCs w:val="24"/>
                <w:lang w:val="en-US" w:eastAsia="zh-CN"/>
              </w:rPr>
              <w:t>车辆运输扬尘</w:t>
            </w:r>
          </w:p>
          <w:p w14:paraId="35A992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sz w:val="24"/>
                <w:szCs w:val="24"/>
                <w:lang w:val="en-US" w:eastAsia="zh-CN"/>
              </w:rPr>
            </w:pPr>
            <w:r>
              <w:rPr>
                <w:rFonts w:hint="eastAsia"/>
                <w:sz w:val="24"/>
                <w:szCs w:val="24"/>
                <w:lang w:val="en-US" w:eastAsia="zh-CN"/>
              </w:rPr>
              <w:t>原料车辆行驶会产生扬尘，在道路完全干燥的情况下，本项目原料在厂区内运输过程扬尘产生量按照以下经验公式估算：</w:t>
            </w:r>
          </w:p>
          <w:p w14:paraId="4C132527">
            <w:pPr>
              <w:pStyle w:val="2"/>
              <w:keepNext w:val="0"/>
              <w:keepLines w:val="0"/>
              <w:suppressLineNumbers w:val="0"/>
              <w:spacing w:before="0" w:beforeAutospacing="0" w:afterAutospacing="0"/>
              <w:ind w:left="0" w:leftChars="0" w:right="0" w:rightChars="0" w:firstLine="0" w:firstLineChars="0"/>
              <w:jc w:val="center"/>
              <w:rPr>
                <w:rFonts w:hint="eastAsia" w:cs="Times New Roman"/>
                <w:b/>
                <w:bCs/>
                <w:sz w:val="24"/>
                <w:szCs w:val="24"/>
                <w:lang w:val="en-US" w:eastAsia="zh-CN"/>
              </w:rPr>
            </w:pPr>
            <w:r>
              <w:rPr>
                <w:rFonts w:hint="default"/>
              </w:rPr>
              <w:drawing>
                <wp:inline distT="0" distB="0" distL="114300" distR="114300">
                  <wp:extent cx="2599055" cy="824230"/>
                  <wp:effectExtent l="0" t="0" r="10795" b="1397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3"/>
                          <a:srcRect l="14745" b="523"/>
                          <a:stretch>
                            <a:fillRect/>
                          </a:stretch>
                        </pic:blipFill>
                        <pic:spPr>
                          <a:xfrm>
                            <a:off x="0" y="0"/>
                            <a:ext cx="2599055" cy="824230"/>
                          </a:xfrm>
                          <a:prstGeom prst="rect">
                            <a:avLst/>
                          </a:prstGeom>
                          <a:noFill/>
                          <a:ln>
                            <a:noFill/>
                          </a:ln>
                        </pic:spPr>
                      </pic:pic>
                    </a:graphicData>
                  </a:graphic>
                </wp:inline>
              </w:drawing>
            </w:r>
          </w:p>
          <w:p w14:paraId="70F015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lang w:val="en-US" w:eastAsia="zh-CN"/>
              </w:rPr>
            </w:pPr>
            <w:r>
              <w:rPr>
                <w:rFonts w:hint="eastAsia"/>
                <w:lang w:val="en-US" w:eastAsia="zh-CN"/>
              </w:rPr>
              <w:t>式中：Qy—交通运输起尘量，kg/km·辆；</w:t>
            </w:r>
          </w:p>
          <w:p w14:paraId="04A28A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lang w:val="en-US" w:eastAsia="zh-CN"/>
              </w:rPr>
            </w:pPr>
            <w:r>
              <w:rPr>
                <w:rFonts w:hint="eastAsia"/>
                <w:lang w:val="en-US" w:eastAsia="zh-CN"/>
              </w:rPr>
              <w:t>Qt—运输途中起尘量，kg/a；</w:t>
            </w:r>
          </w:p>
          <w:p w14:paraId="309444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lang w:val="en-US" w:eastAsia="zh-CN"/>
              </w:rPr>
            </w:pPr>
            <w:r>
              <w:rPr>
                <w:rFonts w:hint="eastAsia"/>
                <w:lang w:val="en-US" w:eastAsia="zh-CN"/>
              </w:rPr>
              <w:t>V—车辆行驶速度，km/h；空车20km/h，载重后10km/h；</w:t>
            </w:r>
          </w:p>
          <w:p w14:paraId="5B65DC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lang w:val="en-US" w:eastAsia="zh-CN"/>
              </w:rPr>
            </w:pPr>
            <w:r>
              <w:rPr>
                <w:rFonts w:hint="eastAsia"/>
                <w:lang w:val="en-US" w:eastAsia="zh-CN"/>
              </w:rPr>
              <w:t>P—路面状况，以每平方米路面灰尘覆盖率表示，kg/m</w:t>
            </w:r>
            <w:r>
              <w:rPr>
                <w:rFonts w:hint="eastAsia"/>
                <w:vertAlign w:val="superscript"/>
                <w:lang w:val="en-US" w:eastAsia="zh-CN"/>
              </w:rPr>
              <w:t>2</w:t>
            </w:r>
            <w:r>
              <w:rPr>
                <w:rFonts w:hint="eastAsia"/>
                <w:lang w:val="en-US" w:eastAsia="zh-CN"/>
              </w:rPr>
              <w:t>；</w:t>
            </w:r>
          </w:p>
          <w:p w14:paraId="463D29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lang w:val="en-US" w:eastAsia="zh-CN"/>
              </w:rPr>
            </w:pPr>
            <w:r>
              <w:rPr>
                <w:rFonts w:hint="eastAsia"/>
                <w:lang w:val="en-US" w:eastAsia="zh-CN"/>
              </w:rPr>
              <w:t>M—车辆载重，t/辆。空车自重10t，载重后总重40t；</w:t>
            </w:r>
          </w:p>
          <w:p w14:paraId="7B8F67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lang w:val="en-US" w:eastAsia="zh-CN"/>
              </w:rPr>
            </w:pPr>
            <w:r>
              <w:rPr>
                <w:rFonts w:hint="eastAsia"/>
                <w:lang w:val="en-US" w:eastAsia="zh-CN"/>
              </w:rPr>
              <w:t>L—运输距离，km；</w:t>
            </w:r>
          </w:p>
          <w:p w14:paraId="4F9E43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lang w:val="en-US" w:eastAsia="zh-CN"/>
              </w:rPr>
            </w:pPr>
            <w:r>
              <w:rPr>
                <w:rFonts w:hint="eastAsia"/>
                <w:lang w:val="en-US" w:eastAsia="zh-CN"/>
              </w:rPr>
              <w:t>Q—运输量，t/a。</w:t>
            </w:r>
          </w:p>
          <w:p w14:paraId="0C106A4F">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auto"/>
              <w:ind w:left="0" w:leftChars="0" w:right="0" w:firstLine="480" w:firstLineChars="200"/>
              <w:textAlignment w:val="auto"/>
              <w:rPr>
                <w:rFonts w:hint="default"/>
                <w:sz w:val="24"/>
                <w:szCs w:val="24"/>
                <w:lang w:val="en-US" w:eastAsia="zh-CN"/>
              </w:rPr>
            </w:pPr>
            <w:r>
              <w:rPr>
                <w:rFonts w:hint="default"/>
                <w:sz w:val="24"/>
                <w:szCs w:val="24"/>
                <w:lang w:val="en-US" w:eastAsia="zh-CN"/>
              </w:rPr>
              <w:t>本项目原料运输量</w:t>
            </w:r>
            <w:r>
              <w:rPr>
                <w:rFonts w:hint="eastAsia"/>
                <w:sz w:val="24"/>
                <w:szCs w:val="24"/>
                <w:lang w:val="en-US" w:eastAsia="zh-CN"/>
              </w:rPr>
              <w:t>28425</w:t>
            </w:r>
            <w:r>
              <w:rPr>
                <w:rFonts w:hint="default"/>
                <w:sz w:val="24"/>
                <w:szCs w:val="24"/>
                <w:lang w:val="en-US" w:eastAsia="zh-CN"/>
              </w:rPr>
              <w:t>t/a，</w:t>
            </w:r>
            <w:r>
              <w:rPr>
                <w:rFonts w:hint="eastAsia"/>
                <w:sz w:val="24"/>
                <w:szCs w:val="24"/>
                <w:lang w:val="en-US" w:eastAsia="zh-CN"/>
              </w:rPr>
              <w:t>成品运输30000t/a，</w:t>
            </w:r>
            <w:r>
              <w:rPr>
                <w:rFonts w:hint="default"/>
                <w:sz w:val="24"/>
                <w:szCs w:val="24"/>
                <w:lang w:val="en-US" w:eastAsia="zh-CN"/>
              </w:rPr>
              <w:t>项目原料运输</w:t>
            </w:r>
            <w:r>
              <w:rPr>
                <w:rFonts w:hint="eastAsia"/>
                <w:sz w:val="24"/>
                <w:szCs w:val="24"/>
                <w:lang w:val="en-US" w:eastAsia="zh-CN"/>
              </w:rPr>
              <w:t>在厂区平均运输距离约80</w:t>
            </w:r>
            <w:r>
              <w:rPr>
                <w:rFonts w:hint="default"/>
                <w:sz w:val="24"/>
                <w:szCs w:val="24"/>
                <w:lang w:val="en-US" w:eastAsia="zh-CN"/>
              </w:rPr>
              <w:t>m，</w:t>
            </w:r>
            <w:r>
              <w:rPr>
                <w:rFonts w:hint="eastAsia"/>
                <w:sz w:val="24"/>
                <w:szCs w:val="24"/>
                <w:lang w:val="en-US" w:eastAsia="zh-CN"/>
              </w:rPr>
              <w:t>成品平均运输距离约40m，</w:t>
            </w:r>
            <w:r>
              <w:rPr>
                <w:rFonts w:hint="default"/>
                <w:sz w:val="24"/>
                <w:szCs w:val="24"/>
                <w:lang w:val="en-US" w:eastAsia="zh-CN"/>
              </w:rPr>
              <w:t>道路</w:t>
            </w:r>
            <w:r>
              <w:rPr>
                <w:rFonts w:hint="eastAsia"/>
                <w:sz w:val="24"/>
                <w:szCs w:val="24"/>
                <w:lang w:val="en-US" w:eastAsia="zh-CN"/>
              </w:rPr>
              <w:t>均进行了</w:t>
            </w:r>
            <w:r>
              <w:rPr>
                <w:rFonts w:hint="default"/>
                <w:sz w:val="24"/>
                <w:szCs w:val="24"/>
                <w:lang w:val="en-US" w:eastAsia="zh-CN"/>
              </w:rPr>
              <w:t>水泥硬化，洒水前路面灰尘覆盖率为0.2kg/m</w:t>
            </w:r>
            <w:r>
              <w:rPr>
                <w:rFonts w:hint="default"/>
                <w:sz w:val="24"/>
                <w:szCs w:val="24"/>
                <w:vertAlign w:val="superscript"/>
                <w:lang w:val="en-US" w:eastAsia="zh-CN"/>
              </w:rPr>
              <w:t>2</w:t>
            </w:r>
            <w:r>
              <w:rPr>
                <w:rFonts w:hint="default"/>
                <w:sz w:val="24"/>
                <w:szCs w:val="24"/>
                <w:lang w:val="en-US" w:eastAsia="zh-CN"/>
              </w:rPr>
              <w:t>，考虑汽车往返。经计算，未采取洒水等控尘措施时，运输扬尘产生量为</w:t>
            </w:r>
            <w:r>
              <w:rPr>
                <w:rFonts w:hint="eastAsia"/>
                <w:sz w:val="24"/>
                <w:szCs w:val="24"/>
                <w:lang w:val="en-US" w:eastAsia="zh-CN"/>
              </w:rPr>
              <w:t>0.0929</w:t>
            </w:r>
            <w:r>
              <w:rPr>
                <w:rFonts w:hint="default"/>
                <w:sz w:val="24"/>
                <w:szCs w:val="24"/>
                <w:lang w:val="en-US" w:eastAsia="zh-CN"/>
              </w:rPr>
              <w:t>t/a。</w:t>
            </w:r>
          </w:p>
          <w:p w14:paraId="3276ABB5">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right="0" w:firstLine="482" w:firstLineChars="200"/>
              <w:textAlignment w:val="auto"/>
              <w:rPr>
                <w:rFonts w:hint="eastAsia" w:cs="Times New Roman"/>
                <w:b/>
                <w:bCs/>
                <w:kern w:val="2"/>
                <w:sz w:val="24"/>
                <w:szCs w:val="24"/>
                <w:lang w:val="en-US" w:eastAsia="zh-CN" w:bidi="ar-SA"/>
              </w:rPr>
            </w:pPr>
            <w:r>
              <w:rPr>
                <w:rFonts w:hint="eastAsia" w:cs="Times New Roman"/>
                <w:b/>
                <w:bCs/>
                <w:kern w:val="2"/>
                <w:sz w:val="24"/>
                <w:szCs w:val="24"/>
                <w:lang w:val="en-US" w:eastAsia="zh-CN" w:bidi="ar-SA"/>
              </w:rPr>
              <w:t>（6）运输车辆燃油废气</w:t>
            </w:r>
          </w:p>
          <w:p w14:paraId="3BAA6C5A">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right="0" w:firstLine="480" w:firstLineChars="200"/>
              <w:textAlignment w:val="auto"/>
              <w:rPr>
                <w:rFonts w:hint="eastAsia"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bidi="ar-SA"/>
              </w:rPr>
              <w:t>本项目运输车辆在运输过程会产生燃油废气，但由于使用的燃油为清洁能源，产生的燃油废气较少且为移动式排放，同时项目所在地较为空旷，燃油废气便于疏散，对区域环境影响较小。但环评要求定期对运输车辆进行检修来进一步减少燃烧废气的产生量。</w:t>
            </w:r>
          </w:p>
          <w:p w14:paraId="11A04318">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kern w:val="2"/>
                <w:sz w:val="24"/>
                <w:szCs w:val="24"/>
                <w:lang w:val="en-US" w:eastAsia="zh-CN" w:bidi="ar-SA"/>
              </w:rPr>
            </w:pPr>
            <w:r>
              <w:rPr>
                <w:rFonts w:hint="eastAsia" w:cs="Times New Roman"/>
                <w:b/>
                <w:bCs/>
                <w:kern w:val="2"/>
                <w:sz w:val="24"/>
                <w:szCs w:val="24"/>
                <w:lang w:val="en-US" w:eastAsia="zh-CN" w:bidi="ar-SA"/>
              </w:rPr>
              <w:t>2、</w:t>
            </w:r>
            <w:r>
              <w:rPr>
                <w:rFonts w:hint="eastAsia" w:ascii="Times New Roman" w:hAnsi="Times New Roman" w:eastAsia="宋体" w:cs="Times New Roman"/>
                <w:b/>
                <w:bCs/>
                <w:kern w:val="2"/>
                <w:sz w:val="24"/>
                <w:szCs w:val="24"/>
                <w:lang w:val="en-US" w:eastAsia="zh-CN" w:bidi="ar-SA"/>
              </w:rPr>
              <w:t>治理措施及污染物排放量</w:t>
            </w:r>
          </w:p>
          <w:p w14:paraId="32F8137F">
            <w:pPr>
              <w:pStyle w:val="11"/>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kern w:val="2"/>
                <w:sz w:val="24"/>
                <w:szCs w:val="24"/>
                <w:lang w:val="en-US" w:eastAsia="zh-CN"/>
              </w:rPr>
            </w:pPr>
            <w:r>
              <w:rPr>
                <w:rFonts w:hint="eastAsia" w:cs="Times New Roman"/>
                <w:kern w:val="2"/>
                <w:sz w:val="24"/>
                <w:szCs w:val="24"/>
                <w:lang w:val="en-US" w:eastAsia="zh-CN"/>
              </w:rPr>
              <w:t>本项目各废气产生环节污染物措施及污染物排放量详见下表。</w:t>
            </w:r>
          </w:p>
          <w:p w14:paraId="1A7E325B">
            <w:pPr>
              <w:pStyle w:val="11"/>
              <w:keepNext w:val="0"/>
              <w:keepLines w:val="0"/>
              <w:suppressLineNumbers w:val="0"/>
              <w:spacing w:before="0" w:beforeAutospacing="0" w:after="0" w:afterAutospacing="0" w:line="240" w:lineRule="auto"/>
              <w:ind w:left="0" w:leftChars="0" w:right="0" w:rightChars="0" w:firstLine="0" w:firstLineChars="0"/>
              <w:jc w:val="center"/>
              <w:rPr>
                <w:rFonts w:hint="eastAsia" w:cs="Times New Roman"/>
                <w:b/>
                <w:bCs/>
                <w:kern w:val="2"/>
                <w:sz w:val="21"/>
                <w:szCs w:val="21"/>
                <w:lang w:val="en-US" w:eastAsia="zh-CN"/>
              </w:rPr>
            </w:pPr>
            <w:r>
              <w:rPr>
                <w:rFonts w:hint="eastAsia" w:cs="Times New Roman"/>
                <w:b/>
                <w:bCs/>
                <w:kern w:val="2"/>
                <w:sz w:val="21"/>
                <w:szCs w:val="21"/>
                <w:lang w:val="en-US" w:eastAsia="zh-CN"/>
              </w:rPr>
              <w:t>表4-2  项目污染物治理措施及排放情况一览表</w:t>
            </w:r>
          </w:p>
          <w:tbl>
            <w:tblPr>
              <w:tblStyle w:val="26"/>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35"/>
              <w:gridCol w:w="999"/>
              <w:gridCol w:w="741"/>
              <w:gridCol w:w="938"/>
              <w:gridCol w:w="967"/>
              <w:gridCol w:w="1818"/>
              <w:gridCol w:w="1001"/>
              <w:gridCol w:w="1002"/>
            </w:tblGrid>
            <w:tr w14:paraId="3254D5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34" w:type="pct"/>
                  <w:tcBorders>
                    <w:tl2br w:val="nil"/>
                    <w:tr2bl w:val="nil"/>
                  </w:tcBorders>
                  <w:vAlign w:val="center"/>
                </w:tcPr>
                <w:p w14:paraId="69361553">
                  <w:pPr>
                    <w:keepNext w:val="0"/>
                    <w:keepLines w:val="0"/>
                    <w:suppressLineNumbers w:val="0"/>
                    <w:spacing w:before="0" w:beforeAutospacing="0" w:after="0" w:afterAutospacing="0"/>
                    <w:ind w:left="0" w:leftChars="0" w:right="0" w:rightChars="0" w:firstLine="0" w:firstLineChars="0"/>
                    <w:jc w:val="center"/>
                    <w:rPr>
                      <w:rFonts w:hint="default"/>
                      <w:b/>
                      <w:bCs/>
                      <w:vertAlign w:val="baseline"/>
                      <w:lang w:val="en-US" w:eastAsia="zh-CN"/>
                    </w:rPr>
                  </w:pPr>
                  <w:r>
                    <w:rPr>
                      <w:rFonts w:hint="eastAsia"/>
                      <w:b/>
                      <w:bCs/>
                      <w:vertAlign w:val="baseline"/>
                      <w:lang w:val="en-US" w:eastAsia="zh-CN"/>
                    </w:rPr>
                    <w:t>序号</w:t>
                  </w:r>
                </w:p>
              </w:tc>
              <w:tc>
                <w:tcPr>
                  <w:tcW w:w="624" w:type="pct"/>
                  <w:tcBorders>
                    <w:tl2br w:val="nil"/>
                    <w:tr2bl w:val="nil"/>
                  </w:tcBorders>
                  <w:vAlign w:val="center"/>
                </w:tcPr>
                <w:p w14:paraId="46B3D026">
                  <w:pPr>
                    <w:keepNext w:val="0"/>
                    <w:keepLines w:val="0"/>
                    <w:suppressLineNumbers w:val="0"/>
                    <w:spacing w:before="0" w:beforeAutospacing="0" w:after="0" w:afterAutospacing="0"/>
                    <w:ind w:left="0" w:leftChars="0" w:right="0" w:rightChars="0" w:firstLine="0" w:firstLineChars="0"/>
                    <w:jc w:val="center"/>
                    <w:rPr>
                      <w:rFonts w:hint="default"/>
                      <w:b/>
                      <w:bCs/>
                      <w:vertAlign w:val="baseline"/>
                      <w:lang w:val="en-US" w:eastAsia="zh-CN"/>
                    </w:rPr>
                  </w:pPr>
                  <w:r>
                    <w:rPr>
                      <w:rFonts w:hint="eastAsia"/>
                      <w:b/>
                      <w:bCs/>
                      <w:vertAlign w:val="baseline"/>
                      <w:lang w:val="en-US" w:eastAsia="zh-CN"/>
                    </w:rPr>
                    <w:t>产污工序</w:t>
                  </w:r>
                </w:p>
              </w:tc>
              <w:tc>
                <w:tcPr>
                  <w:tcW w:w="463" w:type="pct"/>
                  <w:tcBorders>
                    <w:tl2br w:val="nil"/>
                    <w:tr2bl w:val="nil"/>
                  </w:tcBorders>
                  <w:vAlign w:val="center"/>
                </w:tcPr>
                <w:p w14:paraId="6E09D2F0">
                  <w:pPr>
                    <w:keepNext w:val="0"/>
                    <w:keepLines w:val="0"/>
                    <w:suppressLineNumbers w:val="0"/>
                    <w:spacing w:before="0" w:beforeAutospacing="0" w:after="0" w:afterAutospacing="0"/>
                    <w:ind w:left="0" w:leftChars="0" w:right="0" w:rightChars="0" w:firstLine="0" w:firstLineChars="0"/>
                    <w:jc w:val="center"/>
                    <w:rPr>
                      <w:rFonts w:hint="default"/>
                      <w:b/>
                      <w:bCs/>
                      <w:vertAlign w:val="baseline"/>
                      <w:lang w:val="en-US" w:eastAsia="zh-CN"/>
                    </w:rPr>
                  </w:pPr>
                  <w:r>
                    <w:rPr>
                      <w:rFonts w:hint="eastAsia"/>
                      <w:b/>
                      <w:bCs/>
                      <w:vertAlign w:val="baseline"/>
                      <w:lang w:val="en-US" w:eastAsia="zh-CN"/>
                    </w:rPr>
                    <w:t>污染物名称</w:t>
                  </w:r>
                </w:p>
              </w:tc>
              <w:tc>
                <w:tcPr>
                  <w:tcW w:w="586" w:type="pct"/>
                  <w:tcBorders>
                    <w:tl2br w:val="nil"/>
                    <w:tr2bl w:val="nil"/>
                  </w:tcBorders>
                  <w:vAlign w:val="center"/>
                </w:tcPr>
                <w:p w14:paraId="0B738808">
                  <w:pPr>
                    <w:keepNext w:val="0"/>
                    <w:keepLines w:val="0"/>
                    <w:suppressLineNumbers w:val="0"/>
                    <w:spacing w:before="0" w:beforeAutospacing="0" w:after="0" w:afterAutospacing="0"/>
                    <w:ind w:left="0" w:leftChars="0" w:right="0" w:rightChars="0" w:firstLine="0" w:firstLineChars="0"/>
                    <w:jc w:val="center"/>
                    <w:rPr>
                      <w:rFonts w:hint="default"/>
                      <w:b/>
                      <w:bCs/>
                      <w:vertAlign w:val="baseline"/>
                      <w:lang w:val="en-US" w:eastAsia="zh-CN"/>
                    </w:rPr>
                  </w:pPr>
                  <w:r>
                    <w:rPr>
                      <w:rFonts w:hint="eastAsia"/>
                      <w:b/>
                      <w:bCs/>
                      <w:vertAlign w:val="baseline"/>
                      <w:lang w:val="en-US" w:eastAsia="zh-CN"/>
                    </w:rPr>
                    <w:t>主要污染因子</w:t>
                  </w:r>
                </w:p>
              </w:tc>
              <w:tc>
                <w:tcPr>
                  <w:tcW w:w="604" w:type="pct"/>
                  <w:tcBorders>
                    <w:tl2br w:val="nil"/>
                    <w:tr2bl w:val="nil"/>
                  </w:tcBorders>
                  <w:vAlign w:val="center"/>
                </w:tcPr>
                <w:p w14:paraId="0E75F4D3">
                  <w:pPr>
                    <w:keepNext w:val="0"/>
                    <w:keepLines w:val="0"/>
                    <w:suppressLineNumbers w:val="0"/>
                    <w:spacing w:before="0" w:beforeAutospacing="0" w:after="0" w:afterAutospacing="0"/>
                    <w:ind w:left="0" w:leftChars="0" w:right="0" w:rightChars="0" w:firstLine="0" w:firstLineChars="0"/>
                    <w:jc w:val="center"/>
                    <w:rPr>
                      <w:rFonts w:hint="default"/>
                      <w:b/>
                      <w:bCs/>
                      <w:vertAlign w:val="baseline"/>
                      <w:lang w:val="en-US" w:eastAsia="zh-CN"/>
                    </w:rPr>
                  </w:pPr>
                  <w:r>
                    <w:rPr>
                      <w:rFonts w:hint="eastAsia"/>
                      <w:b/>
                      <w:bCs/>
                      <w:vertAlign w:val="baseline"/>
                      <w:lang w:val="en-US" w:eastAsia="zh-CN"/>
                    </w:rPr>
                    <w:t>污染物产生量（t/a）</w:t>
                  </w:r>
                </w:p>
              </w:tc>
              <w:tc>
                <w:tcPr>
                  <w:tcW w:w="1136" w:type="pct"/>
                  <w:tcBorders>
                    <w:tl2br w:val="nil"/>
                    <w:tr2bl w:val="nil"/>
                  </w:tcBorders>
                  <w:vAlign w:val="center"/>
                </w:tcPr>
                <w:p w14:paraId="58F6C500">
                  <w:pPr>
                    <w:keepNext w:val="0"/>
                    <w:keepLines w:val="0"/>
                    <w:suppressLineNumbers w:val="0"/>
                    <w:spacing w:before="0" w:beforeAutospacing="0" w:after="0" w:afterAutospacing="0"/>
                    <w:ind w:left="0" w:leftChars="0" w:right="0" w:rightChars="0" w:firstLine="0" w:firstLineChars="0"/>
                    <w:jc w:val="center"/>
                    <w:rPr>
                      <w:rFonts w:hint="default"/>
                      <w:b/>
                      <w:bCs/>
                      <w:vertAlign w:val="baseline"/>
                      <w:lang w:val="en-US" w:eastAsia="zh-CN"/>
                    </w:rPr>
                  </w:pPr>
                  <w:r>
                    <w:rPr>
                      <w:rFonts w:hint="eastAsia"/>
                      <w:b/>
                      <w:bCs/>
                      <w:vertAlign w:val="baseline"/>
                      <w:lang w:val="en-US" w:eastAsia="zh-CN"/>
                    </w:rPr>
                    <w:t>污染物治理措施</w:t>
                  </w:r>
                </w:p>
              </w:tc>
              <w:tc>
                <w:tcPr>
                  <w:tcW w:w="625" w:type="pct"/>
                  <w:tcBorders>
                    <w:tl2br w:val="nil"/>
                    <w:tr2bl w:val="nil"/>
                  </w:tcBorders>
                  <w:vAlign w:val="center"/>
                </w:tcPr>
                <w:p w14:paraId="17C34EB3">
                  <w:pPr>
                    <w:keepNext w:val="0"/>
                    <w:keepLines w:val="0"/>
                    <w:suppressLineNumbers w:val="0"/>
                    <w:spacing w:before="0" w:beforeAutospacing="0" w:after="0" w:afterAutospacing="0"/>
                    <w:ind w:left="0" w:leftChars="0" w:right="0" w:rightChars="0" w:firstLine="0" w:firstLineChars="0"/>
                    <w:jc w:val="center"/>
                    <w:rPr>
                      <w:rFonts w:hint="default"/>
                      <w:b/>
                      <w:bCs/>
                      <w:vertAlign w:val="baseline"/>
                      <w:lang w:val="en-US" w:eastAsia="zh-CN"/>
                    </w:rPr>
                  </w:pPr>
                  <w:r>
                    <w:rPr>
                      <w:rFonts w:hint="eastAsia"/>
                      <w:b/>
                      <w:bCs/>
                      <w:vertAlign w:val="baseline"/>
                      <w:lang w:val="en-US" w:eastAsia="zh-CN"/>
                    </w:rPr>
                    <w:t>排放形式</w:t>
                  </w:r>
                </w:p>
              </w:tc>
              <w:tc>
                <w:tcPr>
                  <w:tcW w:w="626" w:type="pct"/>
                  <w:tcBorders>
                    <w:tl2br w:val="nil"/>
                    <w:tr2bl w:val="nil"/>
                  </w:tcBorders>
                  <w:vAlign w:val="center"/>
                </w:tcPr>
                <w:p w14:paraId="7DB6A716">
                  <w:pPr>
                    <w:keepNext w:val="0"/>
                    <w:keepLines w:val="0"/>
                    <w:suppressLineNumbers w:val="0"/>
                    <w:spacing w:before="0" w:beforeAutospacing="0" w:after="0" w:afterAutospacing="0"/>
                    <w:ind w:left="0" w:leftChars="0" w:right="0" w:rightChars="0" w:firstLine="0" w:firstLineChars="0"/>
                    <w:jc w:val="center"/>
                    <w:rPr>
                      <w:rFonts w:hint="default"/>
                      <w:b/>
                      <w:bCs/>
                      <w:vertAlign w:val="baseline"/>
                      <w:lang w:val="en-US" w:eastAsia="zh-CN"/>
                    </w:rPr>
                  </w:pPr>
                  <w:r>
                    <w:rPr>
                      <w:rFonts w:hint="eastAsia"/>
                      <w:b/>
                      <w:bCs/>
                      <w:vertAlign w:val="baseline"/>
                      <w:lang w:val="en-US" w:eastAsia="zh-CN"/>
                    </w:rPr>
                    <w:t>污染物排放量（t/a）</w:t>
                  </w:r>
                </w:p>
              </w:tc>
            </w:tr>
            <w:tr w14:paraId="6E78C5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34" w:type="pct"/>
                  <w:tcBorders>
                    <w:tl2br w:val="nil"/>
                    <w:tr2bl w:val="nil"/>
                  </w:tcBorders>
                  <w:vAlign w:val="center"/>
                </w:tcPr>
                <w:p w14:paraId="3A2FD524">
                  <w:pPr>
                    <w:keepNext w:val="0"/>
                    <w:keepLines w:val="0"/>
                    <w:suppressLineNumbers w:val="0"/>
                    <w:spacing w:before="0" w:beforeAutospacing="0" w:after="0" w:afterAutospacing="0"/>
                    <w:ind w:left="0" w:leftChars="0" w:right="0" w:rightChars="0" w:firstLine="0" w:firstLineChars="0"/>
                    <w:jc w:val="center"/>
                    <w:rPr>
                      <w:rFonts w:hint="default"/>
                      <w:vertAlign w:val="baseline"/>
                      <w:lang w:val="en-US" w:eastAsia="zh-CN"/>
                    </w:rPr>
                  </w:pPr>
                  <w:r>
                    <w:rPr>
                      <w:rFonts w:hint="eastAsia"/>
                      <w:vertAlign w:val="baseline"/>
                      <w:lang w:val="en-US" w:eastAsia="zh-CN"/>
                    </w:rPr>
                    <w:t>1</w:t>
                  </w:r>
                </w:p>
              </w:tc>
              <w:tc>
                <w:tcPr>
                  <w:tcW w:w="624" w:type="pct"/>
                  <w:tcBorders>
                    <w:tl2br w:val="nil"/>
                    <w:tr2bl w:val="nil"/>
                  </w:tcBorders>
                  <w:vAlign w:val="center"/>
                </w:tcPr>
                <w:p w14:paraId="258D93BF">
                  <w:pPr>
                    <w:keepNext w:val="0"/>
                    <w:keepLines w:val="0"/>
                    <w:suppressLineNumbers w:val="0"/>
                    <w:spacing w:before="0" w:beforeAutospacing="0" w:after="0" w:afterAutospacing="0"/>
                    <w:ind w:left="0" w:leftChars="0" w:right="0" w:rightChars="0" w:firstLine="0" w:firstLineChars="0"/>
                    <w:jc w:val="center"/>
                    <w:rPr>
                      <w:rFonts w:hint="default"/>
                      <w:vertAlign w:val="baseline"/>
                      <w:lang w:val="en-US" w:eastAsia="zh-CN"/>
                    </w:rPr>
                  </w:pPr>
                  <w:r>
                    <w:rPr>
                      <w:rFonts w:hint="eastAsia"/>
                      <w:vertAlign w:val="baseline"/>
                      <w:lang w:val="en-US" w:eastAsia="zh-CN"/>
                    </w:rPr>
                    <w:t>原料及成品装卸</w:t>
                  </w:r>
                </w:p>
              </w:tc>
              <w:tc>
                <w:tcPr>
                  <w:tcW w:w="463" w:type="pct"/>
                  <w:tcBorders>
                    <w:tl2br w:val="nil"/>
                    <w:tr2bl w:val="nil"/>
                  </w:tcBorders>
                  <w:vAlign w:val="center"/>
                </w:tcPr>
                <w:p w14:paraId="6F8F09DF">
                  <w:pPr>
                    <w:keepNext w:val="0"/>
                    <w:keepLines w:val="0"/>
                    <w:suppressLineNumbers w:val="0"/>
                    <w:spacing w:before="0" w:beforeAutospacing="0" w:after="0" w:afterAutospacing="0"/>
                    <w:ind w:left="0" w:leftChars="0" w:right="0" w:rightChars="0" w:firstLine="0" w:firstLineChars="0"/>
                    <w:jc w:val="center"/>
                    <w:rPr>
                      <w:rFonts w:hint="default"/>
                      <w:vertAlign w:val="baseline"/>
                      <w:lang w:val="en-US" w:eastAsia="zh-CN"/>
                    </w:rPr>
                  </w:pPr>
                  <w:r>
                    <w:rPr>
                      <w:rFonts w:hint="eastAsia"/>
                      <w:vertAlign w:val="baseline"/>
                      <w:lang w:val="en-US" w:eastAsia="zh-CN"/>
                    </w:rPr>
                    <w:t>装卸粉尘</w:t>
                  </w:r>
                </w:p>
              </w:tc>
              <w:tc>
                <w:tcPr>
                  <w:tcW w:w="586" w:type="pct"/>
                  <w:tcBorders>
                    <w:tl2br w:val="nil"/>
                    <w:tr2bl w:val="nil"/>
                  </w:tcBorders>
                  <w:vAlign w:val="center"/>
                </w:tcPr>
                <w:p w14:paraId="6F3EC7B7">
                  <w:pPr>
                    <w:keepNext w:val="0"/>
                    <w:keepLines w:val="0"/>
                    <w:suppressLineNumbers w:val="0"/>
                    <w:spacing w:before="0" w:beforeAutospacing="0" w:after="0" w:afterAutospacing="0"/>
                    <w:ind w:left="0" w:leftChars="0" w:right="0" w:rightChars="0" w:firstLine="0" w:firstLineChars="0"/>
                    <w:jc w:val="center"/>
                    <w:rPr>
                      <w:rFonts w:hint="default"/>
                      <w:vertAlign w:val="baseline"/>
                      <w:lang w:val="en-US" w:eastAsia="zh-CN"/>
                    </w:rPr>
                  </w:pPr>
                  <w:r>
                    <w:rPr>
                      <w:rFonts w:hint="eastAsia"/>
                      <w:vertAlign w:val="baseline"/>
                      <w:lang w:val="en-US" w:eastAsia="zh-CN"/>
                    </w:rPr>
                    <w:t>颗粒物</w:t>
                  </w:r>
                </w:p>
              </w:tc>
              <w:tc>
                <w:tcPr>
                  <w:tcW w:w="604" w:type="pct"/>
                  <w:tcBorders>
                    <w:tl2br w:val="nil"/>
                    <w:tr2bl w:val="nil"/>
                  </w:tcBorders>
                  <w:vAlign w:val="center"/>
                </w:tcPr>
                <w:p w14:paraId="4D018166">
                  <w:pPr>
                    <w:keepNext w:val="0"/>
                    <w:keepLines w:val="0"/>
                    <w:suppressLineNumbers w:val="0"/>
                    <w:spacing w:before="0" w:beforeAutospacing="0" w:after="0" w:afterAutospacing="0"/>
                    <w:ind w:left="0" w:leftChars="0" w:right="0" w:rightChars="0" w:firstLine="0" w:firstLineChars="0"/>
                    <w:jc w:val="center"/>
                    <w:rPr>
                      <w:rFonts w:hint="default"/>
                      <w:vertAlign w:val="baseline"/>
                      <w:lang w:val="en-US" w:eastAsia="zh-CN"/>
                    </w:rPr>
                  </w:pPr>
                  <w:r>
                    <w:rPr>
                      <w:rFonts w:hint="eastAsia"/>
                      <w:vertAlign w:val="baseline"/>
                      <w:lang w:val="en-US" w:eastAsia="zh-CN"/>
                    </w:rPr>
                    <w:t>0.8756</w:t>
                  </w:r>
                </w:p>
              </w:tc>
              <w:tc>
                <w:tcPr>
                  <w:tcW w:w="1136" w:type="pct"/>
                  <w:tcBorders>
                    <w:tl2br w:val="nil"/>
                    <w:tr2bl w:val="nil"/>
                  </w:tcBorders>
                  <w:vAlign w:val="center"/>
                </w:tcPr>
                <w:p w14:paraId="06B4786A">
                  <w:pPr>
                    <w:keepNext w:val="0"/>
                    <w:keepLines w:val="0"/>
                    <w:suppressLineNumbers w:val="0"/>
                    <w:spacing w:before="0" w:beforeAutospacing="0" w:after="0" w:afterAutospacing="0"/>
                    <w:ind w:left="0" w:leftChars="0" w:right="0" w:rightChars="0" w:firstLine="0" w:firstLineChars="0"/>
                    <w:jc w:val="center"/>
                    <w:rPr>
                      <w:rFonts w:hint="default"/>
                      <w:vertAlign w:val="baseline"/>
                      <w:lang w:val="en-US" w:eastAsia="zh-CN"/>
                    </w:rPr>
                  </w:pPr>
                  <w:r>
                    <w:rPr>
                      <w:rFonts w:hint="eastAsia"/>
                      <w:szCs w:val="21"/>
                      <w:lang w:val="en-US" w:eastAsia="zh-CN"/>
                    </w:rPr>
                    <w:t>原料及成品装卸过程</w:t>
                  </w:r>
                  <w:r>
                    <w:rPr>
                      <w:rFonts w:hint="eastAsia"/>
                      <w:szCs w:val="21"/>
                    </w:rPr>
                    <w:t>取</w:t>
                  </w:r>
                  <w:r>
                    <w:rPr>
                      <w:rFonts w:hint="eastAsia"/>
                      <w:szCs w:val="21"/>
                      <w:lang w:val="en-US" w:eastAsia="zh-CN"/>
                    </w:rPr>
                    <w:t>喷淋</w:t>
                  </w:r>
                  <w:r>
                    <w:rPr>
                      <w:rFonts w:hint="eastAsia"/>
                      <w:szCs w:val="21"/>
                    </w:rPr>
                    <w:t>降尘，并在装卸作业过程中加强管理，尽量减小装卸落差距离，降低粉尘产生量，经采取措施后，可将装卸</w:t>
                  </w:r>
                  <w:r>
                    <w:rPr>
                      <w:rFonts w:hint="eastAsia"/>
                      <w:szCs w:val="21"/>
                      <w:lang w:val="en-US" w:eastAsia="zh-CN"/>
                    </w:rPr>
                    <w:t>粉尘产生量</w:t>
                  </w:r>
                  <w:r>
                    <w:rPr>
                      <w:rFonts w:hint="eastAsia"/>
                      <w:szCs w:val="21"/>
                    </w:rPr>
                    <w:t>降低</w:t>
                  </w:r>
                  <w:r>
                    <w:rPr>
                      <w:rFonts w:hint="eastAsia"/>
                      <w:szCs w:val="21"/>
                      <w:lang w:val="en-US" w:eastAsia="zh-CN"/>
                    </w:rPr>
                    <w:t>约70</w:t>
                  </w:r>
                  <w:r>
                    <w:rPr>
                      <w:rFonts w:hint="eastAsia"/>
                      <w:szCs w:val="21"/>
                    </w:rPr>
                    <w:t>%。</w:t>
                  </w:r>
                </w:p>
              </w:tc>
              <w:tc>
                <w:tcPr>
                  <w:tcW w:w="625" w:type="pct"/>
                  <w:tcBorders>
                    <w:tl2br w:val="nil"/>
                    <w:tr2bl w:val="nil"/>
                  </w:tcBorders>
                  <w:vAlign w:val="center"/>
                </w:tcPr>
                <w:p w14:paraId="175B4924">
                  <w:pPr>
                    <w:keepNext w:val="0"/>
                    <w:keepLines w:val="0"/>
                    <w:suppressLineNumbers w:val="0"/>
                    <w:spacing w:before="0" w:beforeAutospacing="0" w:after="0" w:afterAutospacing="0"/>
                    <w:ind w:left="0" w:leftChars="0" w:right="0" w:rightChars="0" w:firstLine="0" w:firstLineChars="0"/>
                    <w:jc w:val="center"/>
                    <w:rPr>
                      <w:rFonts w:hint="default"/>
                      <w:szCs w:val="21"/>
                      <w:lang w:val="en-US" w:eastAsia="zh-CN"/>
                    </w:rPr>
                  </w:pPr>
                  <w:r>
                    <w:rPr>
                      <w:rFonts w:hint="eastAsia"/>
                      <w:szCs w:val="21"/>
                      <w:lang w:val="en-US" w:eastAsia="zh-CN"/>
                    </w:rPr>
                    <w:t>无组织</w:t>
                  </w:r>
                </w:p>
              </w:tc>
              <w:tc>
                <w:tcPr>
                  <w:tcW w:w="626" w:type="pct"/>
                  <w:tcBorders>
                    <w:tl2br w:val="nil"/>
                    <w:tr2bl w:val="nil"/>
                  </w:tcBorders>
                  <w:vAlign w:val="center"/>
                </w:tcPr>
                <w:p w14:paraId="77788CE0">
                  <w:pPr>
                    <w:keepNext w:val="0"/>
                    <w:keepLines w:val="0"/>
                    <w:suppressLineNumbers w:val="0"/>
                    <w:spacing w:before="0" w:beforeAutospacing="0" w:after="0" w:afterAutospacing="0"/>
                    <w:ind w:left="0" w:leftChars="0" w:right="0" w:rightChars="0" w:firstLine="0" w:firstLineChars="0"/>
                    <w:jc w:val="center"/>
                    <w:rPr>
                      <w:rFonts w:hint="default"/>
                      <w:vertAlign w:val="baseline"/>
                      <w:lang w:val="en-US" w:eastAsia="zh-CN"/>
                    </w:rPr>
                  </w:pPr>
                  <w:r>
                    <w:rPr>
                      <w:rFonts w:hint="eastAsia"/>
                      <w:vertAlign w:val="baseline"/>
                      <w:lang w:val="en-US" w:eastAsia="zh-CN"/>
                    </w:rPr>
                    <w:t>0.2627</w:t>
                  </w:r>
                </w:p>
              </w:tc>
            </w:tr>
            <w:tr w14:paraId="47E1A7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34" w:type="pct"/>
                  <w:tcBorders>
                    <w:tl2br w:val="nil"/>
                    <w:tr2bl w:val="nil"/>
                  </w:tcBorders>
                  <w:vAlign w:val="center"/>
                </w:tcPr>
                <w:p w14:paraId="346EB102">
                  <w:pPr>
                    <w:keepNext w:val="0"/>
                    <w:keepLines w:val="0"/>
                    <w:suppressLineNumbers w:val="0"/>
                    <w:spacing w:before="0" w:beforeAutospacing="0" w:after="0" w:afterAutospacing="0"/>
                    <w:ind w:left="0" w:leftChars="0" w:right="0" w:rightChars="0" w:firstLine="0" w:firstLineChars="0"/>
                    <w:jc w:val="center"/>
                    <w:rPr>
                      <w:rFonts w:hint="default"/>
                      <w:vertAlign w:val="baseline"/>
                      <w:lang w:val="en-US" w:eastAsia="zh-CN"/>
                    </w:rPr>
                  </w:pPr>
                  <w:r>
                    <w:rPr>
                      <w:rFonts w:hint="eastAsia"/>
                      <w:vertAlign w:val="baseline"/>
                      <w:lang w:val="en-US" w:eastAsia="zh-CN"/>
                    </w:rPr>
                    <w:t>2</w:t>
                  </w:r>
                </w:p>
              </w:tc>
              <w:tc>
                <w:tcPr>
                  <w:tcW w:w="624" w:type="pct"/>
                  <w:tcBorders>
                    <w:tl2br w:val="nil"/>
                    <w:tr2bl w:val="nil"/>
                  </w:tcBorders>
                  <w:vAlign w:val="center"/>
                </w:tcPr>
                <w:p w14:paraId="6A8B17E1">
                  <w:pPr>
                    <w:keepNext w:val="0"/>
                    <w:keepLines w:val="0"/>
                    <w:suppressLineNumbers w:val="0"/>
                    <w:spacing w:before="0" w:beforeAutospacing="0" w:after="0" w:afterAutospacing="0"/>
                    <w:ind w:left="0" w:leftChars="0" w:right="0" w:rightChars="0" w:firstLine="0" w:firstLineChars="0"/>
                    <w:jc w:val="center"/>
                    <w:rPr>
                      <w:rFonts w:hint="default"/>
                      <w:vertAlign w:val="baseline"/>
                      <w:lang w:val="en-US" w:eastAsia="zh-CN"/>
                    </w:rPr>
                  </w:pPr>
                  <w:r>
                    <w:rPr>
                      <w:rFonts w:hint="eastAsia"/>
                      <w:vertAlign w:val="baseline"/>
                      <w:lang w:val="en-US" w:eastAsia="zh-CN"/>
                    </w:rPr>
                    <w:t>原料及成品堆放</w:t>
                  </w:r>
                </w:p>
              </w:tc>
              <w:tc>
                <w:tcPr>
                  <w:tcW w:w="463" w:type="pct"/>
                  <w:tcBorders>
                    <w:tl2br w:val="nil"/>
                    <w:tr2bl w:val="nil"/>
                  </w:tcBorders>
                  <w:vAlign w:val="center"/>
                </w:tcPr>
                <w:p w14:paraId="0FEEAE86">
                  <w:pPr>
                    <w:keepNext w:val="0"/>
                    <w:keepLines w:val="0"/>
                    <w:suppressLineNumbers w:val="0"/>
                    <w:spacing w:before="0" w:beforeAutospacing="0" w:after="0" w:afterAutospacing="0"/>
                    <w:ind w:left="0" w:leftChars="0" w:right="0" w:rightChars="0" w:firstLine="0" w:firstLineChars="0"/>
                    <w:jc w:val="center"/>
                    <w:rPr>
                      <w:rFonts w:hint="default"/>
                      <w:vertAlign w:val="baseline"/>
                      <w:lang w:val="en-US" w:eastAsia="zh-CN"/>
                    </w:rPr>
                  </w:pPr>
                  <w:r>
                    <w:rPr>
                      <w:rFonts w:hint="eastAsia"/>
                      <w:vertAlign w:val="baseline"/>
                      <w:lang w:val="en-US" w:eastAsia="zh-CN"/>
                    </w:rPr>
                    <w:t>堆存粉尘</w:t>
                  </w:r>
                </w:p>
              </w:tc>
              <w:tc>
                <w:tcPr>
                  <w:tcW w:w="586" w:type="pct"/>
                  <w:tcBorders>
                    <w:tl2br w:val="nil"/>
                    <w:tr2bl w:val="nil"/>
                  </w:tcBorders>
                  <w:vAlign w:val="center"/>
                </w:tcPr>
                <w:p w14:paraId="6D5166F4">
                  <w:pPr>
                    <w:keepNext w:val="0"/>
                    <w:keepLines w:val="0"/>
                    <w:suppressLineNumbers w:val="0"/>
                    <w:spacing w:before="0" w:beforeAutospacing="0" w:after="0" w:afterAutospacing="0"/>
                    <w:ind w:left="0" w:leftChars="0" w:right="0" w:rightChars="0" w:firstLine="0" w:firstLineChars="0"/>
                    <w:jc w:val="center"/>
                    <w:rPr>
                      <w:rFonts w:hint="default"/>
                      <w:vertAlign w:val="baseline"/>
                      <w:lang w:val="en-US" w:eastAsia="zh-CN"/>
                    </w:rPr>
                  </w:pPr>
                  <w:r>
                    <w:rPr>
                      <w:rFonts w:hint="eastAsia"/>
                      <w:vertAlign w:val="baseline"/>
                      <w:lang w:val="en-US" w:eastAsia="zh-CN"/>
                    </w:rPr>
                    <w:t>颗粒物</w:t>
                  </w:r>
                </w:p>
              </w:tc>
              <w:tc>
                <w:tcPr>
                  <w:tcW w:w="604" w:type="pct"/>
                  <w:tcBorders>
                    <w:tl2br w:val="nil"/>
                    <w:tr2bl w:val="nil"/>
                  </w:tcBorders>
                  <w:vAlign w:val="center"/>
                </w:tcPr>
                <w:p w14:paraId="057FF068">
                  <w:pPr>
                    <w:keepNext w:val="0"/>
                    <w:keepLines w:val="0"/>
                    <w:suppressLineNumbers w:val="0"/>
                    <w:spacing w:before="0" w:beforeAutospacing="0" w:after="0" w:afterAutospacing="0"/>
                    <w:ind w:left="0" w:leftChars="0" w:right="0" w:rightChars="0" w:firstLine="0" w:firstLineChars="0"/>
                    <w:jc w:val="center"/>
                    <w:rPr>
                      <w:rFonts w:hint="default"/>
                      <w:vertAlign w:val="baseline"/>
                      <w:lang w:val="en-US" w:eastAsia="zh-CN"/>
                    </w:rPr>
                  </w:pPr>
                  <w:r>
                    <w:rPr>
                      <w:rFonts w:hint="eastAsia"/>
                      <w:vertAlign w:val="baseline"/>
                      <w:lang w:val="en-US" w:eastAsia="zh-CN"/>
                    </w:rPr>
                    <w:t>1.0763</w:t>
                  </w:r>
                </w:p>
              </w:tc>
              <w:tc>
                <w:tcPr>
                  <w:tcW w:w="1136" w:type="pct"/>
                  <w:tcBorders>
                    <w:tl2br w:val="nil"/>
                    <w:tr2bl w:val="nil"/>
                  </w:tcBorders>
                  <w:vAlign w:val="center"/>
                </w:tcPr>
                <w:p w14:paraId="545EA15C">
                  <w:pPr>
                    <w:keepNext w:val="0"/>
                    <w:keepLines w:val="0"/>
                    <w:suppressLineNumbers w:val="0"/>
                    <w:spacing w:before="0" w:beforeAutospacing="0" w:after="0" w:afterAutospacing="0"/>
                    <w:ind w:left="0" w:leftChars="0" w:right="0" w:rightChars="0" w:firstLine="0" w:firstLineChars="0"/>
                    <w:jc w:val="center"/>
                    <w:rPr>
                      <w:rFonts w:hint="default"/>
                      <w:vertAlign w:val="baseline"/>
                      <w:lang w:val="en-US" w:eastAsia="zh-CN"/>
                    </w:rPr>
                  </w:pPr>
                  <w:r>
                    <w:rPr>
                      <w:rFonts w:hint="eastAsia"/>
                      <w:szCs w:val="21"/>
                      <w:lang w:val="en-US" w:eastAsia="zh-CN"/>
                    </w:rPr>
                    <w:t>项目</w:t>
                  </w:r>
                  <w:r>
                    <w:rPr>
                      <w:rFonts w:hint="eastAsia"/>
                      <w:szCs w:val="21"/>
                    </w:rPr>
                    <w:t>堆场设三面围挡及</w:t>
                  </w:r>
                  <w:r>
                    <w:rPr>
                      <w:rFonts w:hint="eastAsia"/>
                      <w:szCs w:val="21"/>
                      <w:lang w:eastAsia="zh-CN"/>
                    </w:rPr>
                    <w:t>铺设防尘网</w:t>
                  </w:r>
                  <w:r>
                    <w:rPr>
                      <w:rFonts w:hint="eastAsia"/>
                      <w:szCs w:val="21"/>
                      <w:lang w:val="en-US" w:eastAsia="zh-CN"/>
                    </w:rPr>
                    <w:t>，堆场内设置喷淋控尘装置，在干燥天气增加对堆场洒水频次，保证物料堆面层湿润，同时在物料表面敷设防尘网，减少风力起尘。采取以上措施后项目堆场粉尘产生量最低可降低80%</w:t>
                  </w:r>
                </w:p>
              </w:tc>
              <w:tc>
                <w:tcPr>
                  <w:tcW w:w="625" w:type="pct"/>
                  <w:tcBorders>
                    <w:tl2br w:val="nil"/>
                    <w:tr2bl w:val="nil"/>
                  </w:tcBorders>
                  <w:vAlign w:val="center"/>
                </w:tcPr>
                <w:p w14:paraId="1553E4D3">
                  <w:pPr>
                    <w:keepNext w:val="0"/>
                    <w:keepLines w:val="0"/>
                    <w:suppressLineNumbers w:val="0"/>
                    <w:spacing w:before="0" w:beforeAutospacing="0" w:after="0" w:afterAutospacing="0"/>
                    <w:ind w:left="0" w:leftChars="0" w:right="0" w:rightChars="0" w:firstLine="0" w:firstLineChars="0"/>
                    <w:jc w:val="center"/>
                    <w:rPr>
                      <w:rFonts w:hint="eastAsia"/>
                      <w:szCs w:val="21"/>
                      <w:lang w:val="en-US" w:eastAsia="zh-CN"/>
                    </w:rPr>
                  </w:pPr>
                  <w:r>
                    <w:rPr>
                      <w:rFonts w:hint="eastAsia"/>
                      <w:szCs w:val="21"/>
                      <w:lang w:val="en-US" w:eastAsia="zh-CN"/>
                    </w:rPr>
                    <w:t>无组织</w:t>
                  </w:r>
                </w:p>
              </w:tc>
              <w:tc>
                <w:tcPr>
                  <w:tcW w:w="626" w:type="pct"/>
                  <w:tcBorders>
                    <w:tl2br w:val="nil"/>
                    <w:tr2bl w:val="nil"/>
                  </w:tcBorders>
                  <w:vAlign w:val="center"/>
                </w:tcPr>
                <w:p w14:paraId="62E58938">
                  <w:pPr>
                    <w:keepNext w:val="0"/>
                    <w:keepLines w:val="0"/>
                    <w:suppressLineNumbers w:val="0"/>
                    <w:spacing w:before="0" w:beforeAutospacing="0" w:after="0" w:afterAutospacing="0"/>
                    <w:ind w:left="0" w:leftChars="0" w:right="0" w:rightChars="0" w:firstLine="0" w:firstLineChars="0"/>
                    <w:jc w:val="center"/>
                    <w:rPr>
                      <w:rFonts w:hint="default"/>
                      <w:vertAlign w:val="baseline"/>
                      <w:lang w:val="en-US" w:eastAsia="zh-CN"/>
                    </w:rPr>
                  </w:pPr>
                  <w:r>
                    <w:rPr>
                      <w:rFonts w:hint="eastAsia"/>
                      <w:vertAlign w:val="baseline"/>
                      <w:lang w:val="en-US" w:eastAsia="zh-CN"/>
                    </w:rPr>
                    <w:t>0.2153</w:t>
                  </w:r>
                </w:p>
              </w:tc>
            </w:tr>
            <w:tr w14:paraId="66ACCF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34" w:type="pct"/>
                  <w:tcBorders>
                    <w:tl2br w:val="nil"/>
                    <w:tr2bl w:val="nil"/>
                  </w:tcBorders>
                  <w:vAlign w:val="center"/>
                </w:tcPr>
                <w:p w14:paraId="236FCFEC">
                  <w:pPr>
                    <w:keepNext w:val="0"/>
                    <w:keepLines w:val="0"/>
                    <w:suppressLineNumbers w:val="0"/>
                    <w:spacing w:before="0" w:beforeAutospacing="0" w:after="0" w:afterAutospacing="0"/>
                    <w:ind w:left="0" w:leftChars="0" w:right="0" w:rightChars="0" w:firstLine="0" w:firstLineChars="0"/>
                    <w:jc w:val="center"/>
                    <w:rPr>
                      <w:rFonts w:hint="default"/>
                      <w:vertAlign w:val="baseline"/>
                      <w:lang w:val="en-US" w:eastAsia="zh-CN"/>
                    </w:rPr>
                  </w:pPr>
                  <w:r>
                    <w:rPr>
                      <w:rFonts w:hint="eastAsia"/>
                      <w:vertAlign w:val="baseline"/>
                      <w:lang w:val="en-US" w:eastAsia="zh-CN"/>
                    </w:rPr>
                    <w:t>3</w:t>
                  </w:r>
                </w:p>
              </w:tc>
              <w:tc>
                <w:tcPr>
                  <w:tcW w:w="624" w:type="pct"/>
                  <w:tcBorders>
                    <w:tl2br w:val="nil"/>
                    <w:tr2bl w:val="nil"/>
                  </w:tcBorders>
                  <w:vAlign w:val="center"/>
                </w:tcPr>
                <w:p w14:paraId="48133154">
                  <w:pPr>
                    <w:keepNext w:val="0"/>
                    <w:keepLines w:val="0"/>
                    <w:suppressLineNumbers w:val="0"/>
                    <w:spacing w:before="0" w:beforeAutospacing="0" w:after="0" w:afterAutospacing="0"/>
                    <w:ind w:left="0" w:leftChars="0" w:right="0" w:rightChars="0" w:firstLine="0" w:firstLineChars="0"/>
                    <w:jc w:val="center"/>
                    <w:rPr>
                      <w:rFonts w:hint="default"/>
                      <w:vertAlign w:val="baseline"/>
                      <w:lang w:val="en-US" w:eastAsia="zh-CN"/>
                    </w:rPr>
                  </w:pPr>
                  <w:r>
                    <w:rPr>
                      <w:rFonts w:hint="eastAsia"/>
                      <w:vertAlign w:val="baseline"/>
                      <w:lang w:val="en-US" w:eastAsia="zh-CN"/>
                    </w:rPr>
                    <w:t>进料</w:t>
                  </w:r>
                </w:p>
              </w:tc>
              <w:tc>
                <w:tcPr>
                  <w:tcW w:w="463" w:type="pct"/>
                  <w:tcBorders>
                    <w:tl2br w:val="nil"/>
                    <w:tr2bl w:val="nil"/>
                  </w:tcBorders>
                  <w:vAlign w:val="center"/>
                </w:tcPr>
                <w:p w14:paraId="22A43290">
                  <w:pPr>
                    <w:keepNext w:val="0"/>
                    <w:keepLines w:val="0"/>
                    <w:suppressLineNumbers w:val="0"/>
                    <w:spacing w:before="0" w:beforeAutospacing="0" w:after="0" w:afterAutospacing="0"/>
                    <w:ind w:left="0" w:leftChars="0" w:right="0" w:rightChars="0" w:firstLine="0" w:firstLineChars="0"/>
                    <w:jc w:val="center"/>
                    <w:rPr>
                      <w:rFonts w:hint="default"/>
                      <w:vertAlign w:val="baseline"/>
                      <w:lang w:val="en-US" w:eastAsia="zh-CN"/>
                    </w:rPr>
                  </w:pPr>
                  <w:r>
                    <w:rPr>
                      <w:rFonts w:hint="eastAsia"/>
                      <w:vertAlign w:val="baseline"/>
                      <w:lang w:val="en-US" w:eastAsia="zh-CN"/>
                    </w:rPr>
                    <w:t>进料粉尘</w:t>
                  </w:r>
                </w:p>
              </w:tc>
              <w:tc>
                <w:tcPr>
                  <w:tcW w:w="586" w:type="pct"/>
                  <w:tcBorders>
                    <w:tl2br w:val="nil"/>
                    <w:tr2bl w:val="nil"/>
                  </w:tcBorders>
                  <w:vAlign w:val="center"/>
                </w:tcPr>
                <w:p w14:paraId="5C2787D7">
                  <w:pPr>
                    <w:keepNext w:val="0"/>
                    <w:keepLines w:val="0"/>
                    <w:suppressLineNumbers w:val="0"/>
                    <w:spacing w:before="0" w:beforeAutospacing="0" w:after="0" w:afterAutospacing="0"/>
                    <w:ind w:left="0" w:leftChars="0" w:right="0" w:rightChars="0" w:firstLine="0" w:firstLineChars="0"/>
                    <w:jc w:val="center"/>
                    <w:rPr>
                      <w:rFonts w:hint="default"/>
                      <w:vertAlign w:val="baseline"/>
                      <w:lang w:val="en-US" w:eastAsia="zh-CN"/>
                    </w:rPr>
                  </w:pPr>
                  <w:r>
                    <w:rPr>
                      <w:rFonts w:hint="eastAsia"/>
                      <w:vertAlign w:val="baseline"/>
                      <w:lang w:val="en-US" w:eastAsia="zh-CN"/>
                    </w:rPr>
                    <w:t>颗粒物</w:t>
                  </w:r>
                </w:p>
              </w:tc>
              <w:tc>
                <w:tcPr>
                  <w:tcW w:w="604" w:type="pct"/>
                  <w:tcBorders>
                    <w:tl2br w:val="nil"/>
                    <w:tr2bl w:val="nil"/>
                  </w:tcBorders>
                  <w:vAlign w:val="center"/>
                </w:tcPr>
                <w:p w14:paraId="3C7CC279">
                  <w:pPr>
                    <w:keepNext w:val="0"/>
                    <w:keepLines w:val="0"/>
                    <w:suppressLineNumbers w:val="0"/>
                    <w:spacing w:before="0" w:beforeAutospacing="0" w:after="0" w:afterAutospacing="0"/>
                    <w:ind w:left="0" w:leftChars="0" w:right="0" w:rightChars="0" w:firstLine="0" w:firstLineChars="0"/>
                    <w:jc w:val="center"/>
                    <w:rPr>
                      <w:rFonts w:hint="default"/>
                      <w:vertAlign w:val="baseline"/>
                      <w:lang w:val="en-US" w:eastAsia="zh-CN"/>
                    </w:rPr>
                  </w:pPr>
                  <w:r>
                    <w:rPr>
                      <w:rFonts w:hint="eastAsia"/>
                      <w:vertAlign w:val="baseline"/>
                      <w:lang w:val="en-US" w:eastAsia="zh-CN"/>
                    </w:rPr>
                    <w:t>0.2079</w:t>
                  </w:r>
                </w:p>
              </w:tc>
              <w:tc>
                <w:tcPr>
                  <w:tcW w:w="1136" w:type="pct"/>
                  <w:tcBorders>
                    <w:tl2br w:val="nil"/>
                    <w:tr2bl w:val="nil"/>
                  </w:tcBorders>
                  <w:vAlign w:val="center"/>
                </w:tcPr>
                <w:p w14:paraId="0E6C5B58">
                  <w:pPr>
                    <w:keepNext w:val="0"/>
                    <w:keepLines w:val="0"/>
                    <w:suppressLineNumbers w:val="0"/>
                    <w:spacing w:before="0" w:beforeAutospacing="0" w:after="0" w:afterAutospacing="0"/>
                    <w:ind w:left="0" w:leftChars="0" w:right="0" w:rightChars="0" w:firstLine="0" w:firstLineChars="0"/>
                    <w:jc w:val="center"/>
                    <w:rPr>
                      <w:rFonts w:hint="default"/>
                      <w:vertAlign w:val="baseline"/>
                      <w:lang w:val="en-US" w:eastAsia="zh-CN"/>
                    </w:rPr>
                  </w:pPr>
                  <w:r>
                    <w:rPr>
                      <w:rFonts w:hint="eastAsia"/>
                      <w:vertAlign w:val="baseline"/>
                      <w:lang w:val="en-US" w:eastAsia="zh-CN"/>
                    </w:rPr>
                    <w:t>进料过程在封闭的厂房中进行，进料口设置喷淋降尘装置。进料过程产生的粉尘大部分能自然沉降在车间内，10%通过车间大门逸散到外环境</w:t>
                  </w:r>
                </w:p>
              </w:tc>
              <w:tc>
                <w:tcPr>
                  <w:tcW w:w="625" w:type="pct"/>
                  <w:tcBorders>
                    <w:tl2br w:val="nil"/>
                    <w:tr2bl w:val="nil"/>
                  </w:tcBorders>
                  <w:vAlign w:val="center"/>
                </w:tcPr>
                <w:p w14:paraId="58E9FBEC">
                  <w:pPr>
                    <w:keepNext w:val="0"/>
                    <w:keepLines w:val="0"/>
                    <w:suppressLineNumbers w:val="0"/>
                    <w:spacing w:before="0" w:beforeAutospacing="0" w:after="0" w:afterAutospacing="0"/>
                    <w:ind w:left="0" w:leftChars="0" w:right="0" w:rightChars="0" w:firstLine="0" w:firstLineChars="0"/>
                    <w:jc w:val="center"/>
                    <w:rPr>
                      <w:rFonts w:hint="eastAsia"/>
                      <w:vertAlign w:val="baseline"/>
                      <w:lang w:val="en-US" w:eastAsia="zh-CN"/>
                    </w:rPr>
                  </w:pPr>
                  <w:r>
                    <w:rPr>
                      <w:rFonts w:hint="eastAsia"/>
                      <w:szCs w:val="21"/>
                      <w:lang w:val="en-US" w:eastAsia="zh-CN"/>
                    </w:rPr>
                    <w:t>无组织</w:t>
                  </w:r>
                </w:p>
              </w:tc>
              <w:tc>
                <w:tcPr>
                  <w:tcW w:w="626" w:type="pct"/>
                  <w:tcBorders>
                    <w:tl2br w:val="nil"/>
                    <w:tr2bl w:val="nil"/>
                  </w:tcBorders>
                  <w:vAlign w:val="center"/>
                </w:tcPr>
                <w:p w14:paraId="26FB945C">
                  <w:pPr>
                    <w:keepNext w:val="0"/>
                    <w:keepLines w:val="0"/>
                    <w:suppressLineNumbers w:val="0"/>
                    <w:spacing w:before="0" w:beforeAutospacing="0" w:after="0" w:afterAutospacing="0"/>
                    <w:ind w:left="0" w:leftChars="0" w:right="0" w:rightChars="0" w:firstLine="0" w:firstLineChars="0"/>
                    <w:jc w:val="center"/>
                    <w:rPr>
                      <w:rFonts w:hint="default"/>
                      <w:vertAlign w:val="baseline"/>
                      <w:lang w:val="en-US" w:eastAsia="zh-CN"/>
                    </w:rPr>
                  </w:pPr>
                  <w:r>
                    <w:rPr>
                      <w:rFonts w:hint="eastAsia"/>
                      <w:vertAlign w:val="baseline"/>
                      <w:lang w:val="en-US" w:eastAsia="zh-CN"/>
                    </w:rPr>
                    <w:t>0.0208</w:t>
                  </w:r>
                </w:p>
              </w:tc>
            </w:tr>
            <w:tr w14:paraId="2B9007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34" w:type="pct"/>
                  <w:tcBorders>
                    <w:tl2br w:val="nil"/>
                    <w:tr2bl w:val="nil"/>
                  </w:tcBorders>
                  <w:vAlign w:val="center"/>
                </w:tcPr>
                <w:p w14:paraId="70E9A65A">
                  <w:pPr>
                    <w:keepNext w:val="0"/>
                    <w:keepLines w:val="0"/>
                    <w:suppressLineNumbers w:val="0"/>
                    <w:spacing w:before="0" w:beforeAutospacing="0" w:after="0" w:afterAutospacing="0"/>
                    <w:ind w:left="0" w:leftChars="0" w:right="0" w:rightChars="0" w:firstLine="0" w:firstLineChars="0"/>
                    <w:jc w:val="center"/>
                    <w:rPr>
                      <w:rFonts w:hint="default"/>
                      <w:vertAlign w:val="baseline"/>
                      <w:lang w:val="en-US" w:eastAsia="zh-CN"/>
                    </w:rPr>
                  </w:pPr>
                  <w:r>
                    <w:rPr>
                      <w:rFonts w:hint="eastAsia"/>
                      <w:vertAlign w:val="baseline"/>
                      <w:lang w:val="en-US" w:eastAsia="zh-CN"/>
                    </w:rPr>
                    <w:t>4</w:t>
                  </w:r>
                </w:p>
              </w:tc>
              <w:tc>
                <w:tcPr>
                  <w:tcW w:w="624" w:type="pct"/>
                  <w:tcBorders>
                    <w:tl2br w:val="nil"/>
                    <w:tr2bl w:val="nil"/>
                  </w:tcBorders>
                  <w:vAlign w:val="center"/>
                </w:tcPr>
                <w:p w14:paraId="06D8197A">
                  <w:pPr>
                    <w:keepNext w:val="0"/>
                    <w:keepLines w:val="0"/>
                    <w:suppressLineNumbers w:val="0"/>
                    <w:spacing w:before="0" w:beforeAutospacing="0" w:after="0" w:afterAutospacing="0"/>
                    <w:ind w:left="0" w:leftChars="0" w:right="0" w:rightChars="0" w:firstLine="0" w:firstLineChars="0"/>
                    <w:jc w:val="center"/>
                    <w:rPr>
                      <w:rFonts w:hint="default"/>
                      <w:vertAlign w:val="baseline"/>
                      <w:lang w:val="en-US" w:eastAsia="zh-CN"/>
                    </w:rPr>
                  </w:pPr>
                  <w:r>
                    <w:rPr>
                      <w:rFonts w:hint="eastAsia"/>
                      <w:vertAlign w:val="baseline"/>
                      <w:lang w:val="en-US" w:eastAsia="zh-CN"/>
                    </w:rPr>
                    <w:t>破碎</w:t>
                  </w:r>
                </w:p>
              </w:tc>
              <w:tc>
                <w:tcPr>
                  <w:tcW w:w="463" w:type="pct"/>
                  <w:tcBorders>
                    <w:tl2br w:val="nil"/>
                    <w:tr2bl w:val="nil"/>
                  </w:tcBorders>
                  <w:vAlign w:val="center"/>
                </w:tcPr>
                <w:p w14:paraId="7202433E">
                  <w:pPr>
                    <w:keepNext w:val="0"/>
                    <w:keepLines w:val="0"/>
                    <w:suppressLineNumbers w:val="0"/>
                    <w:spacing w:before="0" w:beforeAutospacing="0" w:after="0" w:afterAutospacing="0"/>
                    <w:ind w:left="0" w:leftChars="0" w:right="0" w:rightChars="0" w:firstLine="0" w:firstLineChars="0"/>
                    <w:jc w:val="center"/>
                    <w:rPr>
                      <w:rFonts w:hint="default"/>
                      <w:vertAlign w:val="baseline"/>
                      <w:lang w:val="en-US" w:eastAsia="zh-CN"/>
                    </w:rPr>
                  </w:pPr>
                  <w:r>
                    <w:rPr>
                      <w:rFonts w:hint="eastAsia"/>
                      <w:vertAlign w:val="baseline"/>
                      <w:lang w:val="en-US" w:eastAsia="zh-CN"/>
                    </w:rPr>
                    <w:t>破碎粉尘</w:t>
                  </w:r>
                </w:p>
              </w:tc>
              <w:tc>
                <w:tcPr>
                  <w:tcW w:w="586" w:type="pct"/>
                  <w:tcBorders>
                    <w:tl2br w:val="nil"/>
                    <w:tr2bl w:val="nil"/>
                  </w:tcBorders>
                  <w:vAlign w:val="center"/>
                </w:tcPr>
                <w:p w14:paraId="04147360">
                  <w:pPr>
                    <w:keepNext w:val="0"/>
                    <w:keepLines w:val="0"/>
                    <w:suppressLineNumbers w:val="0"/>
                    <w:spacing w:before="0" w:beforeAutospacing="0" w:after="0" w:afterAutospacing="0"/>
                    <w:ind w:left="0" w:leftChars="0" w:right="0" w:rightChars="0" w:firstLine="0" w:firstLineChars="0"/>
                    <w:jc w:val="center"/>
                    <w:rPr>
                      <w:rFonts w:hint="default"/>
                      <w:vertAlign w:val="baseline"/>
                      <w:lang w:val="en-US" w:eastAsia="zh-CN"/>
                    </w:rPr>
                  </w:pPr>
                  <w:r>
                    <w:rPr>
                      <w:rFonts w:hint="eastAsia"/>
                      <w:vertAlign w:val="baseline"/>
                      <w:lang w:val="en-US" w:eastAsia="zh-CN"/>
                    </w:rPr>
                    <w:t>颗粒物</w:t>
                  </w:r>
                </w:p>
              </w:tc>
              <w:tc>
                <w:tcPr>
                  <w:tcW w:w="604" w:type="pct"/>
                  <w:tcBorders>
                    <w:tl2br w:val="nil"/>
                    <w:tr2bl w:val="nil"/>
                  </w:tcBorders>
                  <w:vAlign w:val="center"/>
                </w:tcPr>
                <w:p w14:paraId="041D2D5A">
                  <w:pPr>
                    <w:keepNext w:val="0"/>
                    <w:keepLines w:val="0"/>
                    <w:suppressLineNumbers w:val="0"/>
                    <w:spacing w:before="0" w:beforeAutospacing="0" w:after="0" w:afterAutospacing="0"/>
                    <w:ind w:left="0" w:leftChars="0" w:right="0" w:rightChars="0" w:firstLine="0" w:firstLineChars="0"/>
                    <w:jc w:val="center"/>
                    <w:rPr>
                      <w:rFonts w:hint="default"/>
                      <w:vertAlign w:val="baseline"/>
                      <w:lang w:val="en-US" w:eastAsia="zh-CN"/>
                    </w:rPr>
                  </w:pPr>
                  <w:r>
                    <w:rPr>
                      <w:rFonts w:hint="eastAsia"/>
                      <w:vertAlign w:val="baseline"/>
                      <w:lang w:val="en-US" w:eastAsia="zh-CN"/>
                    </w:rPr>
                    <w:t>1.4213</w:t>
                  </w:r>
                </w:p>
              </w:tc>
              <w:tc>
                <w:tcPr>
                  <w:tcW w:w="1136" w:type="pct"/>
                  <w:tcBorders>
                    <w:tl2br w:val="nil"/>
                    <w:tr2bl w:val="nil"/>
                  </w:tcBorders>
                  <w:vAlign w:val="center"/>
                </w:tcPr>
                <w:p w14:paraId="53EBD434">
                  <w:pPr>
                    <w:keepNext w:val="0"/>
                    <w:keepLines w:val="0"/>
                    <w:suppressLineNumbers w:val="0"/>
                    <w:spacing w:before="0" w:beforeAutospacing="0" w:after="0" w:afterAutospacing="0"/>
                    <w:ind w:left="0" w:leftChars="0" w:right="0" w:rightChars="0" w:firstLine="0" w:firstLineChars="0"/>
                    <w:jc w:val="center"/>
                    <w:rPr>
                      <w:rFonts w:hint="default"/>
                      <w:vertAlign w:val="baseline"/>
                      <w:lang w:val="en-US" w:eastAsia="zh-CN"/>
                    </w:rPr>
                  </w:pPr>
                  <w:r>
                    <w:rPr>
                      <w:rFonts w:hint="eastAsia"/>
                      <w:vertAlign w:val="baseline"/>
                      <w:lang w:val="en-US" w:eastAsia="zh-CN"/>
                    </w:rPr>
                    <w:t>破碎过程在封闭的厂房中进行，破碎机的进料口和出料口设置喷淋降尘装置。</w:t>
                  </w:r>
                  <w:r>
                    <w:rPr>
                      <w:rFonts w:hint="eastAsia"/>
                      <w:szCs w:val="21"/>
                    </w:rPr>
                    <w:t>根据调查资料，破碎</w:t>
                  </w:r>
                  <w:r>
                    <w:rPr>
                      <w:rFonts w:hint="eastAsia"/>
                      <w:szCs w:val="21"/>
                      <w:lang w:val="en-US" w:eastAsia="zh-CN"/>
                    </w:rPr>
                    <w:t>过程</w:t>
                  </w:r>
                  <w:r>
                    <w:rPr>
                      <w:rFonts w:hint="eastAsia"/>
                      <w:szCs w:val="21"/>
                    </w:rPr>
                    <w:t>颗粒物粒径＞100μm以上的占到9</w:t>
                  </w:r>
                  <w:r>
                    <w:rPr>
                      <w:rFonts w:hint="eastAsia"/>
                      <w:szCs w:val="21"/>
                      <w:lang w:val="en-US" w:eastAsia="zh-CN"/>
                    </w:rPr>
                    <w:t>0</w:t>
                  </w:r>
                  <w:r>
                    <w:rPr>
                      <w:rFonts w:hint="eastAsia"/>
                      <w:szCs w:val="21"/>
                    </w:rPr>
                    <w:t>%左右，这部分颗粒物在破碎机近距离内就能够自然沉降；粒径≤100μm的占</w:t>
                  </w:r>
                  <w:r>
                    <w:rPr>
                      <w:rFonts w:hint="eastAsia"/>
                      <w:szCs w:val="21"/>
                      <w:lang w:val="en-US" w:eastAsia="zh-CN"/>
                    </w:rPr>
                    <w:t>10</w:t>
                  </w:r>
                  <w:r>
                    <w:rPr>
                      <w:rFonts w:hint="eastAsia"/>
                      <w:szCs w:val="21"/>
                    </w:rPr>
                    <w:t>%</w:t>
                  </w:r>
                  <w:r>
                    <w:rPr>
                      <w:rFonts w:hint="eastAsia"/>
                      <w:szCs w:val="21"/>
                      <w:lang w:val="en-US" w:eastAsia="zh-CN"/>
                    </w:rPr>
                    <w:t>逸散到车间外环境</w:t>
                  </w:r>
                  <w:r>
                    <w:rPr>
                      <w:rFonts w:hint="eastAsia"/>
                      <w:szCs w:val="21"/>
                    </w:rPr>
                    <w:t>。</w:t>
                  </w:r>
                </w:p>
              </w:tc>
              <w:tc>
                <w:tcPr>
                  <w:tcW w:w="625" w:type="pct"/>
                  <w:tcBorders>
                    <w:tl2br w:val="nil"/>
                    <w:tr2bl w:val="nil"/>
                  </w:tcBorders>
                  <w:vAlign w:val="center"/>
                </w:tcPr>
                <w:p w14:paraId="58C19861">
                  <w:pPr>
                    <w:keepNext w:val="0"/>
                    <w:keepLines w:val="0"/>
                    <w:suppressLineNumbers w:val="0"/>
                    <w:spacing w:before="0" w:beforeAutospacing="0" w:after="0" w:afterAutospacing="0"/>
                    <w:ind w:left="0" w:leftChars="0" w:right="0" w:rightChars="0" w:firstLine="0" w:firstLineChars="0"/>
                    <w:jc w:val="center"/>
                    <w:rPr>
                      <w:rFonts w:hint="eastAsia"/>
                      <w:vertAlign w:val="baseline"/>
                      <w:lang w:val="en-US" w:eastAsia="zh-CN"/>
                    </w:rPr>
                  </w:pPr>
                  <w:r>
                    <w:rPr>
                      <w:rFonts w:hint="eastAsia"/>
                      <w:szCs w:val="21"/>
                      <w:lang w:val="en-US" w:eastAsia="zh-CN"/>
                    </w:rPr>
                    <w:t>无组织</w:t>
                  </w:r>
                </w:p>
              </w:tc>
              <w:tc>
                <w:tcPr>
                  <w:tcW w:w="626" w:type="pct"/>
                  <w:tcBorders>
                    <w:tl2br w:val="nil"/>
                    <w:tr2bl w:val="nil"/>
                  </w:tcBorders>
                  <w:vAlign w:val="center"/>
                </w:tcPr>
                <w:p w14:paraId="6EACA2B4">
                  <w:pPr>
                    <w:keepNext w:val="0"/>
                    <w:keepLines w:val="0"/>
                    <w:suppressLineNumbers w:val="0"/>
                    <w:spacing w:before="0" w:beforeAutospacing="0" w:after="0" w:afterAutospacing="0"/>
                    <w:ind w:left="0" w:leftChars="0" w:right="0" w:rightChars="0" w:firstLine="0" w:firstLineChars="0"/>
                    <w:jc w:val="center"/>
                    <w:rPr>
                      <w:rFonts w:hint="default"/>
                      <w:vertAlign w:val="baseline"/>
                      <w:lang w:val="en-US" w:eastAsia="zh-CN"/>
                    </w:rPr>
                  </w:pPr>
                  <w:r>
                    <w:rPr>
                      <w:rFonts w:hint="eastAsia"/>
                      <w:vertAlign w:val="baseline"/>
                      <w:lang w:val="en-US" w:eastAsia="zh-CN"/>
                    </w:rPr>
                    <w:t>0.1421</w:t>
                  </w:r>
                </w:p>
              </w:tc>
            </w:tr>
            <w:tr w14:paraId="2B1481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34" w:type="pct"/>
                  <w:tcBorders>
                    <w:tl2br w:val="nil"/>
                    <w:tr2bl w:val="nil"/>
                  </w:tcBorders>
                  <w:vAlign w:val="center"/>
                </w:tcPr>
                <w:p w14:paraId="283C2C98">
                  <w:pPr>
                    <w:keepNext w:val="0"/>
                    <w:keepLines w:val="0"/>
                    <w:suppressLineNumbers w:val="0"/>
                    <w:spacing w:before="0" w:beforeAutospacing="0" w:after="0" w:afterAutospacing="0"/>
                    <w:ind w:left="0" w:leftChars="0" w:right="0" w:rightChars="0" w:firstLine="0" w:firstLineChars="0"/>
                    <w:jc w:val="center"/>
                    <w:rPr>
                      <w:rFonts w:hint="default"/>
                      <w:vertAlign w:val="baseline"/>
                      <w:lang w:val="en-US" w:eastAsia="zh-CN"/>
                    </w:rPr>
                  </w:pPr>
                  <w:r>
                    <w:rPr>
                      <w:rFonts w:hint="eastAsia"/>
                      <w:vertAlign w:val="baseline"/>
                      <w:lang w:val="en-US" w:eastAsia="zh-CN"/>
                    </w:rPr>
                    <w:t>5</w:t>
                  </w:r>
                </w:p>
              </w:tc>
              <w:tc>
                <w:tcPr>
                  <w:tcW w:w="624" w:type="pct"/>
                  <w:tcBorders>
                    <w:tl2br w:val="nil"/>
                    <w:tr2bl w:val="nil"/>
                  </w:tcBorders>
                  <w:vAlign w:val="center"/>
                </w:tcPr>
                <w:p w14:paraId="243D4D1B">
                  <w:pPr>
                    <w:keepNext w:val="0"/>
                    <w:keepLines w:val="0"/>
                    <w:suppressLineNumbers w:val="0"/>
                    <w:spacing w:before="0" w:beforeAutospacing="0" w:after="0" w:afterAutospacing="0"/>
                    <w:ind w:left="0" w:leftChars="0" w:right="0" w:rightChars="0" w:firstLine="0" w:firstLineChars="0"/>
                    <w:jc w:val="center"/>
                    <w:rPr>
                      <w:rFonts w:hint="default"/>
                      <w:vertAlign w:val="baseline"/>
                      <w:lang w:val="en-US" w:eastAsia="zh-CN"/>
                    </w:rPr>
                  </w:pPr>
                  <w:r>
                    <w:rPr>
                      <w:rFonts w:hint="eastAsia"/>
                      <w:vertAlign w:val="baseline"/>
                      <w:lang w:val="en-US" w:eastAsia="zh-CN"/>
                    </w:rPr>
                    <w:t>原料及成品运输</w:t>
                  </w:r>
                </w:p>
              </w:tc>
              <w:tc>
                <w:tcPr>
                  <w:tcW w:w="463" w:type="pct"/>
                  <w:tcBorders>
                    <w:tl2br w:val="nil"/>
                    <w:tr2bl w:val="nil"/>
                  </w:tcBorders>
                  <w:vAlign w:val="center"/>
                </w:tcPr>
                <w:p w14:paraId="67D7DF32">
                  <w:pPr>
                    <w:keepNext w:val="0"/>
                    <w:keepLines w:val="0"/>
                    <w:suppressLineNumbers w:val="0"/>
                    <w:spacing w:before="0" w:beforeAutospacing="0" w:after="0" w:afterAutospacing="0"/>
                    <w:ind w:left="0" w:leftChars="0" w:right="0" w:rightChars="0" w:firstLine="0" w:firstLineChars="0"/>
                    <w:jc w:val="center"/>
                    <w:rPr>
                      <w:rFonts w:hint="default"/>
                      <w:vertAlign w:val="baseline"/>
                      <w:lang w:val="en-US" w:eastAsia="zh-CN"/>
                    </w:rPr>
                  </w:pPr>
                  <w:r>
                    <w:rPr>
                      <w:rFonts w:hint="eastAsia"/>
                      <w:vertAlign w:val="baseline"/>
                      <w:lang w:val="en-US" w:eastAsia="zh-CN"/>
                    </w:rPr>
                    <w:t>车辆运输粉尘</w:t>
                  </w:r>
                </w:p>
              </w:tc>
              <w:tc>
                <w:tcPr>
                  <w:tcW w:w="586" w:type="pct"/>
                  <w:tcBorders>
                    <w:tl2br w:val="nil"/>
                    <w:tr2bl w:val="nil"/>
                  </w:tcBorders>
                  <w:vAlign w:val="center"/>
                </w:tcPr>
                <w:p w14:paraId="7DB0A2CD">
                  <w:pPr>
                    <w:keepNext w:val="0"/>
                    <w:keepLines w:val="0"/>
                    <w:suppressLineNumbers w:val="0"/>
                    <w:spacing w:before="0" w:beforeAutospacing="0" w:after="0" w:afterAutospacing="0"/>
                    <w:ind w:left="0" w:leftChars="0" w:right="0" w:rightChars="0" w:firstLine="0" w:firstLineChars="0"/>
                    <w:jc w:val="center"/>
                    <w:rPr>
                      <w:rFonts w:hint="default"/>
                      <w:vertAlign w:val="baseline"/>
                      <w:lang w:val="en-US" w:eastAsia="zh-CN"/>
                    </w:rPr>
                  </w:pPr>
                  <w:r>
                    <w:rPr>
                      <w:rFonts w:hint="eastAsia"/>
                      <w:vertAlign w:val="baseline"/>
                      <w:lang w:val="en-US" w:eastAsia="zh-CN"/>
                    </w:rPr>
                    <w:t>颗粒物</w:t>
                  </w:r>
                </w:p>
              </w:tc>
              <w:tc>
                <w:tcPr>
                  <w:tcW w:w="604" w:type="pct"/>
                  <w:tcBorders>
                    <w:tl2br w:val="nil"/>
                    <w:tr2bl w:val="nil"/>
                  </w:tcBorders>
                  <w:vAlign w:val="center"/>
                </w:tcPr>
                <w:p w14:paraId="55688DED">
                  <w:pPr>
                    <w:keepNext w:val="0"/>
                    <w:keepLines w:val="0"/>
                    <w:suppressLineNumbers w:val="0"/>
                    <w:spacing w:before="0" w:beforeAutospacing="0" w:after="0" w:afterAutospacing="0"/>
                    <w:ind w:left="0" w:leftChars="0" w:right="0" w:rightChars="0" w:firstLine="0" w:firstLineChars="0"/>
                    <w:jc w:val="center"/>
                    <w:rPr>
                      <w:rFonts w:hint="default"/>
                      <w:vertAlign w:val="baseline"/>
                      <w:lang w:val="en-US" w:eastAsia="zh-CN"/>
                    </w:rPr>
                  </w:pPr>
                  <w:r>
                    <w:rPr>
                      <w:rFonts w:hint="eastAsia"/>
                      <w:vertAlign w:val="baseline"/>
                      <w:lang w:val="en-US" w:eastAsia="zh-CN"/>
                    </w:rPr>
                    <w:t>0.0929</w:t>
                  </w:r>
                </w:p>
              </w:tc>
              <w:tc>
                <w:tcPr>
                  <w:tcW w:w="1136" w:type="pct"/>
                  <w:tcBorders>
                    <w:tl2br w:val="nil"/>
                    <w:tr2bl w:val="nil"/>
                  </w:tcBorders>
                  <w:vAlign w:val="center"/>
                </w:tcPr>
                <w:p w14:paraId="5EF0881F">
                  <w:pPr>
                    <w:keepNext w:val="0"/>
                    <w:keepLines w:val="0"/>
                    <w:suppressLineNumbers w:val="0"/>
                    <w:spacing w:before="0" w:beforeAutospacing="0" w:after="0" w:afterAutospacing="0"/>
                    <w:ind w:left="0" w:leftChars="0" w:right="0" w:rightChars="0" w:firstLine="0" w:firstLineChars="0"/>
                    <w:jc w:val="center"/>
                    <w:rPr>
                      <w:rFonts w:hint="default"/>
                      <w:vertAlign w:val="baseline"/>
                      <w:lang w:val="en-US" w:eastAsia="zh-CN"/>
                    </w:rPr>
                  </w:pPr>
                  <w:r>
                    <w:rPr>
                      <w:rFonts w:hint="default"/>
                      <w:vertAlign w:val="baseline"/>
                      <w:lang w:val="en-US" w:eastAsia="zh-CN"/>
                    </w:rPr>
                    <w:t>对运输货车采取加盖篷布密闭，出厂货车清洗轮胎，货车禁止超载，防止</w:t>
                  </w:r>
                  <w:r>
                    <w:rPr>
                      <w:rFonts w:hint="eastAsia"/>
                      <w:vertAlign w:val="baseline"/>
                      <w:lang w:val="en-US" w:eastAsia="zh-CN"/>
                    </w:rPr>
                    <w:t>物</w:t>
                  </w:r>
                  <w:r>
                    <w:rPr>
                      <w:rFonts w:hint="default"/>
                      <w:vertAlign w:val="baseline"/>
                      <w:lang w:val="en-US" w:eastAsia="zh-CN"/>
                    </w:rPr>
                    <w:t>料散落；在厂内运输路段，要求运输车辆减速慢行；厂区地面定期清扫，保持地面清洁，并采取勤洒水等措施，降低运输车辆扬尘产生量。采取措施后除尘率能达到</w:t>
                  </w:r>
                  <w:r>
                    <w:rPr>
                      <w:rFonts w:hint="eastAsia"/>
                      <w:vertAlign w:val="baseline"/>
                      <w:lang w:val="en-US" w:eastAsia="zh-CN"/>
                    </w:rPr>
                    <w:t>7</w:t>
                  </w:r>
                  <w:r>
                    <w:rPr>
                      <w:rFonts w:hint="default"/>
                      <w:vertAlign w:val="baseline"/>
                      <w:lang w:val="en-US" w:eastAsia="zh-CN"/>
                    </w:rPr>
                    <w:t>0%。</w:t>
                  </w:r>
                </w:p>
              </w:tc>
              <w:tc>
                <w:tcPr>
                  <w:tcW w:w="625" w:type="pct"/>
                  <w:tcBorders>
                    <w:tl2br w:val="nil"/>
                    <w:tr2bl w:val="nil"/>
                  </w:tcBorders>
                  <w:vAlign w:val="center"/>
                </w:tcPr>
                <w:p w14:paraId="79D072BF">
                  <w:pPr>
                    <w:keepNext w:val="0"/>
                    <w:keepLines w:val="0"/>
                    <w:suppressLineNumbers w:val="0"/>
                    <w:spacing w:before="0" w:beforeAutospacing="0" w:after="0" w:afterAutospacing="0"/>
                    <w:ind w:left="0" w:leftChars="0" w:right="0" w:rightChars="0" w:firstLine="0" w:firstLineChars="0"/>
                    <w:jc w:val="center"/>
                    <w:rPr>
                      <w:rFonts w:hint="default"/>
                      <w:vertAlign w:val="baseline"/>
                      <w:lang w:val="en-US" w:eastAsia="zh-CN"/>
                    </w:rPr>
                  </w:pPr>
                  <w:r>
                    <w:rPr>
                      <w:rFonts w:hint="eastAsia"/>
                      <w:szCs w:val="21"/>
                      <w:lang w:val="en-US" w:eastAsia="zh-CN"/>
                    </w:rPr>
                    <w:t>无组织</w:t>
                  </w:r>
                </w:p>
              </w:tc>
              <w:tc>
                <w:tcPr>
                  <w:tcW w:w="626" w:type="pct"/>
                  <w:tcBorders>
                    <w:tl2br w:val="nil"/>
                    <w:tr2bl w:val="nil"/>
                  </w:tcBorders>
                  <w:vAlign w:val="center"/>
                </w:tcPr>
                <w:p w14:paraId="6049850E">
                  <w:pPr>
                    <w:keepNext w:val="0"/>
                    <w:keepLines w:val="0"/>
                    <w:suppressLineNumbers w:val="0"/>
                    <w:spacing w:before="0" w:beforeAutospacing="0" w:after="0" w:afterAutospacing="0"/>
                    <w:ind w:left="0" w:leftChars="0" w:right="0" w:rightChars="0" w:firstLine="0" w:firstLineChars="0"/>
                    <w:jc w:val="center"/>
                    <w:rPr>
                      <w:rFonts w:hint="default"/>
                      <w:vertAlign w:val="baseline"/>
                      <w:lang w:val="en-US" w:eastAsia="zh-CN"/>
                    </w:rPr>
                  </w:pPr>
                  <w:r>
                    <w:rPr>
                      <w:rFonts w:hint="eastAsia"/>
                      <w:vertAlign w:val="baseline"/>
                      <w:lang w:val="en-US" w:eastAsia="zh-CN"/>
                    </w:rPr>
                    <w:t>0.0279</w:t>
                  </w:r>
                </w:p>
              </w:tc>
            </w:tr>
            <w:tr w14:paraId="552BF9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34" w:type="pct"/>
                  <w:tcBorders>
                    <w:tl2br w:val="nil"/>
                    <w:tr2bl w:val="nil"/>
                  </w:tcBorders>
                  <w:vAlign w:val="center"/>
                </w:tcPr>
                <w:p w14:paraId="74415F8B">
                  <w:pPr>
                    <w:keepNext w:val="0"/>
                    <w:keepLines w:val="0"/>
                    <w:suppressLineNumbers w:val="0"/>
                    <w:spacing w:before="0" w:beforeAutospacing="0" w:after="0" w:afterAutospacing="0"/>
                    <w:ind w:left="0" w:leftChars="0" w:right="0" w:rightChars="0" w:firstLine="0" w:firstLineChars="0"/>
                    <w:jc w:val="center"/>
                    <w:rPr>
                      <w:rFonts w:hint="default"/>
                      <w:vertAlign w:val="baseline"/>
                      <w:lang w:val="en-US" w:eastAsia="zh-CN"/>
                    </w:rPr>
                  </w:pPr>
                  <w:r>
                    <w:rPr>
                      <w:rFonts w:hint="eastAsia"/>
                      <w:vertAlign w:val="baseline"/>
                      <w:lang w:val="en-US" w:eastAsia="zh-CN"/>
                    </w:rPr>
                    <w:t>6</w:t>
                  </w:r>
                </w:p>
              </w:tc>
              <w:tc>
                <w:tcPr>
                  <w:tcW w:w="624" w:type="pct"/>
                  <w:tcBorders>
                    <w:tl2br w:val="nil"/>
                    <w:tr2bl w:val="nil"/>
                  </w:tcBorders>
                  <w:vAlign w:val="center"/>
                </w:tcPr>
                <w:p w14:paraId="2456187B">
                  <w:pPr>
                    <w:keepNext w:val="0"/>
                    <w:keepLines w:val="0"/>
                    <w:suppressLineNumbers w:val="0"/>
                    <w:spacing w:before="0" w:beforeAutospacing="0" w:after="0" w:afterAutospacing="0"/>
                    <w:ind w:left="0" w:leftChars="0" w:right="0" w:rightChars="0" w:firstLine="0" w:firstLineChars="0"/>
                    <w:jc w:val="center"/>
                    <w:rPr>
                      <w:rFonts w:hint="default"/>
                      <w:vertAlign w:val="baseline"/>
                      <w:lang w:val="en-US" w:eastAsia="zh-CN"/>
                    </w:rPr>
                  </w:pPr>
                  <w:r>
                    <w:rPr>
                      <w:rFonts w:hint="eastAsia"/>
                      <w:vertAlign w:val="baseline"/>
                      <w:lang w:val="en-US" w:eastAsia="zh-CN"/>
                    </w:rPr>
                    <w:t>运输车辆</w:t>
                  </w:r>
                </w:p>
              </w:tc>
              <w:tc>
                <w:tcPr>
                  <w:tcW w:w="463" w:type="pct"/>
                  <w:tcBorders>
                    <w:tl2br w:val="nil"/>
                    <w:tr2bl w:val="nil"/>
                  </w:tcBorders>
                  <w:vAlign w:val="center"/>
                </w:tcPr>
                <w:p w14:paraId="391E0C93">
                  <w:pPr>
                    <w:keepNext w:val="0"/>
                    <w:keepLines w:val="0"/>
                    <w:suppressLineNumbers w:val="0"/>
                    <w:spacing w:before="0" w:beforeAutospacing="0" w:after="0" w:afterAutospacing="0"/>
                    <w:ind w:left="0" w:leftChars="0" w:right="0" w:rightChars="0" w:firstLine="0" w:firstLineChars="0"/>
                    <w:jc w:val="center"/>
                    <w:rPr>
                      <w:rFonts w:hint="eastAsia"/>
                      <w:vertAlign w:val="baseline"/>
                      <w:lang w:val="en-US" w:eastAsia="zh-CN"/>
                    </w:rPr>
                  </w:pPr>
                  <w:r>
                    <w:rPr>
                      <w:rFonts w:hint="eastAsia"/>
                      <w:vertAlign w:val="baseline"/>
                      <w:lang w:val="en-US" w:eastAsia="zh-CN"/>
                    </w:rPr>
                    <w:t>运输车辆燃油废气</w:t>
                  </w:r>
                </w:p>
              </w:tc>
              <w:tc>
                <w:tcPr>
                  <w:tcW w:w="586" w:type="pct"/>
                  <w:tcBorders>
                    <w:tl2br w:val="nil"/>
                    <w:tr2bl w:val="nil"/>
                  </w:tcBorders>
                  <w:vAlign w:val="center"/>
                </w:tcPr>
                <w:p w14:paraId="6A5AE1D8">
                  <w:pPr>
                    <w:keepNext w:val="0"/>
                    <w:keepLines w:val="0"/>
                    <w:suppressLineNumbers w:val="0"/>
                    <w:spacing w:before="0" w:beforeAutospacing="0" w:after="0" w:afterAutospacing="0"/>
                    <w:ind w:left="0" w:leftChars="0" w:right="0" w:rightChars="0" w:firstLine="0" w:firstLineChars="0"/>
                    <w:jc w:val="both"/>
                    <w:rPr>
                      <w:rFonts w:hint="default"/>
                      <w:vertAlign w:val="baseline"/>
                      <w:lang w:val="en-US" w:eastAsia="zh-CN"/>
                    </w:rPr>
                  </w:pPr>
                  <w:r>
                    <w:rPr>
                      <w:rFonts w:hint="eastAsia"/>
                      <w:vertAlign w:val="baseline"/>
                      <w:lang w:val="en-US" w:eastAsia="zh-CN"/>
                    </w:rPr>
                    <w:t>SO</w:t>
                  </w:r>
                  <w:r>
                    <w:rPr>
                      <w:rFonts w:hint="eastAsia"/>
                      <w:vertAlign w:val="subscript"/>
                      <w:lang w:val="en-US" w:eastAsia="zh-CN"/>
                    </w:rPr>
                    <w:t>2</w:t>
                  </w:r>
                  <w:r>
                    <w:rPr>
                      <w:rFonts w:hint="eastAsia"/>
                      <w:vertAlign w:val="baseline"/>
                      <w:lang w:val="en-US" w:eastAsia="zh-CN"/>
                    </w:rPr>
                    <w:t>、NOx、CO、非甲烷总烃</w:t>
                  </w:r>
                </w:p>
              </w:tc>
              <w:tc>
                <w:tcPr>
                  <w:tcW w:w="604" w:type="pct"/>
                  <w:tcBorders>
                    <w:tl2br w:val="nil"/>
                    <w:tr2bl w:val="nil"/>
                  </w:tcBorders>
                  <w:vAlign w:val="center"/>
                </w:tcPr>
                <w:p w14:paraId="4099414D">
                  <w:pPr>
                    <w:keepNext w:val="0"/>
                    <w:keepLines w:val="0"/>
                    <w:suppressLineNumbers w:val="0"/>
                    <w:spacing w:before="0" w:beforeAutospacing="0" w:after="0" w:afterAutospacing="0"/>
                    <w:ind w:left="0" w:leftChars="0" w:right="0" w:rightChars="0" w:firstLine="0" w:firstLineChars="0"/>
                    <w:jc w:val="center"/>
                    <w:rPr>
                      <w:rFonts w:hint="default"/>
                      <w:vertAlign w:val="baseline"/>
                      <w:lang w:val="en-US" w:eastAsia="zh-CN"/>
                    </w:rPr>
                  </w:pPr>
                  <w:r>
                    <w:rPr>
                      <w:rFonts w:hint="eastAsia"/>
                      <w:vertAlign w:val="baseline"/>
                      <w:lang w:val="en-US" w:eastAsia="zh-CN"/>
                    </w:rPr>
                    <w:t>少量</w:t>
                  </w:r>
                </w:p>
              </w:tc>
              <w:tc>
                <w:tcPr>
                  <w:tcW w:w="1136" w:type="pct"/>
                  <w:tcBorders>
                    <w:tl2br w:val="nil"/>
                    <w:tr2bl w:val="nil"/>
                  </w:tcBorders>
                  <w:vAlign w:val="center"/>
                </w:tcPr>
                <w:p w14:paraId="45B5CD3F">
                  <w:pPr>
                    <w:keepNext w:val="0"/>
                    <w:keepLines w:val="0"/>
                    <w:suppressLineNumbers w:val="0"/>
                    <w:spacing w:before="0" w:beforeAutospacing="0" w:after="0" w:afterAutospacing="0"/>
                    <w:ind w:left="0" w:leftChars="0" w:right="0" w:rightChars="0" w:firstLine="0" w:firstLineChars="0"/>
                    <w:jc w:val="center"/>
                    <w:rPr>
                      <w:rFonts w:hint="default"/>
                      <w:vertAlign w:val="baseline"/>
                      <w:lang w:val="en-US" w:eastAsia="zh-CN"/>
                    </w:rPr>
                  </w:pPr>
                  <w:r>
                    <w:rPr>
                      <w:rFonts w:hint="eastAsia"/>
                      <w:vertAlign w:val="baseline"/>
                      <w:lang w:val="en-US" w:eastAsia="zh-CN"/>
                    </w:rPr>
                    <w:t>/</w:t>
                  </w:r>
                </w:p>
              </w:tc>
              <w:tc>
                <w:tcPr>
                  <w:tcW w:w="625" w:type="pct"/>
                  <w:tcBorders>
                    <w:tl2br w:val="nil"/>
                    <w:tr2bl w:val="nil"/>
                  </w:tcBorders>
                  <w:vAlign w:val="center"/>
                </w:tcPr>
                <w:p w14:paraId="4AAD82A5">
                  <w:pPr>
                    <w:keepNext w:val="0"/>
                    <w:keepLines w:val="0"/>
                    <w:suppressLineNumbers w:val="0"/>
                    <w:spacing w:before="0" w:beforeAutospacing="0" w:after="0" w:afterAutospacing="0"/>
                    <w:ind w:left="0" w:leftChars="0" w:right="0" w:rightChars="0" w:firstLine="0" w:firstLineChars="0"/>
                    <w:jc w:val="center"/>
                    <w:rPr>
                      <w:rFonts w:hint="default"/>
                      <w:szCs w:val="21"/>
                      <w:lang w:val="en-US" w:eastAsia="zh-CN"/>
                    </w:rPr>
                  </w:pPr>
                  <w:r>
                    <w:rPr>
                      <w:rFonts w:hint="eastAsia"/>
                      <w:szCs w:val="21"/>
                      <w:lang w:val="en-US" w:eastAsia="zh-CN"/>
                    </w:rPr>
                    <w:t>无组织</w:t>
                  </w:r>
                </w:p>
              </w:tc>
              <w:tc>
                <w:tcPr>
                  <w:tcW w:w="626" w:type="pct"/>
                  <w:tcBorders>
                    <w:tl2br w:val="nil"/>
                    <w:tr2bl w:val="nil"/>
                  </w:tcBorders>
                  <w:vAlign w:val="center"/>
                </w:tcPr>
                <w:p w14:paraId="432C81D4">
                  <w:pPr>
                    <w:keepNext w:val="0"/>
                    <w:keepLines w:val="0"/>
                    <w:suppressLineNumbers w:val="0"/>
                    <w:spacing w:before="0" w:beforeAutospacing="0" w:after="0" w:afterAutospacing="0"/>
                    <w:ind w:left="0" w:leftChars="0" w:right="0" w:rightChars="0" w:firstLine="0" w:firstLineChars="0"/>
                    <w:jc w:val="center"/>
                    <w:rPr>
                      <w:rFonts w:hint="default"/>
                      <w:vertAlign w:val="baseline"/>
                      <w:lang w:val="en-US" w:eastAsia="zh-CN"/>
                    </w:rPr>
                  </w:pPr>
                  <w:r>
                    <w:rPr>
                      <w:rFonts w:hint="eastAsia"/>
                      <w:vertAlign w:val="baseline"/>
                      <w:lang w:val="en-US" w:eastAsia="zh-CN"/>
                    </w:rPr>
                    <w:t>/</w:t>
                  </w:r>
                </w:p>
              </w:tc>
            </w:tr>
          </w:tbl>
          <w:p w14:paraId="6D2D6343">
            <w:pPr>
              <w:keepNext w:val="0"/>
              <w:keepLines w:val="0"/>
              <w:pageBreakBefore w:val="0"/>
              <w:widowControl w:val="0"/>
              <w:suppressLineNumbers w:val="0"/>
              <w:kinsoku/>
              <w:wordWrap/>
              <w:topLinePunct w:val="0"/>
              <w:autoSpaceDE/>
              <w:autoSpaceDN/>
              <w:bidi w:val="0"/>
              <w:adjustRightInd/>
              <w:spacing w:before="0" w:beforeAutospacing="0" w:after="0" w:afterAutospacing="0" w:line="360" w:lineRule="auto"/>
              <w:ind w:left="0" w:right="0" w:firstLine="442" w:firstLineChars="200"/>
              <w:textAlignment w:val="auto"/>
              <w:rPr>
                <w:rFonts w:hint="default" w:ascii="Times New Roman" w:hAnsi="Times New Roman" w:eastAsia="宋体" w:cs="Times New Roman"/>
                <w:b/>
                <w:bCs/>
                <w:color w:val="auto"/>
                <w:spacing w:val="-10"/>
                <w:sz w:val="24"/>
              </w:rPr>
            </w:pPr>
            <w:r>
              <w:rPr>
                <w:rFonts w:hint="eastAsia" w:ascii="Times New Roman" w:hAnsi="Times New Roman" w:eastAsia="宋体" w:cs="Times New Roman"/>
                <w:b/>
                <w:bCs/>
                <w:color w:val="auto"/>
                <w:spacing w:val="-10"/>
                <w:sz w:val="24"/>
              </w:rPr>
              <w:t>3、</w:t>
            </w:r>
            <w:r>
              <w:rPr>
                <w:rFonts w:hint="eastAsia" w:ascii="Times New Roman" w:hAnsi="Times New Roman" w:eastAsia="宋体" w:cs="Times New Roman"/>
                <w:b/>
                <w:color w:val="auto"/>
                <w:sz w:val="24"/>
                <w:szCs w:val="22"/>
              </w:rPr>
              <w:t>本项目大气污染物排放量汇总</w:t>
            </w:r>
          </w:p>
          <w:p w14:paraId="7D30EB1D">
            <w:pPr>
              <w:pStyle w:val="6"/>
              <w:keepLines w:val="0"/>
              <w:pageBreakBefore w:val="0"/>
              <w:widowControl w:val="0"/>
              <w:suppressLineNumbers w:val="0"/>
              <w:kinsoku/>
              <w:wordWrap/>
              <w:topLinePunct w:val="0"/>
              <w:autoSpaceDE/>
              <w:autoSpaceDN/>
              <w:bidi w:val="0"/>
              <w:adjustRightInd/>
              <w:spacing w:before="0" w:beforeAutospacing="0" w:after="0" w:afterAutospacing="0" w:line="360" w:lineRule="auto"/>
              <w:ind w:left="0" w:right="0" w:firstLine="442"/>
              <w:jc w:val="both"/>
              <w:textAlignment w:val="auto"/>
              <w:rPr>
                <w:rFonts w:hint="default" w:ascii="Times New Roman" w:hAnsi="Times New Roman" w:eastAsia="宋体" w:cs="Times New Roman"/>
                <w:color w:val="auto"/>
                <w:lang w:val="en-US"/>
              </w:rPr>
            </w:pPr>
            <w:r>
              <w:rPr>
                <w:rFonts w:hint="eastAsia" w:ascii="Times New Roman" w:hAnsi="Times New Roman" w:eastAsia="宋体" w:cs="Times New Roman"/>
                <w:b/>
                <w:bCs/>
                <w:color w:val="auto"/>
                <w:spacing w:val="-10"/>
                <w:sz w:val="24"/>
                <w:lang w:val="en-US"/>
              </w:rPr>
              <w:t>（1）正常工况下污染物排放量</w:t>
            </w:r>
          </w:p>
          <w:p w14:paraId="3B14B1EE">
            <w:pPr>
              <w:keepNext w:val="0"/>
              <w:keepLines w:val="0"/>
              <w:pageBreakBefore w:val="0"/>
              <w:widowControl w:val="0"/>
              <w:suppressLineNumbers w:val="0"/>
              <w:kinsoku/>
              <w:wordWrap/>
              <w:topLinePunct w:val="0"/>
              <w:autoSpaceDE/>
              <w:autoSpaceDN/>
              <w:bidi w:val="0"/>
              <w:adjustRightInd/>
              <w:spacing w:before="0" w:beforeAutospacing="0" w:after="0" w:afterAutospacing="0" w:line="360" w:lineRule="auto"/>
              <w:ind w:left="0" w:right="0" w:firstLine="480"/>
              <w:textAlignment w:val="auto"/>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本项目大气污染物排放量核算表见下表。</w:t>
            </w:r>
          </w:p>
          <w:p w14:paraId="07D1D919">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eastAsia="宋体"/>
                <w:b/>
                <w:bCs/>
                <w:lang w:val="en-US" w:eastAsia="zh-CN"/>
              </w:rPr>
            </w:pPr>
            <w:r>
              <w:rPr>
                <w:rFonts w:hint="eastAsia"/>
                <w:b/>
                <w:bCs/>
                <w:lang w:val="en-US" w:eastAsia="zh-CN"/>
              </w:rPr>
              <w:t>表4-3  全厂大气污染物年排放量一览表</w:t>
            </w:r>
          </w:p>
          <w:tbl>
            <w:tblPr>
              <w:tblStyle w:val="26"/>
              <w:tblW w:w="4996"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93"/>
              <w:gridCol w:w="721"/>
              <w:gridCol w:w="740"/>
              <w:gridCol w:w="2403"/>
              <w:gridCol w:w="1363"/>
              <w:gridCol w:w="1126"/>
              <w:gridCol w:w="1155"/>
            </w:tblGrid>
            <w:tr w14:paraId="3D4203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307" w:type="pct"/>
                  <w:vMerge w:val="restart"/>
                  <w:tcBorders>
                    <w:tl2br w:val="nil"/>
                    <w:tr2bl w:val="nil"/>
                  </w:tcBorders>
                  <w:vAlign w:val="center"/>
                </w:tcPr>
                <w:p w14:paraId="05B6C64C">
                  <w:pPr>
                    <w:keepNext w:val="0"/>
                    <w:keepLines w:val="0"/>
                    <w:suppressLineNumbers w:val="0"/>
                    <w:bidi w:val="0"/>
                    <w:spacing w:before="0" w:beforeAutospacing="0" w:after="0" w:afterAutospacing="0"/>
                    <w:ind w:left="0" w:leftChars="0" w:right="0" w:rightChars="0" w:firstLine="0" w:firstLineChars="0"/>
                    <w:jc w:val="center"/>
                    <w:rPr>
                      <w:rFonts w:hint="eastAsia"/>
                      <w:b/>
                      <w:bCs/>
                      <w:vertAlign w:val="baseline"/>
                    </w:rPr>
                  </w:pPr>
                  <w:r>
                    <w:rPr>
                      <w:rFonts w:hint="eastAsia"/>
                      <w:b/>
                      <w:bCs/>
                    </w:rPr>
                    <w:t>序号</w:t>
                  </w:r>
                </w:p>
              </w:tc>
              <w:tc>
                <w:tcPr>
                  <w:tcW w:w="450" w:type="pct"/>
                  <w:vMerge w:val="restart"/>
                  <w:tcBorders>
                    <w:tl2br w:val="nil"/>
                    <w:tr2bl w:val="nil"/>
                  </w:tcBorders>
                  <w:vAlign w:val="center"/>
                </w:tcPr>
                <w:p w14:paraId="540247B5">
                  <w:pPr>
                    <w:keepNext w:val="0"/>
                    <w:keepLines w:val="0"/>
                    <w:suppressLineNumbers w:val="0"/>
                    <w:bidi w:val="0"/>
                    <w:spacing w:before="0" w:beforeAutospacing="0" w:after="0" w:afterAutospacing="0"/>
                    <w:ind w:left="0" w:leftChars="0" w:right="0" w:rightChars="0" w:firstLine="0" w:firstLineChars="0"/>
                    <w:jc w:val="center"/>
                    <w:rPr>
                      <w:rFonts w:hint="eastAsia"/>
                      <w:b/>
                      <w:bCs/>
                      <w:vertAlign w:val="baseline"/>
                    </w:rPr>
                  </w:pPr>
                  <w:r>
                    <w:rPr>
                      <w:rFonts w:hint="eastAsia"/>
                      <w:b/>
                      <w:bCs/>
                    </w:rPr>
                    <w:t>产污环节</w:t>
                  </w:r>
                </w:p>
              </w:tc>
              <w:tc>
                <w:tcPr>
                  <w:tcW w:w="462" w:type="pct"/>
                  <w:vMerge w:val="restart"/>
                  <w:tcBorders>
                    <w:tl2br w:val="nil"/>
                    <w:tr2bl w:val="nil"/>
                  </w:tcBorders>
                  <w:vAlign w:val="center"/>
                </w:tcPr>
                <w:p w14:paraId="46B26BF0">
                  <w:pPr>
                    <w:keepNext w:val="0"/>
                    <w:keepLines w:val="0"/>
                    <w:suppressLineNumbers w:val="0"/>
                    <w:bidi w:val="0"/>
                    <w:spacing w:before="0" w:beforeAutospacing="0" w:after="0" w:afterAutospacing="0"/>
                    <w:ind w:left="0" w:leftChars="0" w:right="0" w:rightChars="0" w:firstLine="0" w:firstLineChars="0"/>
                    <w:jc w:val="center"/>
                    <w:rPr>
                      <w:rFonts w:hint="eastAsia"/>
                      <w:b/>
                      <w:bCs/>
                      <w:vertAlign w:val="baseline"/>
                    </w:rPr>
                  </w:pPr>
                  <w:r>
                    <w:rPr>
                      <w:rFonts w:hint="eastAsia"/>
                      <w:b/>
                      <w:bCs/>
                    </w:rPr>
                    <w:t>污染物</w:t>
                  </w:r>
                </w:p>
              </w:tc>
              <w:tc>
                <w:tcPr>
                  <w:tcW w:w="1501" w:type="pct"/>
                  <w:vMerge w:val="restart"/>
                  <w:tcBorders>
                    <w:tl2br w:val="nil"/>
                    <w:tr2bl w:val="nil"/>
                  </w:tcBorders>
                  <w:vAlign w:val="center"/>
                </w:tcPr>
                <w:p w14:paraId="4AB398E5">
                  <w:pPr>
                    <w:keepNext w:val="0"/>
                    <w:keepLines w:val="0"/>
                    <w:suppressLineNumbers w:val="0"/>
                    <w:bidi w:val="0"/>
                    <w:spacing w:before="0" w:beforeAutospacing="0" w:after="0" w:afterAutospacing="0"/>
                    <w:ind w:left="0" w:leftChars="0" w:right="0" w:rightChars="0" w:firstLine="0" w:firstLineChars="0"/>
                    <w:jc w:val="center"/>
                    <w:rPr>
                      <w:rFonts w:hint="eastAsia"/>
                      <w:b/>
                      <w:bCs/>
                      <w:vertAlign w:val="baseline"/>
                    </w:rPr>
                  </w:pPr>
                  <w:r>
                    <w:rPr>
                      <w:rFonts w:hint="eastAsia"/>
                      <w:b/>
                      <w:bCs/>
                    </w:rPr>
                    <w:t>主要污染防治措施</w:t>
                  </w:r>
                </w:p>
              </w:tc>
              <w:tc>
                <w:tcPr>
                  <w:tcW w:w="1555" w:type="pct"/>
                  <w:gridSpan w:val="2"/>
                  <w:tcBorders>
                    <w:tl2br w:val="nil"/>
                    <w:tr2bl w:val="nil"/>
                  </w:tcBorders>
                  <w:vAlign w:val="center"/>
                </w:tcPr>
                <w:p w14:paraId="7921AA48">
                  <w:pPr>
                    <w:keepNext w:val="0"/>
                    <w:keepLines w:val="0"/>
                    <w:suppressLineNumbers w:val="0"/>
                    <w:bidi w:val="0"/>
                    <w:spacing w:before="0" w:beforeAutospacing="0" w:after="0" w:afterAutospacing="0"/>
                    <w:ind w:left="0" w:leftChars="0" w:right="0" w:rightChars="0" w:firstLine="0" w:firstLineChars="0"/>
                    <w:jc w:val="center"/>
                    <w:rPr>
                      <w:rFonts w:hint="eastAsia"/>
                      <w:b/>
                      <w:bCs/>
                    </w:rPr>
                  </w:pPr>
                  <w:r>
                    <w:rPr>
                      <w:rFonts w:hint="eastAsia"/>
                      <w:b/>
                      <w:bCs/>
                    </w:rPr>
                    <w:t>国家或地方污染排放标准</w:t>
                  </w:r>
                </w:p>
              </w:tc>
              <w:tc>
                <w:tcPr>
                  <w:tcW w:w="722" w:type="pct"/>
                  <w:vMerge w:val="restart"/>
                  <w:tcBorders>
                    <w:tl2br w:val="nil"/>
                    <w:tr2bl w:val="nil"/>
                  </w:tcBorders>
                  <w:vAlign w:val="center"/>
                </w:tcPr>
                <w:p w14:paraId="4340C900">
                  <w:pPr>
                    <w:keepNext w:val="0"/>
                    <w:keepLines w:val="0"/>
                    <w:suppressLineNumbers w:val="0"/>
                    <w:bidi w:val="0"/>
                    <w:spacing w:before="0" w:beforeAutospacing="0" w:after="0" w:afterAutospacing="0"/>
                    <w:ind w:left="0" w:leftChars="0" w:right="0" w:rightChars="0" w:firstLine="0" w:firstLineChars="0"/>
                    <w:jc w:val="center"/>
                    <w:rPr>
                      <w:rFonts w:hint="default" w:eastAsia="宋体"/>
                      <w:lang w:val="en-US" w:eastAsia="zh-CN"/>
                    </w:rPr>
                  </w:pPr>
                  <w:r>
                    <w:rPr>
                      <w:rFonts w:hint="eastAsia"/>
                      <w:b/>
                      <w:bCs/>
                      <w:lang w:val="en-US" w:eastAsia="zh-CN"/>
                    </w:rPr>
                    <w:t>排放量</w:t>
                  </w:r>
                  <w:r>
                    <w:rPr>
                      <w:rFonts w:hint="eastAsia"/>
                      <w:b/>
                      <w:bCs/>
                    </w:rPr>
                    <w:t>（</w:t>
                  </w:r>
                  <w:r>
                    <w:rPr>
                      <w:rFonts w:hint="eastAsia"/>
                      <w:b/>
                      <w:bCs/>
                      <w:lang w:val="en-US" w:eastAsia="zh-CN"/>
                    </w:rPr>
                    <w:t>t</w:t>
                  </w:r>
                  <w:r>
                    <w:rPr>
                      <w:rFonts w:hint="eastAsia"/>
                      <w:b/>
                      <w:bCs/>
                    </w:rPr>
                    <w:t>/</w:t>
                  </w:r>
                  <w:r>
                    <w:rPr>
                      <w:rFonts w:hint="eastAsia"/>
                      <w:b/>
                      <w:bCs/>
                      <w:lang w:val="en-US" w:eastAsia="zh-CN"/>
                    </w:rPr>
                    <w:t>a</w:t>
                  </w:r>
                  <w:r>
                    <w:rPr>
                      <w:rFonts w:hint="eastAsia"/>
                      <w:b/>
                      <w:bCs/>
                    </w:rPr>
                    <w:t>）</w:t>
                  </w:r>
                </w:p>
              </w:tc>
            </w:tr>
            <w:tr w14:paraId="555D1C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307" w:type="pct"/>
                  <w:vMerge w:val="continue"/>
                  <w:tcBorders>
                    <w:tl2br w:val="nil"/>
                    <w:tr2bl w:val="nil"/>
                  </w:tcBorders>
                  <w:vAlign w:val="center"/>
                </w:tcPr>
                <w:p w14:paraId="549B0DF5">
                  <w:pPr>
                    <w:keepNext w:val="0"/>
                    <w:keepLines w:val="0"/>
                    <w:suppressLineNumbers w:val="0"/>
                    <w:bidi w:val="0"/>
                    <w:spacing w:before="0" w:beforeAutospacing="0" w:after="0" w:afterAutospacing="0"/>
                    <w:ind w:left="0" w:leftChars="0" w:right="0" w:rightChars="0" w:firstLine="0" w:firstLineChars="0"/>
                    <w:jc w:val="center"/>
                    <w:rPr>
                      <w:rFonts w:hint="default"/>
                      <w:b/>
                      <w:bCs/>
                    </w:rPr>
                  </w:pPr>
                </w:p>
              </w:tc>
              <w:tc>
                <w:tcPr>
                  <w:tcW w:w="450" w:type="pct"/>
                  <w:vMerge w:val="continue"/>
                  <w:tcBorders>
                    <w:tl2br w:val="nil"/>
                    <w:tr2bl w:val="nil"/>
                  </w:tcBorders>
                  <w:vAlign w:val="center"/>
                </w:tcPr>
                <w:p w14:paraId="0D200F51">
                  <w:pPr>
                    <w:keepNext w:val="0"/>
                    <w:keepLines w:val="0"/>
                    <w:suppressLineNumbers w:val="0"/>
                    <w:bidi w:val="0"/>
                    <w:spacing w:before="0" w:beforeAutospacing="0" w:after="0" w:afterAutospacing="0"/>
                    <w:ind w:left="0" w:leftChars="0" w:right="0" w:rightChars="0" w:firstLine="0" w:firstLineChars="0"/>
                    <w:jc w:val="center"/>
                    <w:rPr>
                      <w:rFonts w:hint="default"/>
                      <w:b/>
                      <w:bCs/>
                    </w:rPr>
                  </w:pPr>
                </w:p>
              </w:tc>
              <w:tc>
                <w:tcPr>
                  <w:tcW w:w="462" w:type="pct"/>
                  <w:vMerge w:val="continue"/>
                  <w:tcBorders>
                    <w:tl2br w:val="nil"/>
                    <w:tr2bl w:val="nil"/>
                  </w:tcBorders>
                  <w:vAlign w:val="center"/>
                </w:tcPr>
                <w:p w14:paraId="0A120C20">
                  <w:pPr>
                    <w:keepNext w:val="0"/>
                    <w:keepLines w:val="0"/>
                    <w:suppressLineNumbers w:val="0"/>
                    <w:bidi w:val="0"/>
                    <w:spacing w:before="0" w:beforeAutospacing="0" w:after="0" w:afterAutospacing="0"/>
                    <w:ind w:left="0" w:leftChars="0" w:right="0" w:rightChars="0" w:firstLine="0" w:firstLineChars="0"/>
                    <w:jc w:val="center"/>
                    <w:rPr>
                      <w:rFonts w:hint="default"/>
                      <w:b/>
                      <w:bCs/>
                    </w:rPr>
                  </w:pPr>
                </w:p>
              </w:tc>
              <w:tc>
                <w:tcPr>
                  <w:tcW w:w="1501" w:type="pct"/>
                  <w:vMerge w:val="continue"/>
                  <w:tcBorders>
                    <w:tl2br w:val="nil"/>
                    <w:tr2bl w:val="nil"/>
                  </w:tcBorders>
                  <w:vAlign w:val="center"/>
                </w:tcPr>
                <w:p w14:paraId="7B5C7CA8">
                  <w:pPr>
                    <w:keepNext w:val="0"/>
                    <w:keepLines w:val="0"/>
                    <w:suppressLineNumbers w:val="0"/>
                    <w:bidi w:val="0"/>
                    <w:spacing w:before="0" w:beforeAutospacing="0" w:after="0" w:afterAutospacing="0"/>
                    <w:ind w:left="0" w:leftChars="0" w:right="0" w:rightChars="0" w:firstLine="0" w:firstLineChars="0"/>
                    <w:jc w:val="center"/>
                    <w:rPr>
                      <w:rFonts w:hint="default"/>
                      <w:b/>
                      <w:bCs/>
                    </w:rPr>
                  </w:pPr>
                </w:p>
              </w:tc>
              <w:tc>
                <w:tcPr>
                  <w:tcW w:w="851" w:type="pct"/>
                  <w:tcBorders>
                    <w:tl2br w:val="nil"/>
                    <w:tr2bl w:val="nil"/>
                  </w:tcBorders>
                  <w:vAlign w:val="center"/>
                </w:tcPr>
                <w:p w14:paraId="4D149C1D">
                  <w:pPr>
                    <w:keepNext w:val="0"/>
                    <w:keepLines w:val="0"/>
                    <w:suppressLineNumbers w:val="0"/>
                    <w:bidi w:val="0"/>
                    <w:spacing w:before="0" w:beforeAutospacing="0" w:after="0" w:afterAutospacing="0"/>
                    <w:ind w:left="0" w:leftChars="0" w:right="0" w:rightChars="0" w:firstLine="0" w:firstLineChars="0"/>
                    <w:jc w:val="center"/>
                    <w:rPr>
                      <w:rFonts w:hint="default"/>
                      <w:b/>
                      <w:bCs/>
                    </w:rPr>
                  </w:pPr>
                  <w:r>
                    <w:rPr>
                      <w:rFonts w:hint="eastAsia"/>
                      <w:b/>
                      <w:bCs/>
                    </w:rPr>
                    <w:t>标准名称</w:t>
                  </w:r>
                </w:p>
              </w:tc>
              <w:tc>
                <w:tcPr>
                  <w:tcW w:w="703" w:type="pct"/>
                  <w:tcBorders>
                    <w:tl2br w:val="nil"/>
                    <w:tr2bl w:val="nil"/>
                  </w:tcBorders>
                  <w:vAlign w:val="center"/>
                </w:tcPr>
                <w:p w14:paraId="3A90F161">
                  <w:pPr>
                    <w:keepNext w:val="0"/>
                    <w:keepLines w:val="0"/>
                    <w:suppressLineNumbers w:val="0"/>
                    <w:bidi w:val="0"/>
                    <w:spacing w:before="0" w:beforeAutospacing="0" w:after="0" w:afterAutospacing="0"/>
                    <w:ind w:left="0" w:leftChars="0" w:right="0" w:rightChars="0" w:firstLine="0" w:firstLineChars="0"/>
                    <w:jc w:val="center"/>
                    <w:rPr>
                      <w:rFonts w:hint="default"/>
                      <w:b/>
                      <w:bCs/>
                    </w:rPr>
                  </w:pPr>
                  <w:r>
                    <w:rPr>
                      <w:rFonts w:hint="eastAsia"/>
                      <w:b/>
                      <w:bCs/>
                    </w:rPr>
                    <w:t>浓度（mg/m</w:t>
                  </w:r>
                  <w:r>
                    <w:rPr>
                      <w:rFonts w:hint="eastAsia"/>
                      <w:b/>
                      <w:bCs/>
                      <w:vertAlign w:val="superscript"/>
                    </w:rPr>
                    <w:t>3</w:t>
                  </w:r>
                  <w:r>
                    <w:rPr>
                      <w:rFonts w:hint="eastAsia"/>
                      <w:b/>
                      <w:bCs/>
                    </w:rPr>
                    <w:t>）</w:t>
                  </w:r>
                </w:p>
              </w:tc>
              <w:tc>
                <w:tcPr>
                  <w:tcW w:w="722" w:type="pct"/>
                  <w:vMerge w:val="continue"/>
                  <w:tcBorders>
                    <w:tl2br w:val="nil"/>
                    <w:tr2bl w:val="nil"/>
                  </w:tcBorders>
                  <w:vAlign w:val="center"/>
                </w:tcPr>
                <w:p w14:paraId="43E7AD8A">
                  <w:pPr>
                    <w:keepNext w:val="0"/>
                    <w:keepLines w:val="0"/>
                    <w:suppressLineNumbers w:val="0"/>
                    <w:bidi w:val="0"/>
                    <w:spacing w:before="0" w:beforeAutospacing="0" w:after="0" w:afterAutospacing="0"/>
                    <w:ind w:left="0" w:leftChars="0" w:right="0" w:rightChars="0" w:firstLine="0" w:firstLineChars="0"/>
                    <w:jc w:val="center"/>
                    <w:rPr>
                      <w:rFonts w:hint="default"/>
                    </w:rPr>
                  </w:pPr>
                </w:p>
              </w:tc>
            </w:tr>
            <w:tr w14:paraId="083C59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7" w:type="pct"/>
                  <w:tcBorders>
                    <w:tl2br w:val="nil"/>
                    <w:tr2bl w:val="nil"/>
                  </w:tcBorders>
                  <w:vAlign w:val="center"/>
                </w:tcPr>
                <w:p w14:paraId="00865D91">
                  <w:pPr>
                    <w:keepNext w:val="0"/>
                    <w:keepLines w:val="0"/>
                    <w:suppressLineNumbers w:val="0"/>
                    <w:bidi w:val="0"/>
                    <w:spacing w:before="0" w:beforeAutospacing="0" w:after="0" w:afterAutospacing="0"/>
                    <w:ind w:left="0" w:leftChars="0" w:right="0" w:rightChars="0" w:firstLine="0" w:firstLineChars="0"/>
                    <w:jc w:val="center"/>
                    <w:rPr>
                      <w:rFonts w:hint="eastAsia"/>
                      <w:vertAlign w:val="baseline"/>
                    </w:rPr>
                  </w:pPr>
                  <w:r>
                    <w:rPr>
                      <w:rFonts w:hint="eastAsia"/>
                    </w:rPr>
                    <w:t>1</w:t>
                  </w:r>
                </w:p>
              </w:tc>
              <w:tc>
                <w:tcPr>
                  <w:tcW w:w="450" w:type="pct"/>
                  <w:tcBorders>
                    <w:tl2br w:val="nil"/>
                    <w:tr2bl w:val="nil"/>
                  </w:tcBorders>
                  <w:vAlign w:val="center"/>
                </w:tcPr>
                <w:p w14:paraId="4ED69A5B">
                  <w:pPr>
                    <w:keepNext w:val="0"/>
                    <w:keepLines w:val="0"/>
                    <w:suppressLineNumbers w:val="0"/>
                    <w:bidi w:val="0"/>
                    <w:spacing w:before="0" w:beforeAutospacing="0" w:after="0" w:afterAutospacing="0"/>
                    <w:ind w:left="0" w:leftChars="0" w:right="0" w:rightChars="0" w:firstLine="0" w:firstLineChars="0"/>
                    <w:jc w:val="center"/>
                    <w:rPr>
                      <w:rFonts w:hint="default" w:eastAsia="宋体"/>
                      <w:vertAlign w:val="baseline"/>
                      <w:lang w:val="en-US" w:eastAsia="zh-CN"/>
                    </w:rPr>
                  </w:pPr>
                  <w:r>
                    <w:rPr>
                      <w:rFonts w:hint="eastAsia"/>
                      <w:lang w:val="en-US" w:eastAsia="zh-CN"/>
                    </w:rPr>
                    <w:t>物料装卸</w:t>
                  </w:r>
                </w:p>
              </w:tc>
              <w:tc>
                <w:tcPr>
                  <w:tcW w:w="462" w:type="pct"/>
                  <w:tcBorders>
                    <w:tl2br w:val="nil"/>
                    <w:tr2bl w:val="nil"/>
                  </w:tcBorders>
                  <w:vAlign w:val="center"/>
                </w:tcPr>
                <w:p w14:paraId="55F46AC8">
                  <w:pPr>
                    <w:keepNext w:val="0"/>
                    <w:keepLines w:val="0"/>
                    <w:suppressLineNumbers w:val="0"/>
                    <w:bidi w:val="0"/>
                    <w:spacing w:before="0" w:beforeAutospacing="0" w:after="0" w:afterAutospacing="0"/>
                    <w:ind w:left="0" w:leftChars="0" w:right="0" w:rightChars="0" w:firstLine="0" w:firstLineChars="0"/>
                    <w:jc w:val="center"/>
                    <w:rPr>
                      <w:rFonts w:hint="eastAsia"/>
                      <w:vertAlign w:val="baseline"/>
                    </w:rPr>
                  </w:pPr>
                  <w:r>
                    <w:rPr>
                      <w:rFonts w:hint="eastAsia"/>
                    </w:rPr>
                    <w:t>颗粒物</w:t>
                  </w:r>
                </w:p>
              </w:tc>
              <w:tc>
                <w:tcPr>
                  <w:tcW w:w="1501" w:type="pct"/>
                  <w:tcBorders>
                    <w:tl2br w:val="nil"/>
                    <w:tr2bl w:val="nil"/>
                  </w:tcBorders>
                  <w:vAlign w:val="center"/>
                </w:tcPr>
                <w:p w14:paraId="4E45C2EF">
                  <w:pPr>
                    <w:keepNext w:val="0"/>
                    <w:keepLines w:val="0"/>
                    <w:suppressLineNumbers w:val="0"/>
                    <w:bidi w:val="0"/>
                    <w:spacing w:before="0" w:beforeAutospacing="0" w:after="0" w:afterAutospacing="0"/>
                    <w:ind w:left="0" w:leftChars="0" w:right="0" w:rightChars="0" w:firstLine="0" w:firstLineChars="0"/>
                    <w:jc w:val="center"/>
                    <w:rPr>
                      <w:rFonts w:hint="default" w:eastAsia="宋体"/>
                      <w:vertAlign w:val="baseline"/>
                      <w:lang w:val="en-US" w:eastAsia="zh-CN"/>
                    </w:rPr>
                  </w:pPr>
                  <w:r>
                    <w:rPr>
                      <w:rFonts w:hint="eastAsia"/>
                      <w:lang w:val="en-US" w:eastAsia="zh-CN"/>
                    </w:rPr>
                    <w:t>减小装卸高度落差，喷淋降尘</w:t>
                  </w:r>
                </w:p>
              </w:tc>
              <w:tc>
                <w:tcPr>
                  <w:tcW w:w="851" w:type="pct"/>
                  <w:vMerge w:val="restart"/>
                  <w:tcBorders>
                    <w:tl2br w:val="nil"/>
                    <w:tr2bl w:val="nil"/>
                  </w:tcBorders>
                  <w:vAlign w:val="center"/>
                </w:tcPr>
                <w:p w14:paraId="751E394E">
                  <w:pPr>
                    <w:keepNext w:val="0"/>
                    <w:keepLines w:val="0"/>
                    <w:suppressLineNumbers w:val="0"/>
                    <w:bidi w:val="0"/>
                    <w:spacing w:before="0" w:beforeAutospacing="0" w:after="0" w:afterAutospacing="0"/>
                    <w:ind w:left="0" w:leftChars="0" w:right="0" w:rightChars="0" w:firstLine="0" w:firstLineChars="0"/>
                    <w:jc w:val="center"/>
                    <w:rPr>
                      <w:rFonts w:hint="eastAsia"/>
                    </w:rPr>
                  </w:pPr>
                  <w:r>
                    <w:rPr>
                      <w:rFonts w:hint="eastAsia"/>
                    </w:rPr>
                    <w:t>《大气污染物综合排放标准》（GB16297-1996）表2中排放标准</w:t>
                  </w:r>
                </w:p>
              </w:tc>
              <w:tc>
                <w:tcPr>
                  <w:tcW w:w="703" w:type="pct"/>
                  <w:vMerge w:val="restart"/>
                  <w:tcBorders>
                    <w:tl2br w:val="nil"/>
                    <w:tr2bl w:val="nil"/>
                  </w:tcBorders>
                  <w:vAlign w:val="center"/>
                </w:tcPr>
                <w:p w14:paraId="72E81D38">
                  <w:pPr>
                    <w:keepNext w:val="0"/>
                    <w:keepLines w:val="0"/>
                    <w:suppressLineNumbers w:val="0"/>
                    <w:bidi w:val="0"/>
                    <w:spacing w:before="0" w:beforeAutospacing="0" w:after="0" w:afterAutospacing="0"/>
                    <w:ind w:left="0" w:leftChars="0" w:right="0" w:rightChars="0" w:firstLine="0" w:firstLineChars="0"/>
                    <w:jc w:val="center"/>
                    <w:rPr>
                      <w:rFonts w:hint="eastAsia"/>
                    </w:rPr>
                  </w:pPr>
                  <w:r>
                    <w:rPr>
                      <w:rFonts w:hint="eastAsia"/>
                    </w:rPr>
                    <w:t>1.0</w:t>
                  </w:r>
                </w:p>
              </w:tc>
              <w:tc>
                <w:tcPr>
                  <w:tcW w:w="1155" w:type="dxa"/>
                  <w:tcBorders>
                    <w:tl2br w:val="nil"/>
                    <w:tr2bl w:val="nil"/>
                  </w:tcBorders>
                  <w:shd w:val="clear" w:color="auto" w:fill="auto"/>
                  <w:vAlign w:val="center"/>
                </w:tcPr>
                <w:p w14:paraId="667709B6">
                  <w:pPr>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0.2627</w:t>
                  </w:r>
                </w:p>
              </w:tc>
            </w:tr>
            <w:tr w14:paraId="144267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7" w:type="pct"/>
                  <w:tcBorders>
                    <w:tl2br w:val="nil"/>
                    <w:tr2bl w:val="nil"/>
                  </w:tcBorders>
                  <w:vAlign w:val="center"/>
                </w:tcPr>
                <w:p w14:paraId="07256566">
                  <w:pPr>
                    <w:keepNext w:val="0"/>
                    <w:keepLines w:val="0"/>
                    <w:suppressLineNumbers w:val="0"/>
                    <w:bidi w:val="0"/>
                    <w:spacing w:before="0" w:beforeAutospacing="0" w:after="0" w:afterAutospacing="0"/>
                    <w:ind w:left="0" w:leftChars="0" w:right="0" w:rightChars="0" w:firstLine="0" w:firstLineChars="0"/>
                    <w:jc w:val="center"/>
                    <w:rPr>
                      <w:rFonts w:hint="eastAsia" w:eastAsia="宋体"/>
                      <w:lang w:val="en-US" w:eastAsia="zh-CN"/>
                    </w:rPr>
                  </w:pPr>
                  <w:r>
                    <w:rPr>
                      <w:rFonts w:hint="eastAsia"/>
                      <w:lang w:val="en-US" w:eastAsia="zh-CN"/>
                    </w:rPr>
                    <w:t>2</w:t>
                  </w:r>
                </w:p>
              </w:tc>
              <w:tc>
                <w:tcPr>
                  <w:tcW w:w="450" w:type="pct"/>
                  <w:tcBorders>
                    <w:tl2br w:val="nil"/>
                    <w:tr2bl w:val="nil"/>
                  </w:tcBorders>
                  <w:vAlign w:val="center"/>
                </w:tcPr>
                <w:p w14:paraId="41D26518">
                  <w:pPr>
                    <w:keepNext w:val="0"/>
                    <w:keepLines w:val="0"/>
                    <w:suppressLineNumbers w:val="0"/>
                    <w:bidi w:val="0"/>
                    <w:spacing w:before="0" w:beforeAutospacing="0" w:after="0" w:afterAutospacing="0"/>
                    <w:ind w:left="0" w:leftChars="0" w:right="0" w:rightChars="0" w:firstLine="0" w:firstLineChars="0"/>
                    <w:jc w:val="center"/>
                    <w:rPr>
                      <w:rFonts w:hint="default"/>
                      <w:lang w:val="en-US" w:eastAsia="zh-CN"/>
                    </w:rPr>
                  </w:pPr>
                  <w:r>
                    <w:rPr>
                      <w:rFonts w:hint="eastAsia"/>
                      <w:lang w:val="en-US" w:eastAsia="zh-CN"/>
                    </w:rPr>
                    <w:t>物料堆存</w:t>
                  </w:r>
                </w:p>
              </w:tc>
              <w:tc>
                <w:tcPr>
                  <w:tcW w:w="462" w:type="pct"/>
                  <w:tcBorders>
                    <w:tl2br w:val="nil"/>
                    <w:tr2bl w:val="nil"/>
                  </w:tcBorders>
                  <w:vAlign w:val="center"/>
                </w:tcPr>
                <w:p w14:paraId="7D3D4664">
                  <w:pPr>
                    <w:keepNext w:val="0"/>
                    <w:keepLines w:val="0"/>
                    <w:suppressLineNumbers w:val="0"/>
                    <w:bidi w:val="0"/>
                    <w:spacing w:before="0" w:beforeAutospacing="0" w:after="0" w:afterAutospacing="0"/>
                    <w:ind w:left="0" w:leftChars="0" w:right="0" w:rightChars="0" w:firstLine="0" w:firstLineChars="0"/>
                    <w:jc w:val="center"/>
                    <w:rPr>
                      <w:rFonts w:hint="eastAsia"/>
                    </w:rPr>
                  </w:pPr>
                  <w:r>
                    <w:rPr>
                      <w:rFonts w:hint="eastAsia"/>
                    </w:rPr>
                    <w:t>颗粒物</w:t>
                  </w:r>
                </w:p>
              </w:tc>
              <w:tc>
                <w:tcPr>
                  <w:tcW w:w="1501" w:type="pct"/>
                  <w:tcBorders>
                    <w:tl2br w:val="nil"/>
                    <w:tr2bl w:val="nil"/>
                  </w:tcBorders>
                  <w:vAlign w:val="center"/>
                </w:tcPr>
                <w:p w14:paraId="45AA43FA">
                  <w:pPr>
                    <w:keepNext w:val="0"/>
                    <w:keepLines w:val="0"/>
                    <w:suppressLineNumbers w:val="0"/>
                    <w:bidi w:val="0"/>
                    <w:spacing w:before="0" w:beforeAutospacing="0" w:after="0" w:afterAutospacing="0"/>
                    <w:ind w:left="0" w:leftChars="0" w:right="0" w:rightChars="0" w:firstLine="0" w:firstLineChars="0"/>
                    <w:jc w:val="center"/>
                    <w:rPr>
                      <w:rFonts w:hint="default" w:eastAsia="宋体"/>
                      <w:lang w:val="en-US" w:eastAsia="zh-CN"/>
                    </w:rPr>
                  </w:pPr>
                  <w:r>
                    <w:rPr>
                      <w:rFonts w:hint="eastAsia"/>
                      <w:szCs w:val="21"/>
                    </w:rPr>
                    <w:t>堆场设三面围挡</w:t>
                  </w:r>
                  <w:r>
                    <w:rPr>
                      <w:rFonts w:hint="eastAsia"/>
                      <w:szCs w:val="21"/>
                      <w:lang w:eastAsia="zh-CN"/>
                    </w:rPr>
                    <w:t>，</w:t>
                  </w:r>
                  <w:r>
                    <w:rPr>
                      <w:rFonts w:hint="eastAsia"/>
                      <w:szCs w:val="21"/>
                      <w:lang w:val="en-US" w:eastAsia="zh-CN"/>
                    </w:rPr>
                    <w:t>堆场四周设置</w:t>
                  </w:r>
                  <w:r>
                    <w:rPr>
                      <w:rFonts w:hint="eastAsia"/>
                      <w:lang w:val="en-US" w:eastAsia="zh-CN"/>
                    </w:rPr>
                    <w:t>喷淋降尘装置，物料表面敷设防尘网</w:t>
                  </w:r>
                </w:p>
              </w:tc>
              <w:tc>
                <w:tcPr>
                  <w:tcW w:w="851" w:type="pct"/>
                  <w:vMerge w:val="continue"/>
                  <w:tcBorders>
                    <w:tl2br w:val="nil"/>
                    <w:tr2bl w:val="nil"/>
                  </w:tcBorders>
                  <w:vAlign w:val="center"/>
                </w:tcPr>
                <w:p w14:paraId="3941F94F">
                  <w:pPr>
                    <w:keepNext w:val="0"/>
                    <w:keepLines w:val="0"/>
                    <w:suppressLineNumbers w:val="0"/>
                    <w:bidi w:val="0"/>
                    <w:spacing w:before="0" w:beforeAutospacing="0" w:after="0" w:afterAutospacing="0"/>
                    <w:ind w:left="0" w:leftChars="0" w:right="0" w:rightChars="0" w:firstLine="0" w:firstLineChars="0"/>
                    <w:jc w:val="center"/>
                    <w:rPr>
                      <w:rFonts w:hint="eastAsia"/>
                    </w:rPr>
                  </w:pPr>
                </w:p>
              </w:tc>
              <w:tc>
                <w:tcPr>
                  <w:tcW w:w="703" w:type="pct"/>
                  <w:vMerge w:val="continue"/>
                  <w:tcBorders>
                    <w:tl2br w:val="nil"/>
                    <w:tr2bl w:val="nil"/>
                  </w:tcBorders>
                  <w:vAlign w:val="center"/>
                </w:tcPr>
                <w:p w14:paraId="6CD1425E">
                  <w:pPr>
                    <w:keepNext w:val="0"/>
                    <w:keepLines w:val="0"/>
                    <w:suppressLineNumbers w:val="0"/>
                    <w:bidi w:val="0"/>
                    <w:spacing w:before="0" w:beforeAutospacing="0" w:after="0" w:afterAutospacing="0"/>
                    <w:ind w:left="0" w:leftChars="0" w:right="0" w:rightChars="0" w:firstLine="0" w:firstLineChars="0"/>
                    <w:jc w:val="center"/>
                    <w:rPr>
                      <w:rFonts w:hint="eastAsia"/>
                    </w:rPr>
                  </w:pPr>
                </w:p>
              </w:tc>
              <w:tc>
                <w:tcPr>
                  <w:tcW w:w="1155" w:type="dxa"/>
                  <w:tcBorders>
                    <w:tl2br w:val="nil"/>
                    <w:tr2bl w:val="nil"/>
                  </w:tcBorders>
                  <w:shd w:val="clear" w:color="auto" w:fill="auto"/>
                  <w:vAlign w:val="center"/>
                </w:tcPr>
                <w:p w14:paraId="24374CFF">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2"/>
                      <w:sz w:val="21"/>
                      <w:szCs w:val="24"/>
                      <w:vertAlign w:val="baseline"/>
                      <w:lang w:val="en-US" w:eastAsia="zh-CN" w:bidi="ar-SA"/>
                    </w:rPr>
                  </w:pPr>
                  <w:r>
                    <w:rPr>
                      <w:rFonts w:hint="eastAsia"/>
                      <w:vertAlign w:val="baseline"/>
                      <w:lang w:val="en-US" w:eastAsia="zh-CN"/>
                    </w:rPr>
                    <w:t>0.2153</w:t>
                  </w:r>
                </w:p>
              </w:tc>
            </w:tr>
            <w:tr w14:paraId="778451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7" w:type="pct"/>
                  <w:tcBorders>
                    <w:tl2br w:val="nil"/>
                    <w:tr2bl w:val="nil"/>
                  </w:tcBorders>
                  <w:vAlign w:val="center"/>
                </w:tcPr>
                <w:p w14:paraId="65797479">
                  <w:pPr>
                    <w:keepNext w:val="0"/>
                    <w:keepLines w:val="0"/>
                    <w:suppressLineNumbers w:val="0"/>
                    <w:bidi w:val="0"/>
                    <w:spacing w:before="0" w:beforeAutospacing="0" w:after="0" w:afterAutospacing="0"/>
                    <w:ind w:left="0" w:leftChars="0" w:right="0" w:rightChars="0" w:firstLine="0" w:firstLineChars="0"/>
                    <w:jc w:val="center"/>
                    <w:rPr>
                      <w:rFonts w:hint="eastAsia" w:eastAsia="宋体"/>
                      <w:lang w:val="en-US" w:eastAsia="zh-CN"/>
                    </w:rPr>
                  </w:pPr>
                  <w:r>
                    <w:rPr>
                      <w:rFonts w:hint="eastAsia"/>
                      <w:lang w:val="en-US" w:eastAsia="zh-CN"/>
                    </w:rPr>
                    <w:t>3</w:t>
                  </w:r>
                </w:p>
              </w:tc>
              <w:tc>
                <w:tcPr>
                  <w:tcW w:w="450" w:type="pct"/>
                  <w:tcBorders>
                    <w:tl2br w:val="nil"/>
                    <w:tr2bl w:val="nil"/>
                  </w:tcBorders>
                  <w:vAlign w:val="center"/>
                </w:tcPr>
                <w:p w14:paraId="7D13E9C3">
                  <w:pPr>
                    <w:keepNext w:val="0"/>
                    <w:keepLines w:val="0"/>
                    <w:suppressLineNumbers w:val="0"/>
                    <w:bidi w:val="0"/>
                    <w:spacing w:before="0" w:beforeAutospacing="0" w:after="0" w:afterAutospacing="0"/>
                    <w:ind w:left="0" w:leftChars="0" w:right="0" w:rightChars="0" w:firstLine="0" w:firstLineChars="0"/>
                    <w:jc w:val="center"/>
                    <w:rPr>
                      <w:rFonts w:hint="default"/>
                      <w:lang w:val="en-US" w:eastAsia="zh-CN"/>
                    </w:rPr>
                  </w:pPr>
                  <w:r>
                    <w:rPr>
                      <w:rFonts w:hint="eastAsia"/>
                      <w:lang w:val="en-US" w:eastAsia="zh-CN"/>
                    </w:rPr>
                    <w:t>进料</w:t>
                  </w:r>
                </w:p>
              </w:tc>
              <w:tc>
                <w:tcPr>
                  <w:tcW w:w="462" w:type="pct"/>
                  <w:tcBorders>
                    <w:tl2br w:val="nil"/>
                    <w:tr2bl w:val="nil"/>
                  </w:tcBorders>
                  <w:vAlign w:val="center"/>
                </w:tcPr>
                <w:p w14:paraId="77DDA5EF">
                  <w:pPr>
                    <w:keepNext w:val="0"/>
                    <w:keepLines w:val="0"/>
                    <w:suppressLineNumbers w:val="0"/>
                    <w:bidi w:val="0"/>
                    <w:spacing w:before="0" w:beforeAutospacing="0" w:after="0" w:afterAutospacing="0"/>
                    <w:ind w:left="0" w:leftChars="0" w:right="0" w:rightChars="0" w:firstLine="0" w:firstLineChars="0"/>
                    <w:jc w:val="center"/>
                    <w:rPr>
                      <w:rFonts w:hint="eastAsia"/>
                    </w:rPr>
                  </w:pPr>
                  <w:r>
                    <w:rPr>
                      <w:rFonts w:hint="eastAsia"/>
                    </w:rPr>
                    <w:t>颗粒物</w:t>
                  </w:r>
                </w:p>
              </w:tc>
              <w:tc>
                <w:tcPr>
                  <w:tcW w:w="1501" w:type="pct"/>
                  <w:tcBorders>
                    <w:tl2br w:val="nil"/>
                    <w:tr2bl w:val="nil"/>
                  </w:tcBorders>
                  <w:vAlign w:val="center"/>
                </w:tcPr>
                <w:p w14:paraId="1A8D39C6">
                  <w:pPr>
                    <w:keepNext w:val="0"/>
                    <w:keepLines w:val="0"/>
                    <w:suppressLineNumbers w:val="0"/>
                    <w:bidi w:val="0"/>
                    <w:spacing w:before="0" w:beforeAutospacing="0" w:after="0" w:afterAutospacing="0"/>
                    <w:ind w:left="0" w:leftChars="0" w:right="0" w:rightChars="0" w:firstLine="0" w:firstLineChars="0"/>
                    <w:jc w:val="center"/>
                    <w:rPr>
                      <w:rFonts w:hint="default" w:eastAsia="宋体"/>
                      <w:lang w:val="en-US" w:eastAsia="zh-CN"/>
                    </w:rPr>
                  </w:pPr>
                  <w:r>
                    <w:rPr>
                      <w:rFonts w:hint="eastAsia"/>
                      <w:lang w:val="en-US" w:eastAsia="zh-CN"/>
                    </w:rPr>
                    <w:t>封闭厂房，</w:t>
                  </w:r>
                  <w:r>
                    <w:rPr>
                      <w:rFonts w:hint="eastAsia"/>
                      <w:szCs w:val="21"/>
                      <w:lang w:val="en-US" w:eastAsia="zh-CN"/>
                    </w:rPr>
                    <w:t>设置</w:t>
                  </w:r>
                  <w:r>
                    <w:rPr>
                      <w:rFonts w:hint="eastAsia"/>
                      <w:lang w:val="en-US" w:eastAsia="zh-CN"/>
                    </w:rPr>
                    <w:t>喷淋降尘装置</w:t>
                  </w:r>
                </w:p>
              </w:tc>
              <w:tc>
                <w:tcPr>
                  <w:tcW w:w="851" w:type="pct"/>
                  <w:vMerge w:val="continue"/>
                  <w:tcBorders>
                    <w:tl2br w:val="nil"/>
                    <w:tr2bl w:val="nil"/>
                  </w:tcBorders>
                  <w:vAlign w:val="center"/>
                </w:tcPr>
                <w:p w14:paraId="708905DA">
                  <w:pPr>
                    <w:keepNext w:val="0"/>
                    <w:keepLines w:val="0"/>
                    <w:suppressLineNumbers w:val="0"/>
                    <w:bidi w:val="0"/>
                    <w:spacing w:before="0" w:beforeAutospacing="0" w:after="0" w:afterAutospacing="0"/>
                    <w:ind w:left="0" w:leftChars="0" w:right="0" w:rightChars="0" w:firstLine="0" w:firstLineChars="0"/>
                    <w:jc w:val="center"/>
                    <w:rPr>
                      <w:rFonts w:hint="eastAsia"/>
                    </w:rPr>
                  </w:pPr>
                </w:p>
              </w:tc>
              <w:tc>
                <w:tcPr>
                  <w:tcW w:w="703" w:type="pct"/>
                  <w:vMerge w:val="continue"/>
                  <w:tcBorders>
                    <w:tl2br w:val="nil"/>
                    <w:tr2bl w:val="nil"/>
                  </w:tcBorders>
                  <w:vAlign w:val="center"/>
                </w:tcPr>
                <w:p w14:paraId="57A69164">
                  <w:pPr>
                    <w:keepNext w:val="0"/>
                    <w:keepLines w:val="0"/>
                    <w:suppressLineNumbers w:val="0"/>
                    <w:bidi w:val="0"/>
                    <w:spacing w:before="0" w:beforeAutospacing="0" w:after="0" w:afterAutospacing="0"/>
                    <w:ind w:left="0" w:leftChars="0" w:right="0" w:rightChars="0" w:firstLine="0" w:firstLineChars="0"/>
                    <w:jc w:val="center"/>
                    <w:rPr>
                      <w:rFonts w:hint="eastAsia"/>
                    </w:rPr>
                  </w:pPr>
                </w:p>
              </w:tc>
              <w:tc>
                <w:tcPr>
                  <w:tcW w:w="1155" w:type="dxa"/>
                  <w:tcBorders>
                    <w:tl2br w:val="nil"/>
                    <w:tr2bl w:val="nil"/>
                  </w:tcBorders>
                  <w:shd w:val="clear" w:color="auto" w:fill="auto"/>
                  <w:vAlign w:val="center"/>
                </w:tcPr>
                <w:p w14:paraId="5501E316">
                  <w:pPr>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0.0208</w:t>
                  </w:r>
                </w:p>
              </w:tc>
            </w:tr>
            <w:tr w14:paraId="2FC7C1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7" w:type="pct"/>
                  <w:tcBorders>
                    <w:tl2br w:val="nil"/>
                    <w:tr2bl w:val="nil"/>
                  </w:tcBorders>
                  <w:vAlign w:val="center"/>
                </w:tcPr>
                <w:p w14:paraId="7F8CDA13">
                  <w:pPr>
                    <w:keepNext w:val="0"/>
                    <w:keepLines w:val="0"/>
                    <w:suppressLineNumbers w:val="0"/>
                    <w:bidi w:val="0"/>
                    <w:spacing w:before="0" w:beforeAutospacing="0" w:after="0" w:afterAutospacing="0"/>
                    <w:ind w:left="0" w:leftChars="0" w:right="0" w:rightChars="0" w:firstLine="0" w:firstLineChars="0"/>
                    <w:jc w:val="center"/>
                    <w:rPr>
                      <w:rFonts w:hint="eastAsia" w:eastAsia="宋体"/>
                      <w:lang w:val="en-US" w:eastAsia="zh-CN"/>
                    </w:rPr>
                  </w:pPr>
                  <w:r>
                    <w:rPr>
                      <w:rFonts w:hint="eastAsia"/>
                      <w:lang w:val="en-US" w:eastAsia="zh-CN"/>
                    </w:rPr>
                    <w:t>4</w:t>
                  </w:r>
                </w:p>
              </w:tc>
              <w:tc>
                <w:tcPr>
                  <w:tcW w:w="450" w:type="pct"/>
                  <w:tcBorders>
                    <w:tl2br w:val="nil"/>
                    <w:tr2bl w:val="nil"/>
                  </w:tcBorders>
                  <w:vAlign w:val="center"/>
                </w:tcPr>
                <w:p w14:paraId="3BADA8AD">
                  <w:pPr>
                    <w:keepNext w:val="0"/>
                    <w:keepLines w:val="0"/>
                    <w:suppressLineNumbers w:val="0"/>
                    <w:bidi w:val="0"/>
                    <w:spacing w:before="0" w:beforeAutospacing="0" w:after="0" w:afterAutospacing="0"/>
                    <w:ind w:left="0" w:leftChars="0" w:right="0" w:rightChars="0" w:firstLine="0" w:firstLineChars="0"/>
                    <w:jc w:val="center"/>
                    <w:rPr>
                      <w:rFonts w:hint="default"/>
                      <w:lang w:val="en-US" w:eastAsia="zh-CN"/>
                    </w:rPr>
                  </w:pPr>
                  <w:r>
                    <w:rPr>
                      <w:rFonts w:hint="eastAsia"/>
                      <w:lang w:val="en-US" w:eastAsia="zh-CN"/>
                    </w:rPr>
                    <w:t>破碎</w:t>
                  </w:r>
                </w:p>
              </w:tc>
              <w:tc>
                <w:tcPr>
                  <w:tcW w:w="462" w:type="pct"/>
                  <w:tcBorders>
                    <w:tl2br w:val="nil"/>
                    <w:tr2bl w:val="nil"/>
                  </w:tcBorders>
                  <w:vAlign w:val="center"/>
                </w:tcPr>
                <w:p w14:paraId="4672F66B">
                  <w:pPr>
                    <w:keepNext w:val="0"/>
                    <w:keepLines w:val="0"/>
                    <w:suppressLineNumbers w:val="0"/>
                    <w:bidi w:val="0"/>
                    <w:spacing w:before="0" w:beforeAutospacing="0" w:after="0" w:afterAutospacing="0"/>
                    <w:ind w:left="0" w:leftChars="0" w:right="0" w:rightChars="0" w:firstLine="0" w:firstLineChars="0"/>
                    <w:jc w:val="center"/>
                    <w:rPr>
                      <w:rFonts w:hint="eastAsia"/>
                    </w:rPr>
                  </w:pPr>
                  <w:r>
                    <w:rPr>
                      <w:rFonts w:hint="eastAsia"/>
                    </w:rPr>
                    <w:t>颗粒物</w:t>
                  </w:r>
                </w:p>
              </w:tc>
              <w:tc>
                <w:tcPr>
                  <w:tcW w:w="1501" w:type="pct"/>
                  <w:tcBorders>
                    <w:tl2br w:val="nil"/>
                    <w:tr2bl w:val="nil"/>
                  </w:tcBorders>
                  <w:vAlign w:val="center"/>
                </w:tcPr>
                <w:p w14:paraId="355623AB">
                  <w:pPr>
                    <w:keepNext w:val="0"/>
                    <w:keepLines w:val="0"/>
                    <w:suppressLineNumbers w:val="0"/>
                    <w:bidi w:val="0"/>
                    <w:spacing w:before="0" w:beforeAutospacing="0" w:after="0" w:afterAutospacing="0"/>
                    <w:ind w:left="0" w:leftChars="0" w:right="0" w:rightChars="0" w:firstLine="0" w:firstLineChars="0"/>
                    <w:jc w:val="center"/>
                    <w:rPr>
                      <w:rFonts w:hint="default" w:eastAsia="宋体"/>
                      <w:lang w:val="en-US" w:eastAsia="zh-CN"/>
                    </w:rPr>
                  </w:pPr>
                  <w:r>
                    <w:rPr>
                      <w:rFonts w:hint="eastAsia"/>
                      <w:lang w:val="en-US" w:eastAsia="zh-CN"/>
                    </w:rPr>
                    <w:t>封闭厂房，湿法作业，</w:t>
                  </w:r>
                  <w:r>
                    <w:rPr>
                      <w:rFonts w:hint="eastAsia"/>
                      <w:szCs w:val="21"/>
                      <w:lang w:val="en-US" w:eastAsia="zh-CN"/>
                    </w:rPr>
                    <w:t>设置</w:t>
                  </w:r>
                  <w:r>
                    <w:rPr>
                      <w:rFonts w:hint="eastAsia"/>
                      <w:lang w:val="en-US" w:eastAsia="zh-CN"/>
                    </w:rPr>
                    <w:t>喷淋降尘装置</w:t>
                  </w:r>
                </w:p>
              </w:tc>
              <w:tc>
                <w:tcPr>
                  <w:tcW w:w="851" w:type="pct"/>
                  <w:vMerge w:val="continue"/>
                  <w:tcBorders>
                    <w:tl2br w:val="nil"/>
                    <w:tr2bl w:val="nil"/>
                  </w:tcBorders>
                  <w:vAlign w:val="center"/>
                </w:tcPr>
                <w:p w14:paraId="1746B4C1">
                  <w:pPr>
                    <w:keepNext w:val="0"/>
                    <w:keepLines w:val="0"/>
                    <w:suppressLineNumbers w:val="0"/>
                    <w:bidi w:val="0"/>
                    <w:spacing w:before="0" w:beforeAutospacing="0" w:after="0" w:afterAutospacing="0"/>
                    <w:ind w:left="0" w:leftChars="0" w:right="0" w:rightChars="0" w:firstLine="0" w:firstLineChars="0"/>
                    <w:jc w:val="center"/>
                    <w:rPr>
                      <w:rFonts w:hint="eastAsia"/>
                    </w:rPr>
                  </w:pPr>
                </w:p>
              </w:tc>
              <w:tc>
                <w:tcPr>
                  <w:tcW w:w="703" w:type="pct"/>
                  <w:vMerge w:val="continue"/>
                  <w:tcBorders>
                    <w:tl2br w:val="nil"/>
                    <w:tr2bl w:val="nil"/>
                  </w:tcBorders>
                  <w:vAlign w:val="center"/>
                </w:tcPr>
                <w:p w14:paraId="421A01FF">
                  <w:pPr>
                    <w:keepNext w:val="0"/>
                    <w:keepLines w:val="0"/>
                    <w:suppressLineNumbers w:val="0"/>
                    <w:bidi w:val="0"/>
                    <w:spacing w:before="0" w:beforeAutospacing="0" w:after="0" w:afterAutospacing="0"/>
                    <w:ind w:left="0" w:leftChars="0" w:right="0" w:rightChars="0" w:firstLine="0" w:firstLineChars="0"/>
                    <w:jc w:val="center"/>
                    <w:rPr>
                      <w:rFonts w:hint="eastAsia"/>
                    </w:rPr>
                  </w:pPr>
                </w:p>
              </w:tc>
              <w:tc>
                <w:tcPr>
                  <w:tcW w:w="1155" w:type="dxa"/>
                  <w:tcBorders>
                    <w:tl2br w:val="nil"/>
                    <w:tr2bl w:val="nil"/>
                  </w:tcBorders>
                  <w:shd w:val="clear" w:color="auto" w:fill="auto"/>
                  <w:vAlign w:val="center"/>
                </w:tcPr>
                <w:p w14:paraId="0B2BBD93">
                  <w:pPr>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0.1421</w:t>
                  </w:r>
                </w:p>
              </w:tc>
            </w:tr>
            <w:tr w14:paraId="02F827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7" w:type="pct"/>
                  <w:tcBorders>
                    <w:tl2br w:val="nil"/>
                    <w:tr2bl w:val="nil"/>
                  </w:tcBorders>
                  <w:vAlign w:val="center"/>
                </w:tcPr>
                <w:p w14:paraId="4737026D">
                  <w:pPr>
                    <w:keepNext w:val="0"/>
                    <w:keepLines w:val="0"/>
                    <w:suppressLineNumbers w:val="0"/>
                    <w:bidi w:val="0"/>
                    <w:spacing w:before="0" w:beforeAutospacing="0" w:after="0" w:afterAutospacing="0"/>
                    <w:ind w:left="0" w:leftChars="0" w:right="0" w:rightChars="0" w:firstLine="0" w:firstLineChars="0"/>
                    <w:jc w:val="center"/>
                    <w:rPr>
                      <w:rFonts w:hint="eastAsia" w:eastAsia="宋体"/>
                      <w:lang w:val="en-US" w:eastAsia="zh-CN"/>
                    </w:rPr>
                  </w:pPr>
                  <w:r>
                    <w:rPr>
                      <w:rFonts w:hint="eastAsia"/>
                      <w:lang w:val="en-US" w:eastAsia="zh-CN"/>
                    </w:rPr>
                    <w:t>5</w:t>
                  </w:r>
                </w:p>
              </w:tc>
              <w:tc>
                <w:tcPr>
                  <w:tcW w:w="450" w:type="pct"/>
                  <w:tcBorders>
                    <w:tl2br w:val="nil"/>
                    <w:tr2bl w:val="nil"/>
                  </w:tcBorders>
                  <w:vAlign w:val="center"/>
                </w:tcPr>
                <w:p w14:paraId="7BF79C5B">
                  <w:pPr>
                    <w:keepNext w:val="0"/>
                    <w:keepLines w:val="0"/>
                    <w:suppressLineNumbers w:val="0"/>
                    <w:bidi w:val="0"/>
                    <w:spacing w:before="0" w:beforeAutospacing="0" w:after="0" w:afterAutospacing="0"/>
                    <w:ind w:left="0" w:leftChars="0" w:right="0" w:rightChars="0" w:firstLine="0" w:firstLineChars="0"/>
                    <w:jc w:val="center"/>
                    <w:rPr>
                      <w:rFonts w:hint="default"/>
                      <w:lang w:val="en-US" w:eastAsia="zh-CN"/>
                    </w:rPr>
                  </w:pPr>
                  <w:r>
                    <w:rPr>
                      <w:rFonts w:hint="eastAsia"/>
                      <w:lang w:val="en-US" w:eastAsia="zh-CN"/>
                    </w:rPr>
                    <w:t>车辆运输</w:t>
                  </w:r>
                </w:p>
              </w:tc>
              <w:tc>
                <w:tcPr>
                  <w:tcW w:w="462" w:type="pct"/>
                  <w:tcBorders>
                    <w:tl2br w:val="nil"/>
                    <w:tr2bl w:val="nil"/>
                  </w:tcBorders>
                  <w:vAlign w:val="center"/>
                </w:tcPr>
                <w:p w14:paraId="06024C25">
                  <w:pPr>
                    <w:keepNext w:val="0"/>
                    <w:keepLines w:val="0"/>
                    <w:suppressLineNumbers w:val="0"/>
                    <w:bidi w:val="0"/>
                    <w:spacing w:before="0" w:beforeAutospacing="0" w:after="0" w:afterAutospacing="0"/>
                    <w:ind w:left="0" w:leftChars="0" w:right="0" w:rightChars="0" w:firstLine="0" w:firstLineChars="0"/>
                    <w:jc w:val="center"/>
                    <w:rPr>
                      <w:rFonts w:hint="eastAsia"/>
                    </w:rPr>
                  </w:pPr>
                  <w:r>
                    <w:rPr>
                      <w:rFonts w:hint="eastAsia"/>
                    </w:rPr>
                    <w:t>颗粒物</w:t>
                  </w:r>
                </w:p>
              </w:tc>
              <w:tc>
                <w:tcPr>
                  <w:tcW w:w="1501" w:type="pct"/>
                  <w:tcBorders>
                    <w:tl2br w:val="nil"/>
                    <w:tr2bl w:val="nil"/>
                  </w:tcBorders>
                  <w:vAlign w:val="center"/>
                </w:tcPr>
                <w:p w14:paraId="13F72952">
                  <w:pPr>
                    <w:keepNext w:val="0"/>
                    <w:keepLines w:val="0"/>
                    <w:suppressLineNumbers w:val="0"/>
                    <w:bidi w:val="0"/>
                    <w:spacing w:before="0" w:beforeAutospacing="0" w:after="0" w:afterAutospacing="0"/>
                    <w:ind w:left="0" w:leftChars="0" w:right="0" w:rightChars="0" w:firstLine="0" w:firstLineChars="0"/>
                    <w:jc w:val="center"/>
                    <w:rPr>
                      <w:rFonts w:hint="default" w:eastAsia="宋体"/>
                      <w:lang w:val="en-US" w:eastAsia="zh-CN"/>
                    </w:rPr>
                  </w:pPr>
                  <w:r>
                    <w:rPr>
                      <w:rFonts w:hint="eastAsia"/>
                      <w:lang w:val="en-US" w:eastAsia="zh-CN"/>
                    </w:rPr>
                    <w:t>控制车速，严禁超载，地面及时清扫，采取洒水降尘</w:t>
                  </w:r>
                </w:p>
              </w:tc>
              <w:tc>
                <w:tcPr>
                  <w:tcW w:w="851" w:type="pct"/>
                  <w:vMerge w:val="continue"/>
                  <w:tcBorders>
                    <w:tl2br w:val="nil"/>
                    <w:tr2bl w:val="nil"/>
                  </w:tcBorders>
                  <w:vAlign w:val="center"/>
                </w:tcPr>
                <w:p w14:paraId="3A79012F">
                  <w:pPr>
                    <w:keepNext w:val="0"/>
                    <w:keepLines w:val="0"/>
                    <w:suppressLineNumbers w:val="0"/>
                    <w:bidi w:val="0"/>
                    <w:spacing w:before="0" w:beforeAutospacing="0" w:after="0" w:afterAutospacing="0"/>
                    <w:ind w:left="0" w:leftChars="0" w:right="0" w:rightChars="0" w:firstLine="0" w:firstLineChars="0"/>
                    <w:jc w:val="center"/>
                    <w:rPr>
                      <w:rFonts w:hint="eastAsia"/>
                    </w:rPr>
                  </w:pPr>
                </w:p>
              </w:tc>
              <w:tc>
                <w:tcPr>
                  <w:tcW w:w="703" w:type="pct"/>
                  <w:vMerge w:val="continue"/>
                  <w:tcBorders>
                    <w:tl2br w:val="nil"/>
                    <w:tr2bl w:val="nil"/>
                  </w:tcBorders>
                  <w:vAlign w:val="center"/>
                </w:tcPr>
                <w:p w14:paraId="2C57A9FD">
                  <w:pPr>
                    <w:keepNext w:val="0"/>
                    <w:keepLines w:val="0"/>
                    <w:suppressLineNumbers w:val="0"/>
                    <w:bidi w:val="0"/>
                    <w:spacing w:before="0" w:beforeAutospacing="0" w:after="0" w:afterAutospacing="0"/>
                    <w:ind w:left="0" w:leftChars="0" w:right="0" w:rightChars="0" w:firstLine="0" w:firstLineChars="0"/>
                    <w:jc w:val="center"/>
                    <w:rPr>
                      <w:rFonts w:hint="eastAsia"/>
                    </w:rPr>
                  </w:pPr>
                </w:p>
              </w:tc>
              <w:tc>
                <w:tcPr>
                  <w:tcW w:w="1155" w:type="dxa"/>
                  <w:tcBorders>
                    <w:tl2br w:val="nil"/>
                    <w:tr2bl w:val="nil"/>
                  </w:tcBorders>
                  <w:shd w:val="clear" w:color="auto" w:fill="auto"/>
                  <w:vAlign w:val="center"/>
                </w:tcPr>
                <w:p w14:paraId="1B8A2FDD">
                  <w:pPr>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0.0279</w:t>
                  </w:r>
                </w:p>
              </w:tc>
            </w:tr>
            <w:tr w14:paraId="0486A4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4277" w:type="pct"/>
                  <w:gridSpan w:val="6"/>
                  <w:tcBorders>
                    <w:tl2br w:val="nil"/>
                    <w:tr2bl w:val="nil"/>
                  </w:tcBorders>
                  <w:vAlign w:val="center"/>
                </w:tcPr>
                <w:p w14:paraId="1A01C771">
                  <w:pPr>
                    <w:keepNext w:val="0"/>
                    <w:keepLines w:val="0"/>
                    <w:suppressLineNumbers w:val="0"/>
                    <w:bidi w:val="0"/>
                    <w:spacing w:before="0" w:beforeAutospacing="0" w:after="0" w:afterAutospacing="0"/>
                    <w:ind w:left="0" w:leftChars="0" w:right="0" w:rightChars="0" w:firstLine="0" w:firstLineChars="0"/>
                    <w:jc w:val="center"/>
                    <w:rPr>
                      <w:rFonts w:hint="default" w:eastAsia="宋体"/>
                      <w:lang w:val="en-US" w:eastAsia="zh-CN"/>
                    </w:rPr>
                  </w:pPr>
                  <w:r>
                    <w:rPr>
                      <w:rFonts w:hint="eastAsia"/>
                      <w:lang w:val="en-US" w:eastAsia="zh-CN"/>
                    </w:rPr>
                    <w:t>年排放量合计</w:t>
                  </w:r>
                  <w:r>
                    <w:rPr>
                      <w:rFonts w:hint="eastAsia"/>
                    </w:rPr>
                    <w:t>（</w:t>
                  </w:r>
                  <w:r>
                    <w:rPr>
                      <w:rFonts w:hint="eastAsia"/>
                      <w:lang w:val="en-US" w:eastAsia="zh-CN"/>
                    </w:rPr>
                    <w:t>t</w:t>
                  </w:r>
                  <w:r>
                    <w:rPr>
                      <w:rFonts w:hint="eastAsia"/>
                    </w:rPr>
                    <w:t>/</w:t>
                  </w:r>
                  <w:r>
                    <w:rPr>
                      <w:rFonts w:hint="eastAsia"/>
                      <w:lang w:val="en-US" w:eastAsia="zh-CN"/>
                    </w:rPr>
                    <w:t>a</w:t>
                  </w:r>
                  <w:r>
                    <w:rPr>
                      <w:rFonts w:hint="eastAsia"/>
                    </w:rPr>
                    <w:t>）</w:t>
                  </w:r>
                </w:p>
              </w:tc>
              <w:tc>
                <w:tcPr>
                  <w:tcW w:w="722" w:type="pct"/>
                  <w:tcBorders>
                    <w:tl2br w:val="nil"/>
                    <w:tr2bl w:val="nil"/>
                  </w:tcBorders>
                  <w:vAlign w:val="center"/>
                </w:tcPr>
                <w:p w14:paraId="1126CD25">
                  <w:pPr>
                    <w:keepNext w:val="0"/>
                    <w:keepLines w:val="0"/>
                    <w:suppressLineNumbers w:val="0"/>
                    <w:bidi w:val="0"/>
                    <w:spacing w:before="0" w:beforeAutospacing="0" w:after="0" w:afterAutospacing="0"/>
                    <w:ind w:left="0" w:leftChars="0" w:right="0" w:rightChars="0" w:firstLine="0" w:firstLineChars="0"/>
                    <w:jc w:val="center"/>
                    <w:rPr>
                      <w:rFonts w:hint="default" w:eastAsia="宋体"/>
                      <w:lang w:val="en-US" w:eastAsia="zh-CN"/>
                    </w:rPr>
                  </w:pPr>
                  <w:r>
                    <w:rPr>
                      <w:rFonts w:hint="eastAsia"/>
                      <w:lang w:val="en-US" w:eastAsia="zh-CN"/>
                    </w:rPr>
                    <w:t>0.6688</w:t>
                  </w:r>
                </w:p>
              </w:tc>
            </w:tr>
          </w:tbl>
          <w:p w14:paraId="4C8531F5">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2" w:firstLineChars="200"/>
              <w:textAlignment w:val="auto"/>
              <w:rPr>
                <w:rFonts w:hint="eastAsia" w:ascii="Times New Roman" w:hAnsi="Times New Roman" w:eastAsia="宋体"/>
                <w:b/>
                <w:bCs/>
                <w:sz w:val="24"/>
                <w:szCs w:val="32"/>
              </w:rPr>
            </w:pPr>
            <w:r>
              <w:rPr>
                <w:rFonts w:hint="eastAsia"/>
                <w:b/>
                <w:bCs/>
                <w:sz w:val="24"/>
                <w:szCs w:val="32"/>
                <w:lang w:val="en-US" w:eastAsia="zh-CN"/>
              </w:rPr>
              <w:t>4、</w:t>
            </w:r>
            <w:r>
              <w:rPr>
                <w:rFonts w:hint="eastAsia" w:ascii="Times New Roman" w:hAnsi="Times New Roman" w:eastAsia="宋体"/>
                <w:b/>
                <w:bCs/>
                <w:sz w:val="24"/>
                <w:szCs w:val="32"/>
              </w:rPr>
              <w:t>治理措施可行性分析</w:t>
            </w:r>
          </w:p>
          <w:p w14:paraId="6AF486E3">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right="0" w:firstLine="480" w:firstLineChars="200"/>
              <w:textAlignment w:val="auto"/>
              <w:rPr>
                <w:rFonts w:hint="default" w:ascii="Times New Roman" w:hAnsi="Times New Roman" w:eastAsia="宋体"/>
                <w:b w:val="0"/>
                <w:bCs w:val="0"/>
                <w:sz w:val="24"/>
                <w:szCs w:val="32"/>
                <w:lang w:val="en-US" w:eastAsia="zh-CN"/>
              </w:rPr>
            </w:pPr>
            <w:r>
              <w:rPr>
                <w:rFonts w:hint="eastAsia"/>
                <w:b w:val="0"/>
                <w:bCs w:val="0"/>
                <w:sz w:val="24"/>
                <w:szCs w:val="32"/>
                <w:lang w:val="en-US" w:eastAsia="zh-CN"/>
              </w:rPr>
              <w:t>参考《排污许可证申请与核发技术规范 陶瓷砖瓦工业》（HJ954-2018）中其他制品类工业排污单位废气污染防治可行技术，破碎机等其他生产设施颗粒物防治可行技术为湿法作业和袋式除尘，本项目破碎、筛分等工序采取湿法作业，且全过程在封闭厂房内进行；项目原料堆场及成品堆场地面硬化，堆场设置三面围挡，物料表面铺设防尘网，物料装卸过程加强管理并在堆场设置喷淋降尘装置，车辆运输过程控制车速，严禁超载，地面及时清扫，采取洒水降尘。参考原有项目竣工环保验收意见结论，采取以上措施后能实现厂界颗粒物无组织废气达标排放。因此，评价认为本项目采取的废气治理设施可行。</w:t>
            </w:r>
          </w:p>
          <w:p w14:paraId="6490AA45">
            <w:pPr>
              <w:keepNext w:val="0"/>
              <w:keepLines w:val="0"/>
              <w:suppressLineNumbers w:val="0"/>
              <w:spacing w:before="120" w:beforeLines="50" w:beforeAutospacing="0" w:after="0" w:afterAutospacing="0" w:line="360" w:lineRule="auto"/>
              <w:ind w:left="0" w:right="0" w:firstLine="482" w:firstLineChars="200"/>
              <w:rPr>
                <w:rFonts w:hint="default" w:ascii="Times New Roman" w:hAnsi="Times New Roman" w:eastAsia="宋体" w:cs="Times New Roman"/>
                <w:b/>
                <w:bCs/>
                <w:color w:val="auto"/>
                <w:sz w:val="24"/>
              </w:rPr>
            </w:pPr>
            <w:r>
              <w:rPr>
                <w:rFonts w:hint="eastAsia" w:ascii="Times New Roman" w:hAnsi="Times New Roman" w:eastAsia="宋体" w:cs="Times New Roman"/>
                <w:b/>
                <w:bCs/>
                <w:color w:val="auto"/>
                <w:sz w:val="24"/>
              </w:rPr>
              <w:t>5、大气环境监测计划</w:t>
            </w:r>
          </w:p>
          <w:p w14:paraId="296E8189">
            <w:pPr>
              <w:pStyle w:val="6"/>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b w:val="0"/>
                <w:bCs w:val="0"/>
                <w:color w:val="auto"/>
                <w:kern w:val="0"/>
                <w:sz w:val="24"/>
                <w:szCs w:val="24"/>
                <w:lang w:val="en-US" w:eastAsia="zh-CN" w:bidi="ar-SA"/>
              </w:rPr>
            </w:pPr>
            <w:r>
              <w:rPr>
                <w:rFonts w:hint="eastAsia" w:ascii="Times New Roman" w:hAnsi="Times New Roman" w:eastAsia="宋体" w:cs="Times New Roman"/>
                <w:b w:val="0"/>
                <w:bCs w:val="0"/>
                <w:color w:val="auto"/>
                <w:kern w:val="0"/>
                <w:sz w:val="24"/>
                <w:szCs w:val="24"/>
                <w:lang w:val="en-US" w:eastAsia="zh-CN" w:bidi="ar-SA"/>
              </w:rPr>
              <w:t>本次评价根据《排污单位自行监测技术指南总则（HJ 819-2017）》制定大气自行监测计划。项目大气自行监测计划建议见下表。</w:t>
            </w:r>
          </w:p>
          <w:p w14:paraId="49DB1D86">
            <w:pPr>
              <w:keepNext w:val="0"/>
              <w:keepLines w:val="0"/>
              <w:suppressLineNumbers w:val="0"/>
              <w:bidi w:val="0"/>
              <w:spacing w:before="0" w:beforeAutospacing="0" w:after="0" w:afterAutospacing="0"/>
              <w:ind w:left="0" w:leftChars="0" w:right="0" w:rightChars="0" w:firstLine="0" w:firstLineChars="0"/>
              <w:jc w:val="center"/>
              <w:rPr>
                <w:rFonts w:hint="eastAsia"/>
                <w:b/>
                <w:bCs/>
              </w:rPr>
            </w:pPr>
          </w:p>
          <w:p w14:paraId="02EDB4B5">
            <w:pPr>
              <w:keepNext w:val="0"/>
              <w:keepLines w:val="0"/>
              <w:suppressLineNumbers w:val="0"/>
              <w:bidi w:val="0"/>
              <w:spacing w:before="0" w:beforeAutospacing="0" w:after="0" w:afterAutospacing="0"/>
              <w:ind w:left="0" w:leftChars="0" w:right="0" w:rightChars="0" w:firstLine="0" w:firstLineChars="0"/>
              <w:jc w:val="center"/>
              <w:rPr>
                <w:rFonts w:hint="default"/>
                <w:b/>
                <w:bCs/>
              </w:rPr>
            </w:pPr>
            <w:r>
              <w:rPr>
                <w:rFonts w:hint="eastAsia"/>
                <w:b/>
                <w:bCs/>
              </w:rPr>
              <w:t>表4-</w:t>
            </w:r>
            <w:r>
              <w:rPr>
                <w:rFonts w:hint="eastAsia"/>
                <w:b/>
                <w:bCs/>
                <w:lang w:val="en-US" w:eastAsia="zh-CN"/>
              </w:rPr>
              <w:t>4</w:t>
            </w:r>
            <w:r>
              <w:rPr>
                <w:rFonts w:hint="eastAsia"/>
                <w:b/>
                <w:bCs/>
              </w:rPr>
              <w:t xml:space="preserve">  营运期全厂废气自行监测计划一览表</w:t>
            </w:r>
          </w:p>
          <w:tbl>
            <w:tblPr>
              <w:tblStyle w:val="25"/>
              <w:tblW w:w="497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56"/>
              <w:gridCol w:w="2526"/>
              <w:gridCol w:w="1995"/>
              <w:gridCol w:w="1996"/>
            </w:tblGrid>
            <w:tr w14:paraId="36B4FE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3" w:type="pct"/>
                  <w:noWrap w:val="0"/>
                  <w:vAlign w:val="center"/>
                </w:tcPr>
                <w:p w14:paraId="048B098A">
                  <w:pPr>
                    <w:keepNext w:val="0"/>
                    <w:keepLines w:val="0"/>
                    <w:suppressLineNumbers w:val="0"/>
                    <w:bidi w:val="0"/>
                    <w:spacing w:before="0" w:beforeAutospacing="0" w:after="0" w:afterAutospacing="0"/>
                    <w:ind w:left="0" w:leftChars="0" w:right="0" w:rightChars="0" w:firstLine="0" w:firstLineChars="0"/>
                    <w:jc w:val="center"/>
                    <w:rPr>
                      <w:rFonts w:hint="default"/>
                      <w:b/>
                      <w:bCs/>
                    </w:rPr>
                  </w:pPr>
                  <w:r>
                    <w:rPr>
                      <w:rFonts w:hint="eastAsia"/>
                      <w:b/>
                      <w:bCs/>
                    </w:rPr>
                    <w:t>监测类别</w:t>
                  </w:r>
                </w:p>
              </w:tc>
              <w:tc>
                <w:tcPr>
                  <w:tcW w:w="1584" w:type="pct"/>
                  <w:noWrap w:val="0"/>
                  <w:vAlign w:val="center"/>
                </w:tcPr>
                <w:p w14:paraId="6B0EA6AB">
                  <w:pPr>
                    <w:keepNext w:val="0"/>
                    <w:keepLines w:val="0"/>
                    <w:suppressLineNumbers w:val="0"/>
                    <w:bidi w:val="0"/>
                    <w:spacing w:before="0" w:beforeAutospacing="0" w:after="0" w:afterAutospacing="0"/>
                    <w:ind w:left="0" w:leftChars="0" w:right="0" w:rightChars="0" w:firstLine="0" w:firstLineChars="0"/>
                    <w:jc w:val="center"/>
                    <w:rPr>
                      <w:rFonts w:hint="default"/>
                      <w:b/>
                      <w:bCs/>
                    </w:rPr>
                  </w:pPr>
                  <w:r>
                    <w:rPr>
                      <w:rFonts w:hint="eastAsia"/>
                      <w:b/>
                      <w:bCs/>
                    </w:rPr>
                    <w:t>监测点位</w:t>
                  </w:r>
                </w:p>
              </w:tc>
              <w:tc>
                <w:tcPr>
                  <w:tcW w:w="1251" w:type="pct"/>
                  <w:noWrap w:val="0"/>
                  <w:vAlign w:val="center"/>
                </w:tcPr>
                <w:p w14:paraId="5AC0EFC2">
                  <w:pPr>
                    <w:keepNext w:val="0"/>
                    <w:keepLines w:val="0"/>
                    <w:suppressLineNumbers w:val="0"/>
                    <w:bidi w:val="0"/>
                    <w:spacing w:before="0" w:beforeAutospacing="0" w:after="0" w:afterAutospacing="0"/>
                    <w:ind w:left="0" w:leftChars="0" w:right="0" w:rightChars="0" w:firstLine="0" w:firstLineChars="0"/>
                    <w:jc w:val="center"/>
                    <w:rPr>
                      <w:rFonts w:hint="default"/>
                      <w:b/>
                      <w:bCs/>
                    </w:rPr>
                  </w:pPr>
                  <w:r>
                    <w:rPr>
                      <w:rFonts w:hint="eastAsia"/>
                      <w:b/>
                      <w:bCs/>
                    </w:rPr>
                    <w:t>监测项目</w:t>
                  </w:r>
                </w:p>
              </w:tc>
              <w:tc>
                <w:tcPr>
                  <w:tcW w:w="1251" w:type="pct"/>
                  <w:noWrap w:val="0"/>
                  <w:vAlign w:val="center"/>
                </w:tcPr>
                <w:p w14:paraId="1C59D9CB">
                  <w:pPr>
                    <w:keepNext w:val="0"/>
                    <w:keepLines w:val="0"/>
                    <w:suppressLineNumbers w:val="0"/>
                    <w:bidi w:val="0"/>
                    <w:spacing w:before="0" w:beforeAutospacing="0" w:after="0" w:afterAutospacing="0"/>
                    <w:ind w:left="0" w:leftChars="0" w:right="0" w:rightChars="0" w:firstLine="0" w:firstLineChars="0"/>
                    <w:jc w:val="center"/>
                    <w:rPr>
                      <w:rFonts w:hint="default"/>
                      <w:b/>
                      <w:bCs/>
                    </w:rPr>
                  </w:pPr>
                  <w:r>
                    <w:rPr>
                      <w:rFonts w:hint="eastAsia"/>
                      <w:b/>
                      <w:bCs/>
                    </w:rPr>
                    <w:t>监测频率</w:t>
                  </w:r>
                </w:p>
              </w:tc>
            </w:tr>
            <w:tr w14:paraId="354C3F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913" w:type="pct"/>
                  <w:noWrap w:val="0"/>
                  <w:vAlign w:val="center"/>
                </w:tcPr>
                <w:p w14:paraId="556CA64E">
                  <w:pPr>
                    <w:keepNext w:val="0"/>
                    <w:keepLines w:val="0"/>
                    <w:suppressLineNumbers w:val="0"/>
                    <w:bidi w:val="0"/>
                    <w:spacing w:before="0" w:beforeAutospacing="0" w:after="0" w:afterAutospacing="0"/>
                    <w:ind w:left="0" w:leftChars="0" w:right="0" w:rightChars="0" w:firstLine="0" w:firstLineChars="0"/>
                    <w:jc w:val="center"/>
                    <w:rPr>
                      <w:rFonts w:hint="default"/>
                    </w:rPr>
                  </w:pPr>
                  <w:r>
                    <w:rPr>
                      <w:rFonts w:hint="eastAsia"/>
                    </w:rPr>
                    <w:t>无组织废气</w:t>
                  </w:r>
                </w:p>
              </w:tc>
              <w:tc>
                <w:tcPr>
                  <w:tcW w:w="1584" w:type="pct"/>
                  <w:noWrap w:val="0"/>
                  <w:vAlign w:val="center"/>
                </w:tcPr>
                <w:p w14:paraId="22A3E0E0">
                  <w:pPr>
                    <w:keepNext w:val="0"/>
                    <w:keepLines w:val="0"/>
                    <w:suppressLineNumbers w:val="0"/>
                    <w:bidi w:val="0"/>
                    <w:spacing w:before="0" w:beforeAutospacing="0" w:after="0" w:afterAutospacing="0"/>
                    <w:ind w:left="0" w:leftChars="0" w:right="0" w:rightChars="0" w:firstLine="0" w:firstLineChars="0"/>
                    <w:jc w:val="center"/>
                    <w:rPr>
                      <w:rFonts w:hint="default" w:eastAsia="宋体"/>
                      <w:lang w:val="en-US" w:eastAsia="zh-CN"/>
                    </w:rPr>
                  </w:pPr>
                  <w:r>
                    <w:rPr>
                      <w:rFonts w:hint="default"/>
                    </w:rPr>
                    <w:t>项目所在地上风向1个</w:t>
                  </w:r>
                  <w:r>
                    <w:rPr>
                      <w:rFonts w:hint="eastAsia"/>
                      <w:lang w:val="en-US" w:eastAsia="zh-CN"/>
                    </w:rPr>
                    <w:t>监测点</w:t>
                  </w:r>
                  <w:r>
                    <w:rPr>
                      <w:rFonts w:hint="default"/>
                    </w:rPr>
                    <w:t>，下风向3个</w:t>
                  </w:r>
                  <w:r>
                    <w:rPr>
                      <w:rFonts w:hint="eastAsia"/>
                      <w:lang w:val="en-US" w:eastAsia="zh-CN"/>
                    </w:rPr>
                    <w:t>监测点</w:t>
                  </w:r>
                </w:p>
              </w:tc>
              <w:tc>
                <w:tcPr>
                  <w:tcW w:w="1251" w:type="pct"/>
                  <w:noWrap w:val="0"/>
                  <w:vAlign w:val="center"/>
                </w:tcPr>
                <w:p w14:paraId="3F0E60AE">
                  <w:pPr>
                    <w:keepNext w:val="0"/>
                    <w:keepLines w:val="0"/>
                    <w:suppressLineNumbers w:val="0"/>
                    <w:bidi w:val="0"/>
                    <w:spacing w:before="0" w:beforeAutospacing="0" w:after="0" w:afterAutospacing="0"/>
                    <w:ind w:left="0" w:leftChars="0" w:right="0" w:rightChars="0" w:firstLine="0" w:firstLineChars="0"/>
                    <w:jc w:val="center"/>
                    <w:rPr>
                      <w:rFonts w:hint="default"/>
                    </w:rPr>
                  </w:pPr>
                  <w:r>
                    <w:rPr>
                      <w:rFonts w:hint="eastAsia"/>
                    </w:rPr>
                    <w:t>颗粒物</w:t>
                  </w:r>
                </w:p>
              </w:tc>
              <w:tc>
                <w:tcPr>
                  <w:tcW w:w="1251" w:type="pct"/>
                  <w:noWrap w:val="0"/>
                  <w:vAlign w:val="center"/>
                </w:tcPr>
                <w:p w14:paraId="60FAB620">
                  <w:pPr>
                    <w:keepNext w:val="0"/>
                    <w:keepLines w:val="0"/>
                    <w:suppressLineNumbers w:val="0"/>
                    <w:bidi w:val="0"/>
                    <w:spacing w:before="0" w:beforeAutospacing="0" w:after="0" w:afterAutospacing="0"/>
                    <w:ind w:left="0" w:leftChars="0" w:right="0" w:rightChars="0" w:firstLine="0" w:firstLineChars="0"/>
                    <w:jc w:val="center"/>
                    <w:rPr>
                      <w:rFonts w:hint="default"/>
                    </w:rPr>
                  </w:pPr>
                  <w:r>
                    <w:rPr>
                      <w:rFonts w:hint="eastAsia"/>
                    </w:rPr>
                    <w:t>1次/年</w:t>
                  </w:r>
                </w:p>
              </w:tc>
            </w:tr>
          </w:tbl>
          <w:p w14:paraId="55A1FFFC">
            <w:pPr>
              <w:keepNext w:val="0"/>
              <w:keepLines w:val="0"/>
              <w:suppressLineNumbers w:val="0"/>
              <w:spacing w:before="0" w:beforeAutospacing="0" w:after="0" w:afterAutospacing="0" w:line="360" w:lineRule="auto"/>
              <w:ind w:left="0" w:right="0" w:firstLine="482" w:firstLineChars="200"/>
              <w:jc w:val="left"/>
              <w:rPr>
                <w:rFonts w:hint="eastAsia" w:ascii="Times New Roman" w:hAnsi="Times New Roman" w:eastAsia="宋体" w:cs="Times New Roman"/>
                <w:b/>
                <w:sz w:val="24"/>
                <w:lang w:val="en-US" w:eastAsia="zh-CN"/>
              </w:rPr>
            </w:pPr>
            <w:r>
              <w:rPr>
                <w:rFonts w:hint="eastAsia" w:cs="Times New Roman"/>
                <w:b/>
                <w:sz w:val="24"/>
                <w:lang w:val="en-US" w:eastAsia="zh-CN"/>
              </w:rPr>
              <w:t>6、</w:t>
            </w:r>
            <w:r>
              <w:rPr>
                <w:rFonts w:hint="eastAsia" w:ascii="Times New Roman" w:hAnsi="Times New Roman" w:eastAsia="宋体" w:cs="Times New Roman"/>
                <w:b/>
                <w:bCs/>
                <w:sz w:val="24"/>
              </w:rPr>
              <w:t>大气环境影响分析</w:t>
            </w:r>
          </w:p>
          <w:p w14:paraId="56AE63E2">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本项目500m范围内环境保护目标主要为</w:t>
            </w:r>
            <w:r>
              <w:rPr>
                <w:rFonts w:hint="eastAsia" w:cs="Times New Roman"/>
                <w:color w:val="auto"/>
                <w:sz w:val="24"/>
                <w:szCs w:val="24"/>
                <w:lang w:val="en-US" w:eastAsia="zh-CN"/>
              </w:rPr>
              <w:t>周边居民点</w:t>
            </w:r>
            <w:r>
              <w:rPr>
                <w:rFonts w:hint="eastAsia" w:ascii="Times New Roman" w:hAnsi="Times New Roman" w:cs="Times New Roman"/>
                <w:color w:val="auto"/>
                <w:sz w:val="24"/>
                <w:szCs w:val="24"/>
                <w:lang w:val="en-US" w:eastAsia="zh-CN"/>
              </w:rPr>
              <w:t>，</w:t>
            </w:r>
            <w:r>
              <w:rPr>
                <w:rFonts w:hint="eastAsia" w:cs="Times New Roman"/>
                <w:color w:val="auto"/>
                <w:sz w:val="24"/>
                <w:szCs w:val="24"/>
                <w:lang w:val="en-US" w:eastAsia="zh-CN"/>
              </w:rPr>
              <w:t>根据项目外环境关系图可知，本项目厂区下风向环境敏感目标为大鱼箭2#-4#居民点，距离厂界最近距离约50m。根据《环境影响评价技术导则—大气环境》（HJ2.2-2018）推荐模式清单中的AERSCREEN 模型进行预测本项目运行期间颗粒物最大落地浓度出现在本项目厂区下风向115m处，最大落地浓度为0.0296mg/m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，根据环境现状监测结果，本项目所在区域环境空气质量现状良好（TSP 24小时均值最大监测值0.141mg/m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），有一定的环境容量</w:t>
            </w:r>
            <w:r>
              <w:rPr>
                <w:rFonts w:hint="eastAsia" w:ascii="Times New Roman" w:hAnsi="Times New Roman" w:cs="Times New Roman"/>
                <w:color w:val="auto"/>
                <w:sz w:val="24"/>
                <w:szCs w:val="24"/>
                <w:lang w:val="en-US" w:eastAsia="zh-CN"/>
              </w:rPr>
              <w:t>。本项目在落实上述废气治理措施后，可实现稳定达标排放。因此，本项目的正常运营不会对区域环境空气质量产生明显影响。</w:t>
            </w:r>
          </w:p>
          <w:p w14:paraId="3A38A837">
            <w:pPr>
              <w:keepNext w:val="0"/>
              <w:keepLines w:val="0"/>
              <w:suppressLineNumbers w:val="0"/>
              <w:spacing w:before="0" w:beforeAutospacing="0" w:after="0" w:afterAutospacing="0" w:line="360" w:lineRule="auto"/>
              <w:ind w:left="0" w:right="0" w:firstLine="482" w:firstLineChars="200"/>
              <w:jc w:val="left"/>
              <w:rPr>
                <w:rFonts w:hint="default" w:ascii="Times New Roman" w:hAnsi="Times New Roman" w:eastAsia="宋体" w:cs="Times New Roman"/>
                <w:b/>
                <w:sz w:val="24"/>
              </w:rPr>
            </w:pPr>
            <w:r>
              <w:rPr>
                <w:rFonts w:hint="eastAsia" w:ascii="Times New Roman" w:hAnsi="Times New Roman" w:eastAsia="宋体" w:cs="Times New Roman"/>
                <w:b/>
                <w:sz w:val="24"/>
              </w:rPr>
              <w:t>二、废水</w:t>
            </w:r>
          </w:p>
          <w:p w14:paraId="4C5938D4">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rPr>
            </w:pPr>
            <w:r>
              <w:rPr>
                <w:rFonts w:hint="eastAsia" w:ascii="Times New Roman" w:hAnsi="Times New Roman" w:eastAsia="宋体" w:cs="Times New Roman"/>
                <w:b/>
                <w:bCs/>
                <w:color w:val="auto"/>
                <w:sz w:val="24"/>
              </w:rPr>
              <w:t>1、水污染物排放及治理措施</w:t>
            </w:r>
          </w:p>
          <w:p w14:paraId="75F0369D">
            <w:pPr>
              <w:keepNext w:val="0"/>
              <w:keepLines w:val="0"/>
              <w:suppressLineNumbers w:val="0"/>
              <w:spacing w:before="0" w:beforeAutospacing="0" w:after="0" w:afterAutospacing="0" w:line="360" w:lineRule="auto"/>
              <w:ind w:left="0" w:right="0" w:firstLine="480" w:firstLineChars="200"/>
              <w:jc w:val="left"/>
              <w:rPr>
                <w:rFonts w:hint="eastAsia" w:ascii="Times New Roman" w:hAnsi="Times New Roman" w:eastAsia="宋体" w:cs="Times New Roman"/>
                <w:b/>
                <w:sz w:val="24"/>
                <w:szCs w:val="24"/>
              </w:rPr>
            </w:pPr>
            <w:r>
              <w:rPr>
                <w:rFonts w:hint="eastAsia" w:ascii="Times New Roman" w:hAnsi="Times New Roman" w:cs="Times New Roman"/>
                <w:color w:val="auto"/>
                <w:sz w:val="24"/>
                <w:szCs w:val="24"/>
                <w:lang w:val="en-US" w:eastAsia="zh-CN"/>
              </w:rPr>
              <w:t>根据项目工程分析，项目运营过程产生的废水主要为：生活污水、洗砂废水、降尘废水、</w:t>
            </w:r>
            <w:r>
              <w:rPr>
                <w:rFonts w:hint="eastAsia" w:cs="Times New Roman"/>
                <w:color w:val="auto"/>
                <w:sz w:val="24"/>
                <w:szCs w:val="24"/>
                <w:lang w:val="en-US" w:eastAsia="zh-CN"/>
              </w:rPr>
              <w:t>车辆冲洗</w:t>
            </w:r>
            <w:r>
              <w:rPr>
                <w:rFonts w:hint="eastAsia" w:ascii="Times New Roman" w:hAnsi="Times New Roman" w:cs="Times New Roman"/>
                <w:color w:val="auto"/>
                <w:sz w:val="24"/>
                <w:szCs w:val="24"/>
                <w:lang w:val="en-US" w:eastAsia="zh-CN"/>
              </w:rPr>
              <w:t>废水、初期雨水</w:t>
            </w:r>
            <w:r>
              <w:rPr>
                <w:rFonts w:hint="eastAsia" w:ascii="Times New Roman" w:hAnsi="Times New Roman" w:eastAsia="宋体" w:cs="Times New Roman"/>
                <w:color w:val="auto"/>
                <w:sz w:val="24"/>
                <w:szCs w:val="24"/>
              </w:rPr>
              <w:t>。</w:t>
            </w:r>
            <w:r>
              <w:rPr>
                <w:rFonts w:hint="eastAsia" w:ascii="Times New Roman" w:hAnsi="Times New Roman" w:cs="Times New Roman"/>
                <w:color w:val="auto"/>
                <w:sz w:val="24"/>
                <w:szCs w:val="24"/>
                <w:lang w:val="en-US" w:eastAsia="zh-CN"/>
              </w:rPr>
              <w:t>厂区地面均硬化处理，厂区道路采取洒水降尘，办公生活区地面采取干式清扫。</w:t>
            </w:r>
            <w:r>
              <w:rPr>
                <w:rFonts w:hint="eastAsia" w:ascii="Times New Roman" w:hAnsi="Times New Roman" w:eastAsia="宋体" w:cs="Times New Roman"/>
                <w:color w:val="auto"/>
                <w:kern w:val="0"/>
                <w:sz w:val="24"/>
                <w:szCs w:val="24"/>
              </w:rPr>
              <w:t>参考《四川省用水定额》（川府函2021﹝8﹞号）同时结合厂区实际情况，本项目建成后厂区废水产生情况如下：</w:t>
            </w:r>
          </w:p>
          <w:p w14:paraId="69F84E2C">
            <w:pPr>
              <w:pStyle w:val="11"/>
              <w:keepNext w:val="0"/>
              <w:keepLines w:val="0"/>
              <w:suppressLineNumbers w:val="0"/>
              <w:spacing w:beforeAutospacing="0" w:after="0" w:afterAutospacing="0" w:line="360" w:lineRule="auto"/>
              <w:ind w:left="0" w:firstLine="482" w:firstLineChars="200"/>
              <w:rPr>
                <w:rFonts w:hint="default" w:ascii="Times New Roman" w:hAnsi="Times New Roman" w:eastAsia="宋体" w:cs="Times New Roman"/>
                <w:b/>
                <w:bCs/>
                <w:color w:val="auto"/>
                <w:sz w:val="24"/>
              </w:rPr>
            </w:pPr>
            <w:r>
              <w:rPr>
                <w:rFonts w:hint="eastAsia" w:ascii="Times New Roman" w:hAnsi="Times New Roman" w:eastAsia="宋体" w:cs="Times New Roman"/>
                <w:b/>
                <w:bCs/>
                <w:color w:val="auto"/>
                <w:sz w:val="24"/>
              </w:rPr>
              <w:t>（1）生活污水</w:t>
            </w:r>
          </w:p>
          <w:p w14:paraId="20BCC028">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rPr>
              <w:t>本项目劳动定员</w:t>
            </w:r>
            <w:r>
              <w:rPr>
                <w:rFonts w:hint="eastAsia" w:ascii="Times New Roman" w:hAnsi="Times New Roman" w:cs="Times New Roman"/>
                <w:color w:val="auto"/>
                <w:sz w:val="24"/>
                <w:lang w:val="en-US" w:eastAsia="zh-CN"/>
              </w:rPr>
              <w:t>6</w:t>
            </w:r>
            <w:r>
              <w:rPr>
                <w:rFonts w:hint="eastAsia" w:ascii="Times New Roman" w:hAnsi="Times New Roman" w:eastAsia="宋体" w:cs="Times New Roman"/>
                <w:color w:val="auto"/>
                <w:sz w:val="24"/>
              </w:rPr>
              <w:t>人，年生产</w:t>
            </w:r>
            <w:r>
              <w:rPr>
                <w:rFonts w:hint="eastAsia" w:ascii="Times New Roman" w:hAnsi="Times New Roman" w:cs="Times New Roman"/>
                <w:color w:val="auto"/>
                <w:sz w:val="24"/>
                <w:lang w:val="en-US" w:eastAsia="zh-CN"/>
              </w:rPr>
              <w:t>2</w:t>
            </w:r>
            <w:r>
              <w:rPr>
                <w:rFonts w:hint="eastAsia" w:ascii="Times New Roman" w:hAnsi="Times New Roman" w:eastAsia="宋体" w:cs="Times New Roman"/>
                <w:color w:val="auto"/>
                <w:sz w:val="24"/>
              </w:rPr>
              <w:t>00天，</w:t>
            </w:r>
            <w:r>
              <w:rPr>
                <w:rFonts w:hint="eastAsia" w:ascii="Times New Roman" w:hAnsi="Times New Roman" w:cs="Times New Roman"/>
                <w:color w:val="auto"/>
                <w:sz w:val="24"/>
                <w:lang w:val="en-US" w:eastAsia="zh-CN"/>
              </w:rPr>
              <w:t>厂区不提供食宿，</w:t>
            </w:r>
            <w:r>
              <w:rPr>
                <w:rFonts w:hint="eastAsia" w:ascii="Times New Roman" w:hAnsi="Times New Roman" w:eastAsia="宋体" w:cs="Times New Roman"/>
                <w:bCs/>
                <w:color w:val="auto"/>
                <w:sz w:val="24"/>
              </w:rPr>
              <w:t>项目</w:t>
            </w:r>
            <w:r>
              <w:rPr>
                <w:rFonts w:hint="eastAsia" w:ascii="Times New Roman" w:hAnsi="Times New Roman" w:eastAsia="宋体" w:cs="Times New Roman"/>
                <w:color w:val="auto"/>
                <w:sz w:val="24"/>
              </w:rPr>
              <w:t>生活用水量按</w:t>
            </w:r>
            <w:r>
              <w:rPr>
                <w:rFonts w:hint="eastAsia" w:ascii="Times New Roman" w:hAnsi="Times New Roman" w:cs="Times New Roman"/>
                <w:color w:val="auto"/>
                <w:sz w:val="24"/>
                <w:lang w:val="en-US" w:eastAsia="zh-CN"/>
              </w:rPr>
              <w:t>5</w:t>
            </w:r>
            <w:r>
              <w:rPr>
                <w:rFonts w:hint="eastAsia" w:ascii="Times New Roman" w:hAnsi="Times New Roman" w:eastAsia="宋体" w:cs="Times New Roman"/>
                <w:color w:val="auto"/>
                <w:sz w:val="24"/>
              </w:rPr>
              <w:t>0</w:t>
            </w:r>
            <w:r>
              <w:rPr>
                <w:rFonts w:hint="default" w:ascii="Times New Roman" w:hAnsi="Times New Roman" w:eastAsia="宋体" w:cs="Times New Roman"/>
                <w:color w:val="auto"/>
                <w:sz w:val="24"/>
              </w:rPr>
              <w:t>L/</w:t>
            </w:r>
            <w:r>
              <w:rPr>
                <w:rFonts w:hint="eastAsia" w:ascii="Times New Roman" w:hAnsi="Times New Roman" w:eastAsia="宋体" w:cs="Times New Roman"/>
                <w:color w:val="auto"/>
                <w:sz w:val="24"/>
              </w:rPr>
              <w:t>人</w:t>
            </w:r>
            <w:r>
              <w:rPr>
                <w:rFonts w:hint="default" w:ascii="Times New Roman" w:hAnsi="Times New Roman" w:eastAsia="宋体" w:cs="Times New Roman"/>
                <w:color w:val="auto"/>
                <w:sz w:val="24"/>
              </w:rPr>
              <w:t>•d</w:t>
            </w:r>
            <w:r>
              <w:rPr>
                <w:rFonts w:hint="eastAsia" w:ascii="Times New Roman" w:hAnsi="Times New Roman" w:eastAsia="宋体" w:cs="Times New Roman"/>
                <w:color w:val="auto"/>
                <w:sz w:val="24"/>
              </w:rPr>
              <w:t>。经核算，本项目生活用水量为</w:t>
            </w:r>
            <w:r>
              <w:rPr>
                <w:rFonts w:hint="eastAsia" w:ascii="Times New Roman" w:hAnsi="Times New Roman" w:cs="Times New Roman"/>
                <w:color w:val="auto"/>
                <w:sz w:val="24"/>
                <w:lang w:val="en-US" w:eastAsia="zh-CN"/>
              </w:rPr>
              <w:t>0.3</w:t>
            </w:r>
            <w:r>
              <w:rPr>
                <w:rFonts w:hint="default" w:ascii="Times New Roman" w:hAnsi="Times New Roman" w:eastAsia="宋体" w:cs="Times New Roman"/>
                <w:color w:val="auto"/>
                <w:sz w:val="24"/>
              </w:rPr>
              <w:t>m</w:t>
            </w:r>
            <w:r>
              <w:rPr>
                <w:rFonts w:hint="eastAsia"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/d</w:t>
            </w:r>
            <w:r>
              <w:rPr>
                <w:rFonts w:hint="eastAsia" w:ascii="Times New Roman" w:hAnsi="Times New Roman" w:eastAsia="宋体" w:cs="Times New Roman"/>
                <w:color w:val="auto"/>
                <w:sz w:val="24"/>
              </w:rPr>
              <w:t>（</w:t>
            </w:r>
            <w:r>
              <w:rPr>
                <w:rFonts w:hint="eastAsia" w:ascii="Times New Roman" w:hAnsi="Times New Roman" w:cs="Times New Roman"/>
                <w:color w:val="auto"/>
                <w:sz w:val="24"/>
                <w:lang w:val="en-US" w:eastAsia="zh-CN"/>
              </w:rPr>
              <w:t>60</w:t>
            </w:r>
            <w:r>
              <w:rPr>
                <w:rFonts w:hint="default" w:ascii="Times New Roman" w:hAnsi="Times New Roman" w:eastAsia="宋体" w:cs="Times New Roman"/>
                <w:color w:val="auto"/>
                <w:sz w:val="24"/>
              </w:rPr>
              <w:t>m</w:t>
            </w:r>
            <w:r>
              <w:rPr>
                <w:rFonts w:hint="eastAsia"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/a</w:t>
            </w:r>
            <w:r>
              <w:rPr>
                <w:rFonts w:hint="eastAsia" w:ascii="Times New Roman" w:hAnsi="Times New Roman" w:eastAsia="宋体" w:cs="Times New Roman"/>
                <w:color w:val="auto"/>
                <w:sz w:val="24"/>
              </w:rPr>
              <w:t>），排放系数按</w:t>
            </w:r>
            <w:r>
              <w:rPr>
                <w:rFonts w:hint="default" w:ascii="Times New Roman" w:hAnsi="Times New Roman" w:eastAsia="宋体" w:cs="Times New Roman"/>
                <w:color w:val="auto"/>
                <w:sz w:val="24"/>
              </w:rPr>
              <w:t>0.8</w:t>
            </w:r>
            <w:r>
              <w:rPr>
                <w:rFonts w:hint="eastAsia" w:ascii="Times New Roman" w:hAnsi="Times New Roman" w:cs="Times New Roman"/>
                <w:color w:val="auto"/>
                <w:sz w:val="24"/>
                <w:lang w:val="en-US" w:eastAsia="zh-CN"/>
              </w:rPr>
              <w:t>5</w:t>
            </w:r>
            <w:r>
              <w:rPr>
                <w:rFonts w:hint="eastAsia" w:ascii="Times New Roman" w:hAnsi="Times New Roman" w:eastAsia="宋体" w:cs="Times New Roman"/>
                <w:color w:val="auto"/>
                <w:sz w:val="24"/>
              </w:rPr>
              <w:t>计，则员工</w:t>
            </w:r>
            <w:r>
              <w:rPr>
                <w:rFonts w:hint="eastAsia" w:ascii="Times New Roman" w:hAnsi="Times New Roman" w:eastAsia="宋体" w:cs="Times New Roman"/>
                <w:color w:val="auto"/>
                <w:sz w:val="24"/>
                <w:lang w:eastAsia="zh-CN"/>
              </w:rPr>
              <w:t>生活污水</w:t>
            </w:r>
            <w:r>
              <w:rPr>
                <w:rFonts w:hint="eastAsia" w:ascii="Times New Roman" w:hAnsi="Times New Roman" w:eastAsia="宋体" w:cs="Times New Roman"/>
                <w:color w:val="auto"/>
                <w:sz w:val="24"/>
              </w:rPr>
              <w:t>产生量为</w:t>
            </w:r>
            <w:r>
              <w:rPr>
                <w:rFonts w:hint="eastAsia" w:ascii="Times New Roman" w:hAnsi="Times New Roman" w:cs="Times New Roman"/>
                <w:color w:val="auto"/>
                <w:sz w:val="24"/>
                <w:lang w:val="en-US" w:eastAsia="zh-CN"/>
              </w:rPr>
              <w:t>0.255</w:t>
            </w:r>
            <w:r>
              <w:rPr>
                <w:rFonts w:hint="default" w:ascii="Times New Roman" w:hAnsi="Times New Roman" w:eastAsia="宋体" w:cs="Times New Roman"/>
                <w:color w:val="auto"/>
                <w:sz w:val="24"/>
              </w:rPr>
              <w:t>m</w:t>
            </w:r>
            <w:r>
              <w:rPr>
                <w:rFonts w:hint="eastAsia"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/d</w:t>
            </w:r>
            <w:r>
              <w:rPr>
                <w:rFonts w:hint="eastAsia" w:ascii="Times New Roman" w:hAnsi="Times New Roman" w:eastAsia="宋体" w:cs="Times New Roman"/>
                <w:color w:val="auto"/>
                <w:sz w:val="24"/>
              </w:rPr>
              <w:t>（</w:t>
            </w:r>
            <w:r>
              <w:rPr>
                <w:rFonts w:hint="eastAsia" w:ascii="Times New Roman" w:hAnsi="Times New Roman" w:cs="Times New Roman"/>
                <w:color w:val="auto"/>
                <w:sz w:val="24"/>
                <w:lang w:val="en-US" w:eastAsia="zh-CN"/>
              </w:rPr>
              <w:t>51</w:t>
            </w:r>
            <w:r>
              <w:rPr>
                <w:rFonts w:hint="default" w:ascii="Times New Roman" w:hAnsi="Times New Roman" w:eastAsia="宋体" w:cs="Times New Roman"/>
                <w:color w:val="auto"/>
                <w:sz w:val="24"/>
              </w:rPr>
              <w:t>m</w:t>
            </w:r>
            <w:r>
              <w:rPr>
                <w:rFonts w:hint="eastAsia"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/a</w:t>
            </w:r>
            <w:r>
              <w:rPr>
                <w:rFonts w:hint="eastAsia" w:ascii="Times New Roman" w:hAnsi="Times New Roman" w:eastAsia="宋体" w:cs="Times New Roman"/>
                <w:color w:val="auto"/>
                <w:sz w:val="24"/>
              </w:rPr>
              <w:t>）。</w:t>
            </w:r>
          </w:p>
          <w:p w14:paraId="792BF8E6">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rPr>
              <w:t>（</w:t>
            </w:r>
            <w:r>
              <w:rPr>
                <w:rFonts w:hint="eastAsia" w:ascii="Times New Roman" w:hAnsi="Times New Roman" w:eastAsia="宋体" w:cs="Times New Roman"/>
                <w:b/>
                <w:bCs/>
                <w:color w:val="auto"/>
                <w:sz w:val="24"/>
                <w:lang w:val="en-US" w:eastAsia="zh-CN"/>
              </w:rPr>
              <w:t>2</w:t>
            </w:r>
            <w:r>
              <w:rPr>
                <w:rFonts w:hint="eastAsia" w:ascii="Times New Roman" w:hAnsi="Times New Roman" w:eastAsia="宋体" w:cs="Times New Roman"/>
                <w:b/>
                <w:bCs/>
                <w:color w:val="auto"/>
                <w:sz w:val="24"/>
              </w:rPr>
              <w:t>）</w:t>
            </w:r>
            <w:r>
              <w:rPr>
                <w:rFonts w:hint="eastAsia" w:ascii="Times New Roman" w:hAnsi="Times New Roman" w:cs="Times New Roman"/>
                <w:b/>
                <w:bCs/>
                <w:color w:val="auto"/>
                <w:sz w:val="24"/>
                <w:lang w:val="en-US" w:eastAsia="zh-CN"/>
              </w:rPr>
              <w:t>洗砂废水</w:t>
            </w:r>
          </w:p>
          <w:p w14:paraId="1B6E1581">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cs="Times New Roman"/>
                <w:b w:val="0"/>
                <w:bCs w:val="0"/>
                <w:color w:val="auto"/>
                <w:sz w:val="24"/>
                <w:lang w:val="en-US" w:eastAsia="zh-CN"/>
              </w:rPr>
              <w:t>根据建设单位提供的资料，每吨原料洗砂用水量约0.5</w:t>
            </w:r>
            <w:r>
              <w:rPr>
                <w:rFonts w:hint="default" w:ascii="Times New Roman" w:hAnsi="Times New Roman" w:eastAsia="宋体" w:cs="Times New Roman"/>
                <w:color w:val="auto"/>
                <w:sz w:val="24"/>
              </w:rPr>
              <w:t>m</w:t>
            </w:r>
            <w:r>
              <w:rPr>
                <w:rFonts w:hint="eastAsia" w:ascii="Times New Roman" w:hAnsi="Times New Roman" w:eastAsia="宋体" w:cs="Times New Roman"/>
                <w:color w:val="auto"/>
                <w:sz w:val="24"/>
                <w:vertAlign w:val="superscript"/>
              </w:rPr>
              <w:t>3</w:t>
            </w:r>
            <w:r>
              <w:rPr>
                <w:rFonts w:hint="eastAsia" w:ascii="Times New Roman" w:hAnsi="Times New Roman" w:cs="Times New Roman"/>
                <w:b w:val="0"/>
                <w:bCs w:val="0"/>
                <w:color w:val="auto"/>
                <w:sz w:val="24"/>
                <w:lang w:val="en-US" w:eastAsia="zh-CN"/>
              </w:rPr>
              <w:t>，本项目原料使用量28500t/a，平均每天消耗原料约142.</w:t>
            </w:r>
            <w:r>
              <w:rPr>
                <w:rFonts w:hint="eastAsia" w:cs="Times New Roman"/>
                <w:b w:val="0"/>
                <w:bCs w:val="0"/>
                <w:color w:val="auto"/>
                <w:sz w:val="24"/>
                <w:lang w:val="en-US" w:eastAsia="zh-CN"/>
              </w:rPr>
              <w:t>125</w:t>
            </w:r>
            <w:r>
              <w:rPr>
                <w:rFonts w:hint="eastAsia" w:ascii="Times New Roman" w:hAnsi="Times New Roman" w:cs="Times New Roman"/>
                <w:b w:val="0"/>
                <w:bCs w:val="0"/>
                <w:color w:val="auto"/>
                <w:sz w:val="24"/>
                <w:lang w:val="en-US" w:eastAsia="zh-CN"/>
              </w:rPr>
              <w:t>t，则本项目洗砂用水量约71.</w:t>
            </w:r>
            <w:r>
              <w:rPr>
                <w:rFonts w:hint="eastAsia" w:cs="Times New Roman"/>
                <w:b w:val="0"/>
                <w:bCs w:val="0"/>
                <w:color w:val="auto"/>
                <w:sz w:val="24"/>
                <w:lang w:val="en-US" w:eastAsia="zh-CN"/>
              </w:rPr>
              <w:t>0625</w:t>
            </w:r>
            <w:r>
              <w:rPr>
                <w:rFonts w:hint="default" w:ascii="Times New Roman" w:hAnsi="Times New Roman" w:eastAsia="宋体" w:cs="Times New Roman"/>
                <w:color w:val="auto"/>
                <w:sz w:val="24"/>
              </w:rPr>
              <w:t>m</w:t>
            </w:r>
            <w:r>
              <w:rPr>
                <w:rFonts w:hint="eastAsia"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/d</w:t>
            </w:r>
            <w:r>
              <w:rPr>
                <w:rFonts w:hint="eastAsia" w:ascii="Times New Roman" w:hAnsi="Times New Roman" w:eastAsia="宋体" w:cs="Times New Roman"/>
                <w:color w:val="auto"/>
                <w:sz w:val="24"/>
              </w:rPr>
              <w:t>（</w:t>
            </w:r>
            <w:r>
              <w:rPr>
                <w:rFonts w:hint="eastAsia" w:ascii="Times New Roman" w:hAnsi="Times New Roman" w:cs="Times New Roman"/>
                <w:color w:val="auto"/>
                <w:sz w:val="24"/>
                <w:lang w:val="en-US" w:eastAsia="zh-CN"/>
              </w:rPr>
              <w:t>142</w:t>
            </w:r>
            <w:r>
              <w:rPr>
                <w:rFonts w:hint="eastAsia" w:cs="Times New Roman"/>
                <w:color w:val="auto"/>
                <w:sz w:val="24"/>
                <w:lang w:val="en-US" w:eastAsia="zh-CN"/>
              </w:rPr>
              <w:t>12.5</w:t>
            </w:r>
            <w:r>
              <w:rPr>
                <w:rFonts w:hint="default" w:ascii="Times New Roman" w:hAnsi="Times New Roman" w:eastAsia="宋体" w:cs="Times New Roman"/>
                <w:color w:val="auto"/>
                <w:sz w:val="24"/>
              </w:rPr>
              <w:t>m</w:t>
            </w:r>
            <w:r>
              <w:rPr>
                <w:rFonts w:hint="eastAsia"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/a</w:t>
            </w:r>
            <w:r>
              <w:rPr>
                <w:rFonts w:hint="eastAsia" w:ascii="Times New Roman" w:hAnsi="Times New Roman" w:eastAsia="宋体" w:cs="Times New Roman"/>
                <w:color w:val="auto"/>
                <w:sz w:val="24"/>
              </w:rPr>
              <w:t>）</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洗砂废水约</w:t>
            </w:r>
            <w:r>
              <w:rPr>
                <w:rFonts w:hint="eastAsia" w:ascii="Times New Roman" w:hAnsi="Times New Roman" w:cs="Times New Roman"/>
                <w:color w:val="auto"/>
                <w:sz w:val="24"/>
                <w:lang w:eastAsia="zh-CN"/>
              </w:rPr>
              <w:t>15%蒸发损耗，10%随产品带走，</w:t>
            </w:r>
            <w:r>
              <w:rPr>
                <w:rFonts w:hint="eastAsia" w:ascii="Times New Roman" w:hAnsi="Times New Roman" w:cs="Times New Roman"/>
                <w:color w:val="auto"/>
                <w:sz w:val="24"/>
                <w:lang w:val="en-US" w:eastAsia="zh-CN"/>
              </w:rPr>
              <w:t>洗砂废水产生量约为5</w:t>
            </w:r>
            <w:r>
              <w:rPr>
                <w:rFonts w:hint="eastAsia" w:cs="Times New Roman"/>
                <w:color w:val="auto"/>
                <w:sz w:val="24"/>
                <w:lang w:val="en-US" w:eastAsia="zh-CN"/>
              </w:rPr>
              <w:t>2</w:t>
            </w:r>
            <w:r>
              <w:rPr>
                <w:rFonts w:hint="eastAsia" w:ascii="Times New Roman" w:hAnsi="Times New Roman" w:cs="Times New Roman"/>
                <w:color w:val="auto"/>
                <w:sz w:val="24"/>
                <w:lang w:val="en-US" w:eastAsia="zh-CN"/>
              </w:rPr>
              <w:t>.</w:t>
            </w:r>
            <w:r>
              <w:rPr>
                <w:rFonts w:hint="eastAsia" w:cs="Times New Roman"/>
                <w:color w:val="auto"/>
                <w:sz w:val="24"/>
                <w:lang w:val="en-US" w:eastAsia="zh-CN"/>
              </w:rPr>
              <w:t>332</w:t>
            </w:r>
            <w:r>
              <w:rPr>
                <w:rFonts w:hint="default" w:ascii="Times New Roman" w:hAnsi="Times New Roman" w:eastAsia="宋体" w:cs="Times New Roman"/>
                <w:color w:val="auto"/>
                <w:sz w:val="24"/>
              </w:rPr>
              <w:t>m</w:t>
            </w:r>
            <w:r>
              <w:rPr>
                <w:rFonts w:hint="eastAsia"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/d</w:t>
            </w:r>
            <w:r>
              <w:rPr>
                <w:rFonts w:hint="eastAsia" w:ascii="Times New Roman" w:hAnsi="Times New Roman" w:eastAsia="宋体" w:cs="Times New Roman"/>
                <w:color w:val="auto"/>
                <w:sz w:val="24"/>
              </w:rPr>
              <w:t>（</w:t>
            </w:r>
            <w:r>
              <w:rPr>
                <w:rFonts w:hint="eastAsia" w:cs="Times New Roman"/>
                <w:color w:val="auto"/>
                <w:sz w:val="24"/>
                <w:lang w:val="en-US" w:eastAsia="zh-CN"/>
              </w:rPr>
              <w:t>10466.4</w:t>
            </w:r>
            <w:r>
              <w:rPr>
                <w:rFonts w:hint="default" w:ascii="Times New Roman" w:hAnsi="Times New Roman" w:eastAsia="宋体" w:cs="Times New Roman"/>
                <w:color w:val="auto"/>
                <w:sz w:val="24"/>
              </w:rPr>
              <w:t>m</w:t>
            </w:r>
            <w:r>
              <w:rPr>
                <w:rFonts w:hint="eastAsia"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/a</w:t>
            </w:r>
            <w:r>
              <w:rPr>
                <w:rFonts w:hint="eastAsia" w:ascii="Times New Roman" w:hAnsi="Times New Roman" w:eastAsia="宋体" w:cs="Times New Roman"/>
                <w:color w:val="auto"/>
                <w:sz w:val="24"/>
              </w:rPr>
              <w:t>）</w:t>
            </w:r>
            <w:r>
              <w:rPr>
                <w:rFonts w:hint="eastAsia" w:ascii="Times New Roman" w:hAnsi="Times New Roman" w:cs="Times New Roman"/>
                <w:color w:val="auto"/>
                <w:sz w:val="24"/>
                <w:lang w:eastAsia="zh-CN"/>
              </w:rPr>
              <w:t>。</w:t>
            </w:r>
          </w:p>
          <w:p w14:paraId="5DD295E2">
            <w:pPr>
              <w:keepNext w:val="0"/>
              <w:keepLines w:val="0"/>
              <w:suppressLineNumbers w:val="0"/>
              <w:spacing w:before="0" w:beforeAutospacing="0" w:after="0" w:afterAutospacing="0" w:line="360" w:lineRule="auto"/>
              <w:ind w:left="0" w:right="0" w:firstLine="482" w:firstLineChars="200"/>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（3）降尘废水</w:t>
            </w:r>
          </w:p>
          <w:p w14:paraId="26CAA653">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val="0"/>
                <w:bCs w:val="0"/>
                <w:color w:val="auto"/>
                <w:sz w:val="24"/>
                <w:vertAlign w:val="baseline"/>
                <w:lang w:val="en-US" w:eastAsia="zh-CN"/>
              </w:rPr>
            </w:pPr>
            <w:r>
              <w:rPr>
                <w:rFonts w:hint="eastAsia" w:ascii="Times New Roman" w:hAnsi="Times New Roman" w:cs="Times New Roman"/>
                <w:b w:val="0"/>
                <w:bCs w:val="0"/>
                <w:color w:val="auto"/>
                <w:sz w:val="24"/>
                <w:lang w:val="en-US" w:eastAsia="zh-CN"/>
              </w:rPr>
              <w:t>本项目在原料堆场、成品堆场、生产车间设置喷淋降尘装置。参考《逸散性工业粉尘控制技术》第十八章粒料加工厂中一台成套的湿抑制系统用水及润湿剂量约为每吨生产粒料0.00626m</w:t>
            </w:r>
            <w:r>
              <w:rPr>
                <w:rFonts w:hint="eastAsia" w:ascii="Times New Roman" w:hAnsi="Times New Roman" w:cs="Times New Roman"/>
                <w:b w:val="0"/>
                <w:bCs w:val="0"/>
                <w:color w:val="auto"/>
                <w:sz w:val="24"/>
                <w:vertAlign w:val="superscript"/>
                <w:lang w:val="en-US" w:eastAsia="zh-CN"/>
              </w:rPr>
              <w:t>3</w:t>
            </w:r>
            <w:r>
              <w:rPr>
                <w:rFonts w:hint="eastAsia" w:ascii="Times New Roman" w:hAnsi="Times New Roman" w:cs="Times New Roman"/>
                <w:b w:val="0"/>
                <w:bCs w:val="0"/>
                <w:color w:val="auto"/>
                <w:sz w:val="24"/>
                <w:lang w:val="en-US" w:eastAsia="zh-CN"/>
              </w:rPr>
              <w:t>，单用水则用量增加3~4倍（本项目单用水进行喷淋降尘，取值4倍），则本项目生产每吨砂石喷淋降尘用水量约为0.025m</w:t>
            </w:r>
            <w:r>
              <w:rPr>
                <w:rFonts w:hint="eastAsia" w:ascii="Times New Roman" w:hAnsi="Times New Roman" w:cs="Times New Roman"/>
                <w:b w:val="0"/>
                <w:bCs w:val="0"/>
                <w:color w:val="auto"/>
                <w:sz w:val="24"/>
                <w:vertAlign w:val="superscript"/>
                <w:lang w:val="en-US" w:eastAsia="zh-CN"/>
              </w:rPr>
              <w:t>3</w:t>
            </w:r>
            <w:r>
              <w:rPr>
                <w:rFonts w:hint="eastAsia" w:ascii="Times New Roman" w:hAnsi="Times New Roman" w:cs="Times New Roman"/>
                <w:b w:val="0"/>
                <w:bCs w:val="0"/>
                <w:color w:val="auto"/>
                <w:sz w:val="24"/>
                <w:vertAlign w:val="baseline"/>
                <w:lang w:val="en-US" w:eastAsia="zh-CN"/>
              </w:rPr>
              <w:t>。本项目</w:t>
            </w:r>
            <w:r>
              <w:rPr>
                <w:rFonts w:hint="eastAsia" w:cs="Times New Roman"/>
                <w:b w:val="0"/>
                <w:bCs w:val="0"/>
                <w:color w:val="auto"/>
                <w:sz w:val="24"/>
                <w:vertAlign w:val="baseline"/>
                <w:lang w:val="en-US" w:eastAsia="zh-CN"/>
              </w:rPr>
              <w:t>平均</w:t>
            </w:r>
            <w:r>
              <w:rPr>
                <w:rFonts w:hint="eastAsia" w:ascii="Times New Roman" w:hAnsi="Times New Roman" w:cs="Times New Roman"/>
                <w:b w:val="0"/>
                <w:bCs w:val="0"/>
                <w:color w:val="auto"/>
                <w:sz w:val="24"/>
                <w:vertAlign w:val="baseline"/>
                <w:lang w:val="en-US" w:eastAsia="zh-CN"/>
              </w:rPr>
              <w:t>每日生产砂石150t，则本项目喷淋</w:t>
            </w:r>
            <w:r>
              <w:rPr>
                <w:rFonts w:hint="eastAsia" w:ascii="Times New Roman" w:hAnsi="Times New Roman" w:eastAsia="宋体" w:cs="Times New Roman"/>
                <w:b w:val="0"/>
                <w:bCs w:val="0"/>
                <w:color w:val="auto"/>
                <w:sz w:val="24"/>
                <w:lang w:val="en-US" w:eastAsia="zh-CN"/>
              </w:rPr>
              <w:t>降尘</w:t>
            </w:r>
            <w:r>
              <w:rPr>
                <w:rFonts w:hint="eastAsia" w:ascii="Times New Roman" w:hAnsi="Times New Roman" w:cs="Times New Roman"/>
                <w:b w:val="0"/>
                <w:bCs w:val="0"/>
                <w:color w:val="auto"/>
                <w:sz w:val="24"/>
                <w:lang w:val="en-US" w:eastAsia="zh-CN"/>
              </w:rPr>
              <w:t>用水3.75m</w:t>
            </w:r>
            <w:r>
              <w:rPr>
                <w:rFonts w:hint="eastAsia" w:ascii="Times New Roman" w:hAnsi="Times New Roman" w:cs="Times New Roman"/>
                <w:b w:val="0"/>
                <w:bCs w:val="0"/>
                <w:color w:val="auto"/>
                <w:sz w:val="24"/>
                <w:vertAlign w:val="superscript"/>
                <w:lang w:val="en-US" w:eastAsia="zh-CN"/>
              </w:rPr>
              <w:t>3</w:t>
            </w:r>
            <w:r>
              <w:rPr>
                <w:rFonts w:hint="eastAsia" w:ascii="Times New Roman" w:hAnsi="Times New Roman" w:cs="Times New Roman"/>
                <w:b w:val="0"/>
                <w:bCs w:val="0"/>
                <w:color w:val="auto"/>
                <w:sz w:val="24"/>
                <w:lang w:val="en-US" w:eastAsia="zh-CN"/>
              </w:rPr>
              <w:t>/d（750m</w:t>
            </w:r>
            <w:r>
              <w:rPr>
                <w:rFonts w:hint="eastAsia" w:ascii="Times New Roman" w:hAnsi="Times New Roman" w:cs="Times New Roman"/>
                <w:b w:val="0"/>
                <w:bCs w:val="0"/>
                <w:color w:val="auto"/>
                <w:sz w:val="24"/>
                <w:vertAlign w:val="superscript"/>
                <w:lang w:val="en-US" w:eastAsia="zh-CN"/>
              </w:rPr>
              <w:t>3</w:t>
            </w:r>
            <w:r>
              <w:rPr>
                <w:rFonts w:hint="eastAsia" w:ascii="Times New Roman" w:hAnsi="Times New Roman" w:cs="Times New Roman"/>
                <w:b w:val="0"/>
                <w:bCs w:val="0"/>
                <w:color w:val="auto"/>
                <w:sz w:val="24"/>
                <w:lang w:val="en-US" w:eastAsia="zh-CN"/>
              </w:rPr>
              <w:t>/a）。喷淋降尘废水约</w:t>
            </w:r>
            <w:r>
              <w:rPr>
                <w:rFonts w:hint="eastAsia" w:ascii="Times New Roman" w:hAnsi="Times New Roman" w:cs="Times New Roman"/>
                <w:b w:val="0"/>
                <w:bCs w:val="0"/>
                <w:color w:val="auto"/>
                <w:sz w:val="24"/>
                <w:vertAlign w:val="baseline"/>
                <w:lang w:val="en-US" w:eastAsia="zh-CN"/>
              </w:rPr>
              <w:t>70%蒸发损耗，10%产品带走，降尘废水产生量约为</w:t>
            </w:r>
            <w:r>
              <w:rPr>
                <w:rFonts w:hint="eastAsia" w:ascii="Times New Roman" w:hAnsi="Times New Roman" w:cs="Times New Roman"/>
                <w:b w:val="0"/>
                <w:bCs w:val="0"/>
                <w:color w:val="auto"/>
                <w:sz w:val="24"/>
                <w:lang w:val="en-US" w:eastAsia="zh-CN"/>
              </w:rPr>
              <w:t>0.75m</w:t>
            </w:r>
            <w:r>
              <w:rPr>
                <w:rFonts w:hint="eastAsia" w:ascii="Times New Roman" w:hAnsi="Times New Roman" w:cs="Times New Roman"/>
                <w:b w:val="0"/>
                <w:bCs w:val="0"/>
                <w:color w:val="auto"/>
                <w:sz w:val="24"/>
                <w:vertAlign w:val="superscript"/>
                <w:lang w:val="en-US" w:eastAsia="zh-CN"/>
              </w:rPr>
              <w:t>3</w:t>
            </w:r>
            <w:r>
              <w:rPr>
                <w:rFonts w:hint="eastAsia" w:ascii="Times New Roman" w:hAnsi="Times New Roman" w:cs="Times New Roman"/>
                <w:b w:val="0"/>
                <w:bCs w:val="0"/>
                <w:color w:val="auto"/>
                <w:sz w:val="24"/>
                <w:lang w:val="en-US" w:eastAsia="zh-CN"/>
              </w:rPr>
              <w:t>/d（150m</w:t>
            </w:r>
            <w:r>
              <w:rPr>
                <w:rFonts w:hint="eastAsia" w:ascii="Times New Roman" w:hAnsi="Times New Roman" w:cs="Times New Roman"/>
                <w:b w:val="0"/>
                <w:bCs w:val="0"/>
                <w:color w:val="auto"/>
                <w:sz w:val="24"/>
                <w:vertAlign w:val="superscript"/>
                <w:lang w:val="en-US" w:eastAsia="zh-CN"/>
              </w:rPr>
              <w:t>3</w:t>
            </w:r>
            <w:r>
              <w:rPr>
                <w:rFonts w:hint="eastAsia" w:ascii="Times New Roman" w:hAnsi="Times New Roman" w:cs="Times New Roman"/>
                <w:b w:val="0"/>
                <w:bCs w:val="0"/>
                <w:color w:val="auto"/>
                <w:sz w:val="24"/>
                <w:lang w:val="en-US" w:eastAsia="zh-CN"/>
              </w:rPr>
              <w:t>/a）</w:t>
            </w:r>
            <w:r>
              <w:rPr>
                <w:rFonts w:hint="eastAsia" w:ascii="Times New Roman" w:hAnsi="Times New Roman" w:cs="Times New Roman"/>
                <w:b w:val="0"/>
                <w:bCs w:val="0"/>
                <w:color w:val="auto"/>
                <w:sz w:val="24"/>
                <w:vertAlign w:val="baseline"/>
                <w:lang w:val="en-US" w:eastAsia="zh-CN"/>
              </w:rPr>
              <w:t>。</w:t>
            </w:r>
          </w:p>
          <w:p w14:paraId="4EBF9A41">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（4）</w:t>
            </w:r>
            <w:r>
              <w:rPr>
                <w:rFonts w:hint="eastAsia" w:ascii="Times New Roman" w:hAnsi="Times New Roman" w:cs="Times New Roman"/>
                <w:b/>
                <w:bCs/>
                <w:color w:val="auto"/>
                <w:sz w:val="24"/>
                <w:lang w:val="en-US" w:eastAsia="zh-CN"/>
              </w:rPr>
              <w:t>车辆</w:t>
            </w:r>
            <w:r>
              <w:rPr>
                <w:rFonts w:hint="eastAsia" w:ascii="Times New Roman" w:hAnsi="Times New Roman" w:eastAsia="宋体" w:cs="Times New Roman"/>
                <w:b/>
                <w:bCs/>
                <w:color w:val="auto"/>
                <w:sz w:val="24"/>
                <w:lang w:val="en-US" w:eastAsia="zh-CN"/>
              </w:rPr>
              <w:t>冲洗废水</w:t>
            </w:r>
          </w:p>
          <w:p w14:paraId="40696F87">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b w:val="0"/>
                <w:bCs w:val="0"/>
                <w:color w:val="auto"/>
                <w:sz w:val="24"/>
                <w:vertAlign w:val="baseline"/>
                <w:lang w:val="en-US" w:eastAsia="zh-CN"/>
              </w:rPr>
            </w:pPr>
            <w:r>
              <w:rPr>
                <w:rFonts w:hint="eastAsia" w:ascii="Times New Roman" w:hAnsi="Times New Roman" w:cs="Times New Roman"/>
                <w:b w:val="0"/>
                <w:bCs w:val="0"/>
                <w:color w:val="auto"/>
                <w:sz w:val="24"/>
                <w:vertAlign w:val="baseline"/>
                <w:lang w:val="en-US" w:eastAsia="zh-CN"/>
              </w:rPr>
              <w:t>项目设一个洗车池，对进厂的车辆车身及轮胎进行冲洗，项目运输车辆装载量大小不一，本次评价以每辆车载重30t计，项目原料运输总量28500t/a，成品运输总量30000t/a，项目年工作200天，则每天进厂运输车辆约10辆，车身及</w:t>
            </w:r>
            <w:r>
              <w:rPr>
                <w:rFonts w:hint="eastAsia" w:cs="Times New Roman"/>
                <w:b w:val="0"/>
                <w:bCs w:val="0"/>
                <w:color w:val="auto"/>
                <w:sz w:val="24"/>
                <w:vertAlign w:val="baseline"/>
                <w:lang w:val="en-US" w:eastAsia="zh-CN"/>
              </w:rPr>
              <w:t>车辆冲洗</w:t>
            </w:r>
            <w:r>
              <w:rPr>
                <w:rFonts w:hint="eastAsia" w:ascii="Times New Roman" w:hAnsi="Times New Roman" w:cs="Times New Roman"/>
                <w:b w:val="0"/>
                <w:bCs w:val="0"/>
                <w:color w:val="auto"/>
                <w:sz w:val="24"/>
                <w:vertAlign w:val="baseline"/>
                <w:lang w:val="en-US" w:eastAsia="zh-CN"/>
              </w:rPr>
              <w:t>水量约为0.5m</w:t>
            </w:r>
            <w:r>
              <w:rPr>
                <w:rFonts w:hint="eastAsia" w:ascii="Times New Roman" w:hAnsi="Times New Roman" w:cs="Times New Roman"/>
                <w:b w:val="0"/>
                <w:bCs w:val="0"/>
                <w:color w:val="auto"/>
                <w:sz w:val="24"/>
                <w:vertAlign w:val="superscript"/>
                <w:lang w:val="en-US" w:eastAsia="zh-CN"/>
              </w:rPr>
              <w:t>3</w:t>
            </w:r>
            <w:r>
              <w:rPr>
                <w:rFonts w:hint="eastAsia" w:ascii="Times New Roman" w:hAnsi="Times New Roman" w:cs="Times New Roman"/>
                <w:b w:val="0"/>
                <w:bCs w:val="0"/>
                <w:color w:val="auto"/>
                <w:sz w:val="24"/>
                <w:vertAlign w:val="baseline"/>
                <w:lang w:val="en-US" w:eastAsia="zh-CN"/>
              </w:rPr>
              <w:t>/辆·次，则用水量约为5m</w:t>
            </w:r>
            <w:r>
              <w:rPr>
                <w:rFonts w:hint="eastAsia" w:ascii="Times New Roman" w:hAnsi="Times New Roman" w:cs="Times New Roman"/>
                <w:b w:val="0"/>
                <w:bCs w:val="0"/>
                <w:color w:val="auto"/>
                <w:sz w:val="24"/>
                <w:vertAlign w:val="superscript"/>
                <w:lang w:val="en-US" w:eastAsia="zh-CN"/>
              </w:rPr>
              <w:t>3</w:t>
            </w:r>
            <w:r>
              <w:rPr>
                <w:rFonts w:hint="eastAsia" w:ascii="Times New Roman" w:hAnsi="Times New Roman" w:cs="Times New Roman"/>
                <w:b w:val="0"/>
                <w:bCs w:val="0"/>
                <w:color w:val="auto"/>
                <w:sz w:val="24"/>
                <w:vertAlign w:val="baseline"/>
                <w:lang w:val="en-US" w:eastAsia="zh-CN"/>
              </w:rPr>
              <w:t>/d（1000m</w:t>
            </w:r>
            <w:r>
              <w:rPr>
                <w:rFonts w:hint="eastAsia" w:ascii="Times New Roman" w:hAnsi="Times New Roman" w:cs="Times New Roman"/>
                <w:b w:val="0"/>
                <w:bCs w:val="0"/>
                <w:color w:val="auto"/>
                <w:sz w:val="24"/>
                <w:vertAlign w:val="superscript"/>
                <w:lang w:val="en-US" w:eastAsia="zh-CN"/>
              </w:rPr>
              <w:t>3</w:t>
            </w:r>
            <w:r>
              <w:rPr>
                <w:rFonts w:hint="eastAsia" w:ascii="Times New Roman" w:hAnsi="Times New Roman" w:cs="Times New Roman"/>
                <w:b w:val="0"/>
                <w:bCs w:val="0"/>
                <w:color w:val="auto"/>
                <w:sz w:val="24"/>
                <w:vertAlign w:val="baseline"/>
                <w:lang w:val="en-US" w:eastAsia="zh-CN"/>
              </w:rPr>
              <w:t>/a），污水系数以0.8计，则车辆冲洗废水产生量约为4m</w:t>
            </w:r>
            <w:r>
              <w:rPr>
                <w:rFonts w:hint="eastAsia" w:ascii="Times New Roman" w:hAnsi="Times New Roman" w:cs="Times New Roman"/>
                <w:b w:val="0"/>
                <w:bCs w:val="0"/>
                <w:color w:val="auto"/>
                <w:sz w:val="24"/>
                <w:vertAlign w:val="superscript"/>
                <w:lang w:val="en-US" w:eastAsia="zh-CN"/>
              </w:rPr>
              <w:t>3</w:t>
            </w:r>
            <w:r>
              <w:rPr>
                <w:rFonts w:hint="eastAsia" w:ascii="Times New Roman" w:hAnsi="Times New Roman" w:cs="Times New Roman"/>
                <w:b w:val="0"/>
                <w:bCs w:val="0"/>
                <w:color w:val="auto"/>
                <w:sz w:val="24"/>
                <w:vertAlign w:val="baseline"/>
                <w:lang w:val="en-US" w:eastAsia="zh-CN"/>
              </w:rPr>
              <w:t>/d（800m</w:t>
            </w:r>
            <w:r>
              <w:rPr>
                <w:rFonts w:hint="eastAsia" w:ascii="Times New Roman" w:hAnsi="Times New Roman" w:cs="Times New Roman"/>
                <w:b w:val="0"/>
                <w:bCs w:val="0"/>
                <w:color w:val="auto"/>
                <w:sz w:val="24"/>
                <w:vertAlign w:val="superscript"/>
                <w:lang w:val="en-US" w:eastAsia="zh-CN"/>
              </w:rPr>
              <w:t>3</w:t>
            </w:r>
            <w:r>
              <w:rPr>
                <w:rFonts w:hint="eastAsia" w:ascii="Times New Roman" w:hAnsi="Times New Roman" w:cs="Times New Roman"/>
                <w:b w:val="0"/>
                <w:bCs w:val="0"/>
                <w:color w:val="auto"/>
                <w:sz w:val="24"/>
                <w:vertAlign w:val="baseline"/>
                <w:lang w:val="en-US" w:eastAsia="zh-CN"/>
              </w:rPr>
              <w:t>/a）。</w:t>
            </w:r>
          </w:p>
          <w:p w14:paraId="50D12DBB">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w:t>
            </w:r>
            <w:r>
              <w:rPr>
                <w:rFonts w:hint="eastAsia" w:ascii="Times New Roman" w:hAnsi="Times New Roman" w:cs="Times New Roman"/>
                <w:b/>
                <w:bCs/>
                <w:color w:val="auto"/>
                <w:sz w:val="24"/>
                <w:lang w:val="en-US" w:eastAsia="zh-CN"/>
              </w:rPr>
              <w:t>5</w:t>
            </w:r>
            <w:r>
              <w:rPr>
                <w:rFonts w:hint="eastAsia" w:ascii="Times New Roman" w:hAnsi="Times New Roman" w:eastAsia="宋体" w:cs="Times New Roman"/>
                <w:b/>
                <w:bCs/>
                <w:color w:val="auto"/>
                <w:sz w:val="24"/>
                <w:lang w:val="en-US" w:eastAsia="zh-CN"/>
              </w:rPr>
              <w:t>）</w:t>
            </w:r>
            <w:r>
              <w:rPr>
                <w:rFonts w:hint="eastAsia" w:ascii="Times New Roman" w:hAnsi="Times New Roman" w:cs="Times New Roman"/>
                <w:b/>
                <w:bCs/>
                <w:color w:val="auto"/>
                <w:sz w:val="24"/>
                <w:lang w:val="en-US" w:eastAsia="zh-CN"/>
              </w:rPr>
              <w:t>初期雨</w:t>
            </w:r>
            <w:r>
              <w:rPr>
                <w:rFonts w:hint="eastAsia" w:ascii="Times New Roman" w:hAnsi="Times New Roman" w:eastAsia="宋体" w:cs="Times New Roman"/>
                <w:b/>
                <w:bCs/>
                <w:color w:val="auto"/>
                <w:sz w:val="24"/>
                <w:lang w:val="en-US" w:eastAsia="zh-CN"/>
              </w:rPr>
              <w:t>水</w:t>
            </w:r>
          </w:p>
          <w:p w14:paraId="4243C364">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auto"/>
              <w:ind w:left="0" w:leftChars="0" w:right="0" w:firstLine="480" w:firstLineChars="200"/>
              <w:textAlignment w:val="auto"/>
              <w:rPr>
                <w:rFonts w:hint="default" w:ascii="Times New Roman" w:hAnsi="Times New Roman" w:eastAsia="宋体" w:cs="Times New Roman"/>
                <w:b w:val="0"/>
                <w:bCs w:val="0"/>
                <w:color w:val="auto"/>
                <w:kern w:val="2"/>
                <w:sz w:val="24"/>
                <w:szCs w:val="24"/>
                <w:vertAlign w:val="baseline"/>
                <w:lang w:val="en-US" w:eastAsia="zh-CN" w:bidi="ar-SA"/>
              </w:rPr>
            </w:pPr>
            <w:r>
              <w:rPr>
                <w:rFonts w:hint="default" w:ascii="Times New Roman" w:hAnsi="Times New Roman" w:eastAsia="宋体" w:cs="Times New Roman"/>
                <w:b w:val="0"/>
                <w:bCs w:val="0"/>
                <w:color w:val="auto"/>
                <w:kern w:val="2"/>
                <w:sz w:val="24"/>
                <w:szCs w:val="24"/>
                <w:vertAlign w:val="baseline"/>
                <w:lang w:val="en-US" w:eastAsia="zh-CN" w:bidi="ar-SA"/>
              </w:rPr>
              <w:t>由于原辅料、成品在</w:t>
            </w:r>
            <w:r>
              <w:rPr>
                <w:rFonts w:hint="eastAsia" w:ascii="Times New Roman" w:hAnsi="Times New Roman" w:cs="Times New Roman"/>
                <w:b w:val="0"/>
                <w:bCs w:val="0"/>
                <w:color w:val="auto"/>
                <w:kern w:val="2"/>
                <w:sz w:val="24"/>
                <w:szCs w:val="24"/>
                <w:vertAlign w:val="baseline"/>
                <w:lang w:val="en-US" w:eastAsia="zh-CN" w:bidi="ar-SA"/>
              </w:rPr>
              <w:t>生产和</w:t>
            </w:r>
            <w:r>
              <w:rPr>
                <w:rFonts w:hint="default" w:ascii="Times New Roman" w:hAnsi="Times New Roman" w:eastAsia="宋体" w:cs="Times New Roman"/>
                <w:b w:val="0"/>
                <w:bCs w:val="0"/>
                <w:color w:val="auto"/>
                <w:kern w:val="2"/>
                <w:sz w:val="24"/>
                <w:szCs w:val="24"/>
                <w:vertAlign w:val="baseline"/>
                <w:lang w:val="en-US" w:eastAsia="zh-CN" w:bidi="ar-SA"/>
              </w:rPr>
              <w:t>运输等过程</w:t>
            </w:r>
            <w:r>
              <w:rPr>
                <w:rFonts w:hint="eastAsia" w:ascii="Times New Roman" w:hAnsi="Times New Roman" w:cs="Times New Roman"/>
                <w:b w:val="0"/>
                <w:bCs w:val="0"/>
                <w:color w:val="auto"/>
                <w:kern w:val="2"/>
                <w:sz w:val="24"/>
                <w:szCs w:val="24"/>
                <w:vertAlign w:val="baseline"/>
                <w:lang w:val="en-US" w:eastAsia="zh-CN" w:bidi="ar-SA"/>
              </w:rPr>
              <w:t>不可避免洒落在</w:t>
            </w:r>
            <w:r>
              <w:rPr>
                <w:rFonts w:hint="default" w:ascii="Times New Roman" w:hAnsi="Times New Roman" w:eastAsia="宋体" w:cs="Times New Roman"/>
                <w:b w:val="0"/>
                <w:bCs w:val="0"/>
                <w:color w:val="auto"/>
                <w:kern w:val="2"/>
                <w:sz w:val="24"/>
                <w:szCs w:val="24"/>
                <w:vertAlign w:val="baseline"/>
                <w:lang w:val="en-US" w:eastAsia="zh-CN" w:bidi="ar-SA"/>
              </w:rPr>
              <w:t>厂区地面，对厂区内道路路面和地面的清洁度会造成一定程度的污染，经运输车辆不断反复碾压后变成细微粉尘。在雨天，经过雨水地表径流冲洗后，产生的初期雨水含有泥浆，不可以直接外排，须经处理后排放。</w:t>
            </w:r>
          </w:p>
          <w:p w14:paraId="18CC23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lang w:val="en-US" w:eastAsia="zh-CN"/>
              </w:rPr>
            </w:pPr>
            <w:r>
              <w:rPr>
                <w:rFonts w:hint="eastAsia" w:cs="Times New Roman"/>
                <w:b w:val="0"/>
                <w:bCs w:val="0"/>
                <w:color w:val="auto"/>
                <w:kern w:val="2"/>
                <w:sz w:val="24"/>
                <w:szCs w:val="24"/>
                <w:vertAlign w:val="baseline"/>
                <w:lang w:val="en-US" w:eastAsia="zh-CN" w:bidi="ar-SA"/>
              </w:rPr>
              <w:t>本项目位于广安市邻水县，参考广安市暴雨强度计算公式：</w:t>
            </w:r>
          </w:p>
          <w:p w14:paraId="284866C7">
            <w:pPr>
              <w:keepNext w:val="0"/>
              <w:keepLines w:val="0"/>
              <w:suppressLineNumbers w:val="0"/>
              <w:spacing w:before="0" w:beforeAutospacing="0" w:after="0" w:afterAutospacing="0" w:line="360" w:lineRule="auto"/>
              <w:ind w:left="0" w:leftChars="0" w:right="0" w:rightChars="0" w:firstLine="0" w:firstLineChars="0"/>
              <w:jc w:val="center"/>
              <w:rPr>
                <w:rFonts w:hint="default"/>
                <w:lang w:val="en-US" w:eastAsia="zh-CN"/>
              </w:rPr>
            </w:pPr>
            <w:r>
              <w:rPr>
                <w:rFonts w:hint="eastAsia" w:cs="Times New Roman"/>
                <w:b w:val="0"/>
                <w:bCs w:val="0"/>
                <w:color w:val="auto"/>
                <w:kern w:val="2"/>
                <w:sz w:val="24"/>
                <w:szCs w:val="24"/>
                <w:vertAlign w:val="baseline"/>
                <w:lang w:val="en-US" w:eastAsia="zh-CN" w:bidi="ar-SA"/>
              </w:rPr>
              <w:t>q=3534.719×（1+0.750lgP）/（t+19.551）</w:t>
            </w:r>
            <w:r>
              <w:rPr>
                <w:rFonts w:hint="eastAsia" w:cs="Times New Roman"/>
                <w:b w:val="0"/>
                <w:bCs w:val="0"/>
                <w:color w:val="auto"/>
                <w:kern w:val="2"/>
                <w:sz w:val="24"/>
                <w:szCs w:val="24"/>
                <w:vertAlign w:val="superscript"/>
                <w:lang w:val="en-US" w:eastAsia="zh-CN" w:bidi="ar-SA"/>
              </w:rPr>
              <w:t>0.828</w:t>
            </w:r>
          </w:p>
          <w:p w14:paraId="14CD46BB">
            <w:pPr>
              <w:keepNext w:val="0"/>
              <w:keepLines w:val="0"/>
              <w:widowControl/>
              <w:suppressLineNumbers w:val="0"/>
              <w:spacing w:before="0" w:beforeAutospacing="0" w:after="0" w:afterAutospacing="0" w:line="360" w:lineRule="auto"/>
              <w:ind w:left="0" w:leftChars="0" w:right="0" w:rightChars="0" w:firstLine="0" w:firstLineChars="0"/>
              <w:jc w:val="center"/>
              <w:rPr>
                <w:rFonts w:hint="default"/>
              </w:rPr>
            </w:pPr>
            <w:r>
              <w:rPr>
                <w:rFonts w:hint="default" w:ascii="Times New Roman" w:hAnsi="Times New Roman" w:eastAsia="宋体" w:cs="Times New Roman"/>
                <w:i/>
                <w:iCs/>
                <w:color w:val="000000"/>
                <w:kern w:val="0"/>
                <w:sz w:val="24"/>
                <w:szCs w:val="24"/>
                <w:lang w:val="en-US" w:eastAsia="zh-CN" w:bidi="ar"/>
              </w:rPr>
              <w:t>Q=q×F×Ψ</w:t>
            </w:r>
          </w:p>
          <w:p w14:paraId="3C897B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lang w:val="en-US" w:eastAsia="zh-CN"/>
              </w:rPr>
            </w:pPr>
            <w:r>
              <w:rPr>
                <w:rFonts w:hint="eastAsia"/>
                <w:lang w:val="en-US" w:eastAsia="zh-CN"/>
              </w:rPr>
              <w:t>式中：q—暴雨强度，L/S·hm</w:t>
            </w:r>
            <w:r>
              <w:rPr>
                <w:rFonts w:hint="eastAsia"/>
                <w:vertAlign w:val="superscript"/>
                <w:lang w:val="en-US" w:eastAsia="zh-CN"/>
              </w:rPr>
              <w:t>2</w:t>
            </w:r>
            <w:r>
              <w:rPr>
                <w:rFonts w:hint="eastAsia"/>
                <w:lang w:val="en-US" w:eastAsia="zh-CN"/>
              </w:rPr>
              <w:t>；</w:t>
            </w:r>
          </w:p>
          <w:p w14:paraId="2DAF0E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lang w:val="en-US" w:eastAsia="zh-CN"/>
              </w:rPr>
            </w:pPr>
            <w:r>
              <w:rPr>
                <w:rFonts w:hint="eastAsia"/>
                <w:lang w:val="en-US" w:eastAsia="zh-CN"/>
              </w:rPr>
              <w:t>Q—雨水流量，L/S或m</w:t>
            </w:r>
            <w:r>
              <w:rPr>
                <w:rFonts w:hint="eastAsia"/>
                <w:vertAlign w:val="superscript"/>
                <w:lang w:val="en-US" w:eastAsia="zh-CN"/>
              </w:rPr>
              <w:t>3</w:t>
            </w:r>
            <w:r>
              <w:rPr>
                <w:rFonts w:hint="eastAsia"/>
                <w:lang w:val="en-US" w:eastAsia="zh-CN"/>
              </w:rPr>
              <w:t>/h；</w:t>
            </w:r>
          </w:p>
          <w:p w14:paraId="054D65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lang w:val="en-US" w:eastAsia="zh-CN"/>
              </w:rPr>
            </w:pPr>
            <w:r>
              <w:rPr>
                <w:rFonts w:hint="eastAsia"/>
                <w:lang w:val="en-US" w:eastAsia="zh-CN"/>
              </w:rPr>
              <w:t>p—重现期，年，本项目取值3年；</w:t>
            </w:r>
          </w:p>
          <w:p w14:paraId="6DFCE4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lang w:val="en-US" w:eastAsia="zh-CN"/>
              </w:rPr>
            </w:pPr>
            <w:r>
              <w:rPr>
                <w:rFonts w:hint="eastAsia"/>
                <w:lang w:val="en-US" w:eastAsia="zh-CN"/>
              </w:rPr>
              <w:t>t—降雨历时，min，本项目取值15min；</w:t>
            </w:r>
          </w:p>
          <w:p w14:paraId="2B3575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lang w:val="en-US" w:eastAsia="zh-CN"/>
              </w:rPr>
            </w:pPr>
            <w:r>
              <w:rPr>
                <w:rFonts w:hint="eastAsia"/>
                <w:lang w:val="en-US" w:eastAsia="zh-CN"/>
              </w:rPr>
              <w:t>F—汇水面积，m</w:t>
            </w:r>
            <w:r>
              <w:rPr>
                <w:rFonts w:hint="eastAsia"/>
                <w:vertAlign w:val="superscript"/>
                <w:lang w:val="en-US" w:eastAsia="zh-CN"/>
              </w:rPr>
              <w:t>2</w:t>
            </w:r>
            <w:r>
              <w:rPr>
                <w:rFonts w:hint="eastAsia"/>
                <w:lang w:val="en-US" w:eastAsia="zh-CN"/>
              </w:rPr>
              <w:t>，厂区面积共计约为5000m</w:t>
            </w:r>
            <w:r>
              <w:rPr>
                <w:rFonts w:hint="eastAsia"/>
                <w:vertAlign w:val="superscript"/>
                <w:lang w:val="en-US" w:eastAsia="zh-CN"/>
              </w:rPr>
              <w:t>2</w:t>
            </w:r>
            <w:r>
              <w:rPr>
                <w:rFonts w:hint="eastAsia"/>
                <w:lang w:val="en-US" w:eastAsia="zh-CN"/>
              </w:rPr>
              <w:t>；</w:t>
            </w:r>
          </w:p>
          <w:p w14:paraId="36FBE7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lang w:val="en-US" w:eastAsia="zh-CN"/>
              </w:rPr>
            </w:pPr>
            <w:r>
              <w:rPr>
                <w:rFonts w:hint="default" w:ascii="Times New Roman" w:hAnsi="Times New Roman" w:eastAsia="宋体" w:cs="Times New Roman"/>
                <w:i/>
                <w:iCs/>
                <w:color w:val="000000"/>
                <w:kern w:val="0"/>
                <w:sz w:val="24"/>
                <w:szCs w:val="24"/>
                <w:lang w:val="en-US" w:eastAsia="zh-CN" w:bidi="ar"/>
              </w:rPr>
              <w:t>Ψ</w:t>
            </w:r>
            <w:r>
              <w:rPr>
                <w:rFonts w:hint="eastAsia"/>
                <w:lang w:val="en-US" w:eastAsia="zh-CN"/>
              </w:rPr>
              <w:t>—径流系数，本项目取值0.9。</w:t>
            </w:r>
          </w:p>
          <w:p w14:paraId="50368E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lang w:val="en-US" w:eastAsia="zh-CN"/>
              </w:rPr>
            </w:pPr>
            <w:r>
              <w:rPr>
                <w:rFonts w:hint="eastAsia" w:ascii="Times New Roman" w:hAnsi="Times New Roman" w:eastAsia="宋体" w:cs="Times New Roman"/>
                <w:b w:val="0"/>
                <w:bCs w:val="0"/>
                <w:color w:val="auto"/>
                <w:kern w:val="2"/>
                <w:sz w:val="24"/>
                <w:szCs w:val="24"/>
                <w:vertAlign w:val="baseline"/>
                <w:lang w:val="en-US" w:eastAsia="zh-CN" w:bidi="ar-SA"/>
              </w:rPr>
              <w:t>由以上公式可计算得项目汇水面积内的雨水流量Q为</w:t>
            </w:r>
            <w:r>
              <w:rPr>
                <w:rFonts w:hint="eastAsia" w:cs="Times New Roman"/>
                <w:b w:val="0"/>
                <w:bCs w:val="0"/>
                <w:color w:val="auto"/>
                <w:kern w:val="2"/>
                <w:sz w:val="24"/>
                <w:szCs w:val="24"/>
                <w:vertAlign w:val="baseline"/>
                <w:lang w:val="en-US" w:eastAsia="zh-CN" w:bidi="ar-SA"/>
              </w:rPr>
              <w:t>255.48</w:t>
            </w:r>
            <w:r>
              <w:rPr>
                <w:rFonts w:hint="eastAsia" w:ascii="Times New Roman" w:hAnsi="Times New Roman" w:eastAsia="宋体" w:cs="Times New Roman"/>
                <w:b w:val="0"/>
                <w:bCs w:val="0"/>
                <w:color w:val="auto"/>
                <w:kern w:val="2"/>
                <w:sz w:val="24"/>
                <w:szCs w:val="24"/>
                <w:vertAlign w:val="baseline"/>
                <w:lang w:val="en-US" w:eastAsia="zh-CN" w:bidi="ar-SA"/>
              </w:rPr>
              <w:t>L/s，即</w:t>
            </w:r>
            <w:r>
              <w:rPr>
                <w:rFonts w:hint="eastAsia" w:cs="Times New Roman"/>
                <w:b w:val="0"/>
                <w:bCs w:val="0"/>
                <w:color w:val="auto"/>
                <w:kern w:val="2"/>
                <w:sz w:val="24"/>
                <w:szCs w:val="24"/>
                <w:vertAlign w:val="baseline"/>
                <w:lang w:val="en-US" w:eastAsia="zh-CN" w:bidi="ar-SA"/>
              </w:rPr>
              <w:t>114.966</w:t>
            </w:r>
            <w:r>
              <w:rPr>
                <w:rFonts w:hint="eastAsia" w:ascii="Times New Roman" w:hAnsi="Times New Roman" w:eastAsia="宋体" w:cs="Times New Roman"/>
                <w:b w:val="0"/>
                <w:bCs w:val="0"/>
                <w:color w:val="auto"/>
                <w:kern w:val="2"/>
                <w:sz w:val="24"/>
                <w:szCs w:val="24"/>
                <w:vertAlign w:val="baseline"/>
                <w:lang w:val="en-US" w:eastAsia="zh-CN" w:bidi="ar-SA"/>
              </w:rPr>
              <w:t>m</w:t>
            </w:r>
            <w:r>
              <w:rPr>
                <w:rFonts w:hint="eastAsia" w:ascii="Times New Roman" w:hAnsi="Times New Roman" w:eastAsia="宋体" w:cs="Times New Roman"/>
                <w:b w:val="0"/>
                <w:bCs w:val="0"/>
                <w:color w:val="auto"/>
                <w:kern w:val="2"/>
                <w:sz w:val="24"/>
                <w:szCs w:val="24"/>
                <w:vertAlign w:val="superscript"/>
                <w:lang w:val="en-US" w:eastAsia="zh-CN" w:bidi="ar-SA"/>
              </w:rPr>
              <w:t>3</w:t>
            </w:r>
            <w:r>
              <w:rPr>
                <w:rFonts w:hint="eastAsia" w:ascii="Times New Roman" w:hAnsi="Times New Roman" w:eastAsia="宋体" w:cs="Times New Roman"/>
                <w:b w:val="0"/>
                <w:bCs w:val="0"/>
                <w:color w:val="auto"/>
                <w:kern w:val="2"/>
                <w:sz w:val="24"/>
                <w:szCs w:val="24"/>
                <w:vertAlign w:val="baseline"/>
                <w:lang w:val="en-US" w:eastAsia="zh-CN" w:bidi="ar-SA"/>
              </w:rPr>
              <w:t>/h。因此，按初期雨水降雨历时为15min计算，则</w:t>
            </w:r>
            <w:r>
              <w:rPr>
                <w:rFonts w:hint="eastAsia" w:cs="Times New Roman"/>
                <w:b w:val="0"/>
                <w:bCs w:val="0"/>
                <w:color w:val="auto"/>
                <w:kern w:val="2"/>
                <w:sz w:val="24"/>
                <w:szCs w:val="24"/>
                <w:vertAlign w:val="baseline"/>
                <w:lang w:val="en-US" w:eastAsia="zh-CN" w:bidi="ar-SA"/>
              </w:rPr>
              <w:t>项目厂区</w:t>
            </w:r>
            <w:r>
              <w:rPr>
                <w:rFonts w:hint="eastAsia" w:ascii="Times New Roman" w:hAnsi="Times New Roman" w:eastAsia="宋体" w:cs="Times New Roman"/>
                <w:b w:val="0"/>
                <w:bCs w:val="0"/>
                <w:color w:val="auto"/>
                <w:kern w:val="2"/>
                <w:sz w:val="24"/>
                <w:szCs w:val="24"/>
                <w:vertAlign w:val="baseline"/>
                <w:lang w:val="en-US" w:eastAsia="zh-CN" w:bidi="ar-SA"/>
              </w:rPr>
              <w:t>初期雨水</w:t>
            </w:r>
            <w:r>
              <w:rPr>
                <w:rFonts w:hint="eastAsia" w:cs="Times New Roman"/>
                <w:b w:val="0"/>
                <w:bCs w:val="0"/>
                <w:color w:val="auto"/>
                <w:kern w:val="2"/>
                <w:sz w:val="24"/>
                <w:szCs w:val="24"/>
                <w:vertAlign w:val="baseline"/>
                <w:lang w:val="en-US" w:eastAsia="zh-CN" w:bidi="ar-SA"/>
              </w:rPr>
              <w:t>水</w:t>
            </w:r>
            <w:r>
              <w:rPr>
                <w:rFonts w:hint="eastAsia" w:ascii="Times New Roman" w:hAnsi="Times New Roman" w:eastAsia="宋体" w:cs="Times New Roman"/>
                <w:b w:val="0"/>
                <w:bCs w:val="0"/>
                <w:color w:val="auto"/>
                <w:kern w:val="2"/>
                <w:sz w:val="24"/>
                <w:szCs w:val="24"/>
                <w:vertAlign w:val="baseline"/>
                <w:lang w:val="en-US" w:eastAsia="zh-CN" w:bidi="ar-SA"/>
              </w:rPr>
              <w:t>量为</w:t>
            </w:r>
            <w:r>
              <w:rPr>
                <w:rFonts w:hint="eastAsia" w:cs="Times New Roman"/>
                <w:b w:val="0"/>
                <w:bCs w:val="0"/>
                <w:color w:val="auto"/>
                <w:kern w:val="2"/>
                <w:sz w:val="24"/>
                <w:szCs w:val="24"/>
                <w:vertAlign w:val="baseline"/>
                <w:lang w:val="en-US" w:eastAsia="zh-CN" w:bidi="ar-SA"/>
              </w:rPr>
              <w:t>28.742</w:t>
            </w:r>
            <w:r>
              <w:rPr>
                <w:rFonts w:hint="eastAsia" w:ascii="Times New Roman" w:hAnsi="Times New Roman" w:eastAsia="宋体" w:cs="Times New Roman"/>
                <w:b w:val="0"/>
                <w:bCs w:val="0"/>
                <w:color w:val="auto"/>
                <w:kern w:val="2"/>
                <w:sz w:val="24"/>
                <w:szCs w:val="24"/>
                <w:vertAlign w:val="baseline"/>
                <w:lang w:val="en-US" w:eastAsia="zh-CN" w:bidi="ar-SA"/>
              </w:rPr>
              <w:t>m</w:t>
            </w:r>
            <w:r>
              <w:rPr>
                <w:rFonts w:hint="eastAsia" w:ascii="Times New Roman" w:hAnsi="Times New Roman" w:eastAsia="宋体" w:cs="Times New Roman"/>
                <w:b w:val="0"/>
                <w:bCs w:val="0"/>
                <w:color w:val="auto"/>
                <w:kern w:val="2"/>
                <w:sz w:val="24"/>
                <w:szCs w:val="24"/>
                <w:vertAlign w:val="superscript"/>
                <w:lang w:val="en-US" w:eastAsia="zh-CN" w:bidi="ar-SA"/>
              </w:rPr>
              <w:t>3</w:t>
            </w:r>
            <w:r>
              <w:rPr>
                <w:rFonts w:hint="eastAsia" w:ascii="Times New Roman" w:hAnsi="Times New Roman" w:eastAsia="宋体" w:cs="Times New Roman"/>
                <w:b w:val="0"/>
                <w:bCs w:val="0"/>
                <w:color w:val="auto"/>
                <w:kern w:val="2"/>
                <w:sz w:val="24"/>
                <w:szCs w:val="24"/>
                <w:vertAlign w:val="baseline"/>
                <w:lang w:val="en-US" w:eastAsia="zh-CN" w:bidi="ar-SA"/>
              </w:rPr>
              <w:t>/次。</w:t>
            </w:r>
          </w:p>
          <w:p w14:paraId="611413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bCs/>
                <w:color w:val="auto"/>
                <w:sz w:val="24"/>
              </w:rPr>
              <w:t>治理措施：</w:t>
            </w:r>
            <w:r>
              <w:rPr>
                <w:rFonts w:hint="eastAsia" w:cs="Times New Roman"/>
                <w:b w:val="0"/>
                <w:bCs w:val="0"/>
                <w:color w:val="auto"/>
                <w:sz w:val="24"/>
                <w:szCs w:val="24"/>
                <w:lang w:val="en-US" w:eastAsia="zh-CN"/>
              </w:rPr>
              <w:t>生活污水依托出租方已建预处理池（化粪池，10m</w:t>
            </w:r>
            <w:r>
              <w:rPr>
                <w:rFonts w:hint="eastAsia" w:cs="Times New Roman"/>
                <w:b w:val="0"/>
                <w:bCs w:val="0"/>
                <w:color w:val="auto"/>
                <w:sz w:val="24"/>
                <w:szCs w:val="24"/>
                <w:vertAlign w:val="superscript"/>
                <w:lang w:val="en-US" w:eastAsia="zh-CN"/>
              </w:rPr>
              <w:t>3</w:t>
            </w:r>
            <w:r>
              <w:rPr>
                <w:rFonts w:hint="eastAsia" w:cs="Times New Roman"/>
                <w:b w:val="0"/>
                <w:bCs w:val="0"/>
                <w:color w:val="auto"/>
                <w:sz w:val="24"/>
                <w:szCs w:val="24"/>
                <w:lang w:val="en-US" w:eastAsia="zh-CN"/>
              </w:rPr>
              <w:t>）处理后定期由槽罐车转运至邻水县大步口污水处理站进行进一步处理后排入大洪河；洗砂废水经细砂回收一体机下方的废水收集池（60m</w:t>
            </w:r>
            <w:r>
              <w:rPr>
                <w:rFonts w:hint="eastAsia" w:cs="Times New Roman"/>
                <w:b w:val="0"/>
                <w:bCs w:val="0"/>
                <w:color w:val="auto"/>
                <w:sz w:val="24"/>
                <w:szCs w:val="24"/>
                <w:vertAlign w:val="superscript"/>
                <w:lang w:val="en-US" w:eastAsia="zh-CN"/>
              </w:rPr>
              <w:t>3</w:t>
            </w:r>
            <w:r>
              <w:rPr>
                <w:rFonts w:hint="eastAsia" w:cs="Times New Roman"/>
                <w:b w:val="0"/>
                <w:bCs w:val="0"/>
                <w:color w:val="auto"/>
                <w:sz w:val="24"/>
                <w:szCs w:val="24"/>
                <w:lang w:val="en-US" w:eastAsia="zh-CN"/>
              </w:rPr>
              <w:t>）收集后泵入一套废水处理系统（设计处理能力150m</w:t>
            </w:r>
            <w:r>
              <w:rPr>
                <w:rFonts w:hint="eastAsia" w:cs="Times New Roman"/>
                <w:b w:val="0"/>
                <w:bCs w:val="0"/>
                <w:color w:val="auto"/>
                <w:sz w:val="24"/>
                <w:szCs w:val="24"/>
                <w:vertAlign w:val="superscript"/>
                <w:lang w:val="en-US" w:eastAsia="zh-CN"/>
              </w:rPr>
              <w:t>3</w:t>
            </w:r>
            <w:r>
              <w:rPr>
                <w:rFonts w:hint="eastAsia" w:cs="Times New Roman"/>
                <w:b w:val="0"/>
                <w:bCs w:val="0"/>
                <w:color w:val="auto"/>
                <w:sz w:val="24"/>
                <w:szCs w:val="24"/>
                <w:lang w:val="en-US" w:eastAsia="zh-CN"/>
              </w:rPr>
              <w:t>/d，处理工艺为絮凝沉淀+压滤）处理后回用于生产；厂区四周设置导流沟，厂区低洼处设置一个约30m</w:t>
            </w:r>
            <w:r>
              <w:rPr>
                <w:rFonts w:hint="eastAsia" w:cs="Times New Roman"/>
                <w:b w:val="0"/>
                <w:bCs w:val="0"/>
                <w:color w:val="auto"/>
                <w:sz w:val="24"/>
                <w:szCs w:val="24"/>
                <w:vertAlign w:val="superscript"/>
                <w:lang w:val="en-US" w:eastAsia="zh-CN"/>
              </w:rPr>
              <w:t>3</w:t>
            </w:r>
            <w:r>
              <w:rPr>
                <w:rFonts w:hint="eastAsia" w:cs="Times New Roman"/>
                <w:b w:val="0"/>
                <w:bCs w:val="0"/>
                <w:color w:val="auto"/>
                <w:sz w:val="24"/>
                <w:szCs w:val="24"/>
                <w:lang w:val="en-US" w:eastAsia="zh-CN"/>
              </w:rPr>
              <w:t>的沉砂池，初期雨水和降尘废水收集后经导流沟收集后汇入沉砂池，然后经水泵泵入废水收集池后进入废水处理系统处理后回用于生产；车辆冲洗废水每日进行更换，更换的废水由水泵泵入废水收集池后进入废水处理系统处理后回用于生产。</w:t>
            </w:r>
          </w:p>
          <w:p w14:paraId="0B932F12">
            <w:pPr>
              <w:keepNext w:val="0"/>
              <w:keepLines w:val="0"/>
              <w:suppressLineNumbers w:val="0"/>
              <w:spacing w:before="0" w:beforeAutospacing="0" w:after="0" w:afterAutospacing="0" w:line="360" w:lineRule="auto"/>
              <w:ind w:left="0" w:right="0" w:firstLine="482" w:firstLineChars="200"/>
              <w:rPr>
                <w:rFonts w:hint="default"/>
                <w:b/>
                <w:bCs/>
                <w:sz w:val="24"/>
              </w:rPr>
            </w:pPr>
            <w:r>
              <w:rPr>
                <w:rFonts w:hint="eastAsia"/>
                <w:b/>
                <w:bCs/>
                <w:sz w:val="24"/>
              </w:rPr>
              <w:t>2、废水污染源强核算结果及相关参数</w:t>
            </w:r>
          </w:p>
          <w:p w14:paraId="782EF085">
            <w:pPr>
              <w:keepNext w:val="0"/>
              <w:keepLines w:val="0"/>
              <w:suppressLineNumbers w:val="0"/>
              <w:spacing w:before="120" w:beforeLines="50" w:beforeAutospacing="0" w:after="0" w:afterAutospacing="0" w:line="360" w:lineRule="auto"/>
              <w:ind w:left="0" w:right="0" w:firstLine="480" w:firstLineChars="200"/>
              <w:rPr>
                <w:rFonts w:hint="default"/>
                <w:color w:val="auto"/>
                <w:sz w:val="24"/>
              </w:rPr>
            </w:pPr>
            <w:r>
              <w:rPr>
                <w:rFonts w:hint="eastAsia"/>
                <w:color w:val="auto"/>
                <w:sz w:val="24"/>
              </w:rPr>
              <w:t>项目外排废水仅为生活污水，水质较为简单，其主要污染物为生活污水产生，参考《生活污染源产排污系数手册》（试用版）表6-6数据同时结合本项目实际情况，本项目废水主要污染物产生浓度COD约415mg/L、BOD</w:t>
            </w:r>
            <w:r>
              <w:rPr>
                <w:rFonts w:hint="eastAsia"/>
                <w:color w:val="auto"/>
                <w:sz w:val="24"/>
                <w:vertAlign w:val="subscript"/>
              </w:rPr>
              <w:t>5</w:t>
            </w:r>
            <w:r>
              <w:rPr>
                <w:rFonts w:hint="eastAsia"/>
                <w:color w:val="auto"/>
                <w:sz w:val="24"/>
              </w:rPr>
              <w:t>约179mg/L、SS约250mg/L、NH</w:t>
            </w:r>
            <w:r>
              <w:rPr>
                <w:rFonts w:hint="eastAsia"/>
                <w:color w:val="auto"/>
                <w:sz w:val="24"/>
                <w:vertAlign w:val="subscript"/>
              </w:rPr>
              <w:t>3</w:t>
            </w:r>
            <w:r>
              <w:rPr>
                <w:rFonts w:hint="eastAsia"/>
                <w:color w:val="auto"/>
                <w:sz w:val="24"/>
              </w:rPr>
              <w:t>-N约41.4mg/L、TP约5.7mg/L。</w:t>
            </w:r>
          </w:p>
          <w:p w14:paraId="6D6AD4D7">
            <w:pPr>
              <w:pStyle w:val="18"/>
              <w:keepNext w:val="0"/>
              <w:keepLines w:val="0"/>
              <w:suppressLineNumbers w:val="0"/>
              <w:spacing w:before="0" w:beforeAutospacing="0" w:after="0" w:afterAutospacing="0"/>
              <w:ind w:left="0" w:right="0"/>
              <w:jc w:val="center"/>
              <w:rPr>
                <w:rFonts w:hint="default" w:ascii="Times New Roman" w:hAnsi="Times New Roman" w:cs="宋体"/>
                <w:color w:val="auto"/>
                <w:sz w:val="24"/>
              </w:rPr>
            </w:pPr>
            <w:r>
              <w:rPr>
                <w:rFonts w:hint="default" w:ascii="Times New Roman" w:hAnsi="Times New Roman"/>
                <w:b/>
                <w:bCs/>
                <w:color w:val="auto"/>
                <w:sz w:val="21"/>
                <w:szCs w:val="21"/>
              </w:rPr>
              <w:t>表</w:t>
            </w:r>
            <w:r>
              <w:rPr>
                <w:rFonts w:hint="eastAsia" w:ascii="Times New Roman" w:hAnsi="Times New Roman"/>
                <w:b/>
                <w:bCs/>
                <w:color w:val="auto"/>
                <w:sz w:val="21"/>
                <w:szCs w:val="21"/>
              </w:rPr>
              <w:t>4</w:t>
            </w:r>
            <w:r>
              <w:rPr>
                <w:rFonts w:hint="eastAsia"/>
                <w:b/>
                <w:bCs/>
                <w:color w:val="auto"/>
                <w:sz w:val="21"/>
                <w:szCs w:val="21"/>
                <w:lang w:val="en-US" w:eastAsia="zh-CN"/>
              </w:rPr>
              <w:t>-5</w:t>
            </w:r>
            <w:r>
              <w:rPr>
                <w:rFonts w:hint="default" w:ascii="Times New Roman" w:hAnsi="Times New Roman"/>
                <w:b/>
                <w:bCs/>
                <w:color w:val="auto"/>
                <w:sz w:val="21"/>
                <w:szCs w:val="21"/>
              </w:rPr>
              <w:t xml:space="preserve">  本项目污水产生及排放情况一览表</w:t>
            </w:r>
          </w:p>
          <w:tbl>
            <w:tblPr>
              <w:tblStyle w:val="25"/>
              <w:tblW w:w="4996" w:type="pct"/>
              <w:tblInd w:w="0" w:type="dxa"/>
              <w:tblLayout w:type="fixed"/>
              <w:tblCellMar>
                <w:top w:w="0" w:type="dxa"/>
                <w:left w:w="108" w:type="dxa"/>
                <w:bottom w:w="0" w:type="dxa"/>
                <w:right w:w="108" w:type="dxa"/>
              </w:tblCellMar>
            </w:tblPr>
            <w:tblGrid>
              <w:gridCol w:w="998"/>
              <w:gridCol w:w="1001"/>
              <w:gridCol w:w="1002"/>
              <w:gridCol w:w="1001"/>
              <w:gridCol w:w="1000"/>
              <w:gridCol w:w="1000"/>
              <w:gridCol w:w="1000"/>
              <w:gridCol w:w="1000"/>
            </w:tblGrid>
            <w:tr w14:paraId="2DC3176D">
              <w:tblPrEx>
                <w:tblCellMar>
                  <w:top w:w="0" w:type="dxa"/>
                  <w:left w:w="108" w:type="dxa"/>
                  <w:bottom w:w="0" w:type="dxa"/>
                  <w:right w:w="108" w:type="dxa"/>
                </w:tblCellMar>
              </w:tblPrEx>
              <w:trPr>
                <w:trHeight w:val="600" w:hRule="atLeast"/>
              </w:trPr>
              <w:tc>
                <w:tcPr>
                  <w:tcW w:w="1248" w:type="pct"/>
                  <w:gridSpan w:val="2"/>
                  <w:tcBorders>
                    <w:top w:val="single" w:color="000000" w:sz="12" w:space="0"/>
                    <w:left w:val="nil"/>
                    <w:bottom w:val="single" w:color="000000" w:sz="8" w:space="0"/>
                    <w:right w:val="single" w:color="000000" w:sz="8" w:space="0"/>
                  </w:tcBorders>
                  <w:shd w:val="clear" w:color="auto" w:fill="auto"/>
                  <w:vAlign w:val="center"/>
                </w:tcPr>
                <w:p w14:paraId="6125EF72">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auto"/>
                      <w:szCs w:val="21"/>
                    </w:rPr>
                  </w:pPr>
                  <w:r>
                    <w:rPr>
                      <w:rFonts w:hint="eastAsia" w:ascii="宋体" w:hAnsi="宋体" w:cs="宋体"/>
                      <w:b/>
                      <w:bCs/>
                      <w:color w:val="auto"/>
                      <w:kern w:val="0"/>
                      <w:szCs w:val="21"/>
                      <w:lang w:bidi="ar"/>
                    </w:rPr>
                    <w:t>废水性质</w:t>
                  </w:r>
                </w:p>
              </w:tc>
              <w:tc>
                <w:tcPr>
                  <w:tcW w:w="625" w:type="pct"/>
                  <w:tcBorders>
                    <w:top w:val="single" w:color="000000" w:sz="12" w:space="0"/>
                    <w:left w:val="nil"/>
                    <w:bottom w:val="single" w:color="000000" w:sz="8" w:space="0"/>
                    <w:right w:val="single" w:color="000000" w:sz="8" w:space="0"/>
                  </w:tcBorders>
                  <w:shd w:val="clear" w:color="auto" w:fill="auto"/>
                  <w:vAlign w:val="center"/>
                </w:tcPr>
                <w:p w14:paraId="68549F67">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auto"/>
                      <w:szCs w:val="21"/>
                    </w:rPr>
                  </w:pPr>
                  <w:r>
                    <w:rPr>
                      <w:rFonts w:hint="eastAsia" w:ascii="宋体" w:hAnsi="宋体" w:cs="宋体"/>
                      <w:b/>
                      <w:bCs/>
                      <w:color w:val="auto"/>
                      <w:kern w:val="0"/>
                      <w:szCs w:val="21"/>
                      <w:lang w:bidi="ar"/>
                    </w:rPr>
                    <w:t>废水量（</w:t>
                  </w:r>
                  <w:r>
                    <w:rPr>
                      <w:rFonts w:hint="default"/>
                      <w:b/>
                      <w:bCs/>
                      <w:color w:val="auto"/>
                      <w:kern w:val="0"/>
                      <w:szCs w:val="21"/>
                      <w:lang w:bidi="ar"/>
                    </w:rPr>
                    <w:t>m</w:t>
                  </w:r>
                  <w:r>
                    <w:rPr>
                      <w:rFonts w:hint="default"/>
                      <w:b/>
                      <w:bCs/>
                      <w:color w:val="auto"/>
                      <w:kern w:val="0"/>
                      <w:szCs w:val="21"/>
                      <w:vertAlign w:val="superscript"/>
                      <w:lang w:bidi="ar"/>
                    </w:rPr>
                    <w:t>3</w:t>
                  </w:r>
                  <w:r>
                    <w:rPr>
                      <w:rFonts w:hint="default"/>
                      <w:b/>
                      <w:bCs/>
                      <w:color w:val="auto"/>
                      <w:kern w:val="0"/>
                      <w:szCs w:val="21"/>
                      <w:lang w:bidi="ar"/>
                    </w:rPr>
                    <w:t>/a</w:t>
                  </w:r>
                  <w:r>
                    <w:rPr>
                      <w:rFonts w:hint="eastAsia" w:ascii="宋体" w:hAnsi="宋体" w:cs="宋体"/>
                      <w:b/>
                      <w:bCs/>
                      <w:color w:val="auto"/>
                      <w:kern w:val="0"/>
                      <w:szCs w:val="21"/>
                      <w:lang w:bidi="ar"/>
                    </w:rPr>
                    <w:t>）</w:t>
                  </w:r>
                </w:p>
              </w:tc>
              <w:tc>
                <w:tcPr>
                  <w:tcW w:w="625" w:type="pct"/>
                  <w:tcBorders>
                    <w:top w:val="single" w:color="000000" w:sz="12" w:space="0"/>
                    <w:left w:val="nil"/>
                    <w:bottom w:val="single" w:color="000000" w:sz="8" w:space="0"/>
                    <w:right w:val="single" w:color="000000" w:sz="8" w:space="0"/>
                  </w:tcBorders>
                  <w:shd w:val="clear" w:color="auto" w:fill="auto"/>
                  <w:vAlign w:val="center"/>
                </w:tcPr>
                <w:p w14:paraId="34F5EBC3">
                  <w:pPr>
                    <w:keepNext w:val="0"/>
                    <w:keepLines w:val="0"/>
                    <w:widowControl/>
                    <w:suppressLineNumbers w:val="0"/>
                    <w:spacing w:before="0" w:beforeAutospacing="0" w:after="0" w:afterAutospacing="0"/>
                    <w:ind w:left="0" w:right="0"/>
                    <w:jc w:val="center"/>
                    <w:textAlignment w:val="center"/>
                    <w:rPr>
                      <w:rFonts w:hint="default"/>
                      <w:b/>
                      <w:bCs/>
                      <w:color w:val="auto"/>
                      <w:szCs w:val="21"/>
                    </w:rPr>
                  </w:pPr>
                  <w:r>
                    <w:rPr>
                      <w:rFonts w:hint="default"/>
                      <w:b/>
                      <w:bCs/>
                      <w:color w:val="auto"/>
                      <w:kern w:val="0"/>
                      <w:szCs w:val="21"/>
                      <w:lang w:bidi="ar"/>
                    </w:rPr>
                    <w:t>COD</w:t>
                  </w:r>
                </w:p>
              </w:tc>
              <w:tc>
                <w:tcPr>
                  <w:tcW w:w="625" w:type="pct"/>
                  <w:tcBorders>
                    <w:top w:val="single" w:color="000000" w:sz="12" w:space="0"/>
                    <w:left w:val="nil"/>
                    <w:bottom w:val="single" w:color="000000" w:sz="8" w:space="0"/>
                    <w:right w:val="single" w:color="000000" w:sz="8" w:space="0"/>
                  </w:tcBorders>
                  <w:shd w:val="clear" w:color="auto" w:fill="auto"/>
                  <w:vAlign w:val="center"/>
                </w:tcPr>
                <w:p w14:paraId="29453664">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auto"/>
                      <w:szCs w:val="21"/>
                    </w:rPr>
                  </w:pPr>
                  <w:r>
                    <w:rPr>
                      <w:rFonts w:hint="eastAsia" w:ascii="宋体" w:hAnsi="宋体" w:cs="宋体"/>
                      <w:b/>
                      <w:bCs/>
                      <w:color w:val="auto"/>
                      <w:kern w:val="0"/>
                      <w:szCs w:val="21"/>
                      <w:lang w:bidi="ar"/>
                    </w:rPr>
                    <w:t>氨氮</w:t>
                  </w:r>
                </w:p>
              </w:tc>
              <w:tc>
                <w:tcPr>
                  <w:tcW w:w="625" w:type="pct"/>
                  <w:tcBorders>
                    <w:top w:val="single" w:color="000000" w:sz="12" w:space="0"/>
                    <w:left w:val="nil"/>
                    <w:bottom w:val="single" w:color="000000" w:sz="8" w:space="0"/>
                    <w:right w:val="single" w:color="000000" w:sz="8" w:space="0"/>
                  </w:tcBorders>
                  <w:shd w:val="clear" w:color="auto" w:fill="auto"/>
                  <w:vAlign w:val="center"/>
                </w:tcPr>
                <w:p w14:paraId="3B0DCE3D">
                  <w:pPr>
                    <w:keepNext w:val="0"/>
                    <w:keepLines w:val="0"/>
                    <w:widowControl/>
                    <w:suppressLineNumbers w:val="0"/>
                    <w:spacing w:before="0" w:beforeAutospacing="0" w:after="0" w:afterAutospacing="0"/>
                    <w:ind w:left="0" w:right="0"/>
                    <w:jc w:val="center"/>
                    <w:textAlignment w:val="center"/>
                    <w:rPr>
                      <w:rFonts w:hint="default"/>
                      <w:b/>
                      <w:bCs/>
                      <w:color w:val="auto"/>
                      <w:szCs w:val="21"/>
                    </w:rPr>
                  </w:pPr>
                  <w:r>
                    <w:rPr>
                      <w:rFonts w:hint="default"/>
                      <w:b/>
                      <w:bCs/>
                      <w:color w:val="auto"/>
                      <w:kern w:val="0"/>
                      <w:szCs w:val="21"/>
                      <w:lang w:bidi="ar"/>
                    </w:rPr>
                    <w:t>BOD</w:t>
                  </w:r>
                  <w:r>
                    <w:rPr>
                      <w:rFonts w:hint="default"/>
                      <w:b/>
                      <w:bCs/>
                      <w:color w:val="auto"/>
                      <w:kern w:val="0"/>
                      <w:szCs w:val="21"/>
                      <w:vertAlign w:val="subscript"/>
                      <w:lang w:bidi="ar"/>
                    </w:rPr>
                    <w:t>5</w:t>
                  </w:r>
                </w:p>
              </w:tc>
              <w:tc>
                <w:tcPr>
                  <w:tcW w:w="625" w:type="pct"/>
                  <w:tcBorders>
                    <w:top w:val="single" w:color="000000" w:sz="12" w:space="0"/>
                    <w:left w:val="nil"/>
                    <w:bottom w:val="single" w:color="000000" w:sz="8" w:space="0"/>
                    <w:right w:val="single" w:color="000000" w:sz="8" w:space="0"/>
                  </w:tcBorders>
                  <w:shd w:val="clear" w:color="auto" w:fill="auto"/>
                  <w:vAlign w:val="center"/>
                </w:tcPr>
                <w:p w14:paraId="667FF0ED">
                  <w:pPr>
                    <w:keepNext w:val="0"/>
                    <w:keepLines w:val="0"/>
                    <w:widowControl/>
                    <w:suppressLineNumbers w:val="0"/>
                    <w:spacing w:before="0" w:beforeAutospacing="0" w:after="0" w:afterAutospacing="0"/>
                    <w:ind w:left="0" w:right="0"/>
                    <w:jc w:val="center"/>
                    <w:textAlignment w:val="center"/>
                    <w:rPr>
                      <w:rFonts w:hint="default"/>
                      <w:b/>
                      <w:bCs/>
                      <w:color w:val="auto"/>
                      <w:szCs w:val="21"/>
                    </w:rPr>
                  </w:pPr>
                  <w:r>
                    <w:rPr>
                      <w:rFonts w:hint="default"/>
                      <w:b/>
                      <w:bCs/>
                      <w:color w:val="auto"/>
                      <w:kern w:val="0"/>
                      <w:szCs w:val="21"/>
                      <w:lang w:bidi="ar"/>
                    </w:rPr>
                    <w:t>TP</w:t>
                  </w:r>
                </w:p>
              </w:tc>
              <w:tc>
                <w:tcPr>
                  <w:tcW w:w="625" w:type="pct"/>
                  <w:tcBorders>
                    <w:top w:val="single" w:color="000000" w:sz="12" w:space="0"/>
                    <w:left w:val="nil"/>
                    <w:bottom w:val="single" w:color="000000" w:sz="8" w:space="0"/>
                    <w:right w:val="nil"/>
                  </w:tcBorders>
                  <w:shd w:val="clear" w:color="auto" w:fill="auto"/>
                  <w:vAlign w:val="center"/>
                </w:tcPr>
                <w:p w14:paraId="56987C94">
                  <w:pPr>
                    <w:keepNext w:val="0"/>
                    <w:keepLines w:val="0"/>
                    <w:widowControl/>
                    <w:suppressLineNumbers w:val="0"/>
                    <w:spacing w:before="0" w:beforeAutospacing="0" w:after="0" w:afterAutospacing="0"/>
                    <w:ind w:left="0" w:right="0"/>
                    <w:jc w:val="center"/>
                    <w:textAlignment w:val="center"/>
                    <w:rPr>
                      <w:rFonts w:hint="default"/>
                      <w:b/>
                      <w:bCs/>
                      <w:color w:val="auto"/>
                      <w:szCs w:val="21"/>
                    </w:rPr>
                  </w:pPr>
                  <w:r>
                    <w:rPr>
                      <w:rFonts w:hint="default"/>
                      <w:b/>
                      <w:bCs/>
                      <w:color w:val="auto"/>
                      <w:kern w:val="0"/>
                      <w:szCs w:val="21"/>
                      <w:lang w:bidi="ar"/>
                    </w:rPr>
                    <w:t>SS</w:t>
                  </w:r>
                </w:p>
              </w:tc>
            </w:tr>
            <w:tr w14:paraId="2A637912">
              <w:tblPrEx>
                <w:tblCellMar>
                  <w:top w:w="0" w:type="dxa"/>
                  <w:left w:w="108" w:type="dxa"/>
                  <w:bottom w:w="0" w:type="dxa"/>
                  <w:right w:w="108" w:type="dxa"/>
                </w:tblCellMar>
              </w:tblPrEx>
              <w:trPr>
                <w:trHeight w:val="555" w:hRule="atLeast"/>
              </w:trPr>
              <w:tc>
                <w:tcPr>
                  <w:tcW w:w="623" w:type="pct"/>
                  <w:vMerge w:val="restart"/>
                  <w:tcBorders>
                    <w:top w:val="nil"/>
                    <w:left w:val="nil"/>
                    <w:bottom w:val="single" w:color="000000" w:sz="8" w:space="0"/>
                    <w:right w:val="single" w:color="000000" w:sz="8" w:space="0"/>
                  </w:tcBorders>
                  <w:shd w:val="clear" w:color="auto" w:fill="auto"/>
                  <w:vAlign w:val="center"/>
                </w:tcPr>
                <w:p w14:paraId="563E9C90">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Cs w:val="21"/>
                    </w:rPr>
                  </w:pPr>
                  <w:r>
                    <w:rPr>
                      <w:rFonts w:hint="eastAsia" w:ascii="宋体" w:hAnsi="宋体" w:cs="宋体"/>
                      <w:color w:val="auto"/>
                      <w:kern w:val="0"/>
                      <w:szCs w:val="21"/>
                      <w:lang w:bidi="ar"/>
                    </w:rPr>
                    <w:t>生活污水</w:t>
                  </w:r>
                </w:p>
              </w:tc>
              <w:tc>
                <w:tcPr>
                  <w:tcW w:w="625" w:type="pct"/>
                  <w:tcBorders>
                    <w:top w:val="nil"/>
                    <w:left w:val="nil"/>
                    <w:bottom w:val="single" w:color="000000" w:sz="8" w:space="0"/>
                    <w:right w:val="single" w:color="000000" w:sz="8" w:space="0"/>
                  </w:tcBorders>
                  <w:shd w:val="clear" w:color="auto" w:fill="auto"/>
                  <w:vAlign w:val="center"/>
                </w:tcPr>
                <w:p w14:paraId="708E5B22">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Cs w:val="21"/>
                    </w:rPr>
                  </w:pPr>
                  <w:r>
                    <w:rPr>
                      <w:rFonts w:hint="eastAsia" w:ascii="宋体" w:hAnsi="宋体" w:cs="宋体"/>
                      <w:color w:val="auto"/>
                      <w:kern w:val="0"/>
                      <w:szCs w:val="21"/>
                      <w:lang w:bidi="ar"/>
                    </w:rPr>
                    <w:t>产生浓度（</w:t>
                  </w:r>
                  <w:r>
                    <w:rPr>
                      <w:rFonts w:hint="default"/>
                      <w:color w:val="auto"/>
                      <w:kern w:val="0"/>
                      <w:szCs w:val="21"/>
                      <w:lang w:bidi="ar"/>
                    </w:rPr>
                    <w:t>mg/L</w:t>
                  </w:r>
                  <w:r>
                    <w:rPr>
                      <w:rFonts w:hint="eastAsia" w:ascii="宋体" w:hAnsi="宋体" w:cs="宋体"/>
                      <w:color w:val="auto"/>
                      <w:kern w:val="0"/>
                      <w:szCs w:val="21"/>
                      <w:lang w:bidi="ar"/>
                    </w:rPr>
                    <w:t>）</w:t>
                  </w:r>
                </w:p>
              </w:tc>
              <w:tc>
                <w:tcPr>
                  <w:tcW w:w="625" w:type="pct"/>
                  <w:vMerge w:val="restart"/>
                  <w:tcBorders>
                    <w:top w:val="nil"/>
                    <w:left w:val="nil"/>
                    <w:bottom w:val="single" w:color="000000" w:sz="8" w:space="0"/>
                    <w:right w:val="single" w:color="000000" w:sz="8" w:space="0"/>
                  </w:tcBorders>
                  <w:shd w:val="clear" w:color="auto" w:fill="auto"/>
                  <w:vAlign w:val="center"/>
                </w:tcPr>
                <w:p w14:paraId="2CD0CAC2">
                  <w:pPr>
                    <w:keepNext w:val="0"/>
                    <w:keepLines w:val="0"/>
                    <w:widowControl/>
                    <w:suppressLineNumbers w:val="0"/>
                    <w:spacing w:before="0" w:beforeAutospacing="0" w:after="0" w:afterAutospacing="0"/>
                    <w:ind w:left="0" w:right="0"/>
                    <w:jc w:val="center"/>
                    <w:textAlignment w:val="center"/>
                    <w:rPr>
                      <w:rFonts w:hint="default" w:eastAsia="宋体"/>
                      <w:color w:val="auto"/>
                      <w:szCs w:val="21"/>
                      <w:lang w:val="en-US" w:eastAsia="zh-CN"/>
                    </w:rPr>
                  </w:pPr>
                  <w:r>
                    <w:rPr>
                      <w:rFonts w:hint="eastAsia"/>
                      <w:color w:val="auto"/>
                      <w:kern w:val="0"/>
                      <w:szCs w:val="21"/>
                      <w:lang w:val="en-US" w:eastAsia="zh-CN" w:bidi="ar"/>
                    </w:rPr>
                    <w:t>51</w:t>
                  </w:r>
                </w:p>
              </w:tc>
              <w:tc>
                <w:tcPr>
                  <w:tcW w:w="625" w:type="pct"/>
                  <w:tcBorders>
                    <w:top w:val="nil"/>
                    <w:left w:val="nil"/>
                    <w:bottom w:val="single" w:color="000000" w:sz="8" w:space="0"/>
                    <w:right w:val="single" w:color="000000" w:sz="8" w:space="0"/>
                  </w:tcBorders>
                  <w:shd w:val="clear" w:color="auto" w:fill="auto"/>
                  <w:vAlign w:val="center"/>
                </w:tcPr>
                <w:p w14:paraId="7181224C">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color w:val="auto"/>
                      <w:kern w:val="0"/>
                      <w:szCs w:val="21"/>
                      <w:lang w:bidi="ar"/>
                    </w:rPr>
                    <w:t>415</w:t>
                  </w:r>
                </w:p>
              </w:tc>
              <w:tc>
                <w:tcPr>
                  <w:tcW w:w="625" w:type="pct"/>
                  <w:tcBorders>
                    <w:top w:val="nil"/>
                    <w:left w:val="nil"/>
                    <w:bottom w:val="single" w:color="000000" w:sz="8" w:space="0"/>
                    <w:right w:val="single" w:color="000000" w:sz="8" w:space="0"/>
                  </w:tcBorders>
                  <w:shd w:val="clear" w:color="auto" w:fill="auto"/>
                  <w:vAlign w:val="center"/>
                </w:tcPr>
                <w:p w14:paraId="62D61DBB">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color w:val="auto"/>
                      <w:kern w:val="0"/>
                      <w:szCs w:val="21"/>
                      <w:lang w:bidi="ar"/>
                    </w:rPr>
                    <w:t>41.4</w:t>
                  </w:r>
                </w:p>
              </w:tc>
              <w:tc>
                <w:tcPr>
                  <w:tcW w:w="625" w:type="pct"/>
                  <w:tcBorders>
                    <w:top w:val="nil"/>
                    <w:left w:val="nil"/>
                    <w:bottom w:val="single" w:color="000000" w:sz="8" w:space="0"/>
                    <w:right w:val="single" w:color="000000" w:sz="8" w:space="0"/>
                  </w:tcBorders>
                  <w:shd w:val="clear" w:color="auto" w:fill="auto"/>
                  <w:vAlign w:val="center"/>
                </w:tcPr>
                <w:p w14:paraId="0F4D2917">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color w:val="auto"/>
                      <w:kern w:val="0"/>
                      <w:szCs w:val="21"/>
                      <w:lang w:bidi="ar"/>
                    </w:rPr>
                    <w:t>179</w:t>
                  </w:r>
                </w:p>
              </w:tc>
              <w:tc>
                <w:tcPr>
                  <w:tcW w:w="625" w:type="pct"/>
                  <w:tcBorders>
                    <w:top w:val="nil"/>
                    <w:left w:val="nil"/>
                    <w:bottom w:val="single" w:color="000000" w:sz="8" w:space="0"/>
                    <w:right w:val="single" w:color="000000" w:sz="8" w:space="0"/>
                  </w:tcBorders>
                  <w:shd w:val="clear" w:color="auto" w:fill="auto"/>
                  <w:vAlign w:val="center"/>
                </w:tcPr>
                <w:p w14:paraId="3B873F9A">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color w:val="auto"/>
                      <w:kern w:val="0"/>
                      <w:szCs w:val="21"/>
                      <w:lang w:bidi="ar"/>
                    </w:rPr>
                    <w:t>5.7</w:t>
                  </w:r>
                </w:p>
              </w:tc>
              <w:tc>
                <w:tcPr>
                  <w:tcW w:w="625" w:type="pct"/>
                  <w:tcBorders>
                    <w:top w:val="single" w:color="000000" w:sz="8" w:space="0"/>
                    <w:left w:val="nil"/>
                    <w:bottom w:val="single" w:color="000000" w:sz="8" w:space="0"/>
                    <w:right w:val="nil"/>
                  </w:tcBorders>
                  <w:shd w:val="clear" w:color="auto" w:fill="auto"/>
                  <w:vAlign w:val="center"/>
                </w:tcPr>
                <w:p w14:paraId="665CF30F">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color w:val="auto"/>
                      <w:kern w:val="0"/>
                      <w:szCs w:val="21"/>
                      <w:lang w:bidi="ar"/>
                    </w:rPr>
                    <w:t>250</w:t>
                  </w:r>
                </w:p>
              </w:tc>
            </w:tr>
            <w:tr w14:paraId="3526C044">
              <w:tblPrEx>
                <w:tblCellMar>
                  <w:top w:w="0" w:type="dxa"/>
                  <w:left w:w="108" w:type="dxa"/>
                  <w:bottom w:w="0" w:type="dxa"/>
                  <w:right w:w="108" w:type="dxa"/>
                </w:tblCellMar>
              </w:tblPrEx>
              <w:trPr>
                <w:trHeight w:val="525" w:hRule="atLeast"/>
              </w:trPr>
              <w:tc>
                <w:tcPr>
                  <w:tcW w:w="623" w:type="pct"/>
                  <w:vMerge w:val="continue"/>
                  <w:tcBorders>
                    <w:top w:val="nil"/>
                    <w:left w:val="nil"/>
                    <w:bottom w:val="single" w:color="000000" w:sz="8" w:space="0"/>
                    <w:right w:val="single" w:color="000000" w:sz="8" w:space="0"/>
                  </w:tcBorders>
                  <w:shd w:val="clear" w:color="auto" w:fill="auto"/>
                  <w:vAlign w:val="center"/>
                </w:tcPr>
                <w:p w14:paraId="3FCDE769">
                  <w:pPr>
                    <w:keepNext w:val="0"/>
                    <w:keepLines w:val="0"/>
                    <w:suppressLineNumbers w:val="0"/>
                    <w:spacing w:before="0" w:beforeAutospacing="0" w:after="0" w:afterAutospacing="0"/>
                    <w:ind w:left="0" w:right="0"/>
                    <w:jc w:val="center"/>
                    <w:rPr>
                      <w:rFonts w:hint="default" w:ascii="宋体" w:hAnsi="宋体" w:cs="宋体"/>
                      <w:color w:val="auto"/>
                      <w:szCs w:val="21"/>
                    </w:rPr>
                  </w:pPr>
                </w:p>
              </w:tc>
              <w:tc>
                <w:tcPr>
                  <w:tcW w:w="625" w:type="pct"/>
                  <w:tcBorders>
                    <w:top w:val="nil"/>
                    <w:left w:val="nil"/>
                    <w:bottom w:val="single" w:color="000000" w:sz="8" w:space="0"/>
                    <w:right w:val="single" w:color="000000" w:sz="8" w:space="0"/>
                  </w:tcBorders>
                  <w:shd w:val="clear" w:color="auto" w:fill="auto"/>
                  <w:vAlign w:val="center"/>
                </w:tcPr>
                <w:p w14:paraId="0EDF529A">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Cs w:val="21"/>
                    </w:rPr>
                  </w:pPr>
                  <w:r>
                    <w:rPr>
                      <w:rFonts w:hint="eastAsia" w:ascii="宋体" w:hAnsi="宋体" w:cs="宋体"/>
                      <w:color w:val="auto"/>
                      <w:kern w:val="0"/>
                      <w:szCs w:val="21"/>
                      <w:lang w:bidi="ar"/>
                    </w:rPr>
                    <w:t>产生量（</w:t>
                  </w:r>
                  <w:r>
                    <w:rPr>
                      <w:rFonts w:hint="default"/>
                      <w:color w:val="auto"/>
                      <w:kern w:val="0"/>
                      <w:szCs w:val="21"/>
                      <w:lang w:bidi="ar"/>
                    </w:rPr>
                    <w:t>t/a</w:t>
                  </w:r>
                  <w:r>
                    <w:rPr>
                      <w:rFonts w:hint="eastAsia" w:ascii="宋体" w:hAnsi="宋体" w:cs="宋体"/>
                      <w:color w:val="auto"/>
                      <w:kern w:val="0"/>
                      <w:szCs w:val="21"/>
                      <w:lang w:bidi="ar"/>
                    </w:rPr>
                    <w:t>）</w:t>
                  </w:r>
                </w:p>
              </w:tc>
              <w:tc>
                <w:tcPr>
                  <w:tcW w:w="625" w:type="pct"/>
                  <w:vMerge w:val="continue"/>
                  <w:tcBorders>
                    <w:top w:val="nil"/>
                    <w:left w:val="nil"/>
                    <w:bottom w:val="single" w:color="000000" w:sz="8" w:space="0"/>
                    <w:right w:val="single" w:color="000000" w:sz="8" w:space="0"/>
                  </w:tcBorders>
                  <w:shd w:val="clear" w:color="auto" w:fill="auto"/>
                  <w:vAlign w:val="center"/>
                </w:tcPr>
                <w:p w14:paraId="0ABF1E9A">
                  <w:pPr>
                    <w:keepNext w:val="0"/>
                    <w:keepLines w:val="0"/>
                    <w:suppressLineNumbers w:val="0"/>
                    <w:spacing w:before="0" w:beforeAutospacing="0" w:after="0" w:afterAutospacing="0"/>
                    <w:ind w:left="0" w:right="0"/>
                    <w:jc w:val="center"/>
                    <w:rPr>
                      <w:rFonts w:hint="default"/>
                      <w:color w:val="auto"/>
                      <w:szCs w:val="21"/>
                    </w:rPr>
                  </w:pPr>
                </w:p>
              </w:tc>
              <w:tc>
                <w:tcPr>
                  <w:tcW w:w="1001" w:type="dxa"/>
                  <w:tcBorders>
                    <w:top w:val="nil"/>
                    <w:left w:val="nil"/>
                    <w:bottom w:val="single" w:color="000000" w:sz="8" w:space="0"/>
                    <w:right w:val="single" w:color="000000" w:sz="8" w:space="0"/>
                  </w:tcBorders>
                  <w:shd w:val="clear" w:color="auto" w:fill="auto"/>
                  <w:vAlign w:val="center"/>
                </w:tcPr>
                <w:p w14:paraId="17FF2898">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0.0212 </w:t>
                  </w:r>
                </w:p>
              </w:tc>
              <w:tc>
                <w:tcPr>
                  <w:tcW w:w="1000" w:type="dxa"/>
                  <w:tcBorders>
                    <w:top w:val="nil"/>
                    <w:left w:val="nil"/>
                    <w:bottom w:val="single" w:color="000000" w:sz="8" w:space="0"/>
                    <w:right w:val="single" w:color="000000" w:sz="8" w:space="0"/>
                  </w:tcBorders>
                  <w:shd w:val="clear" w:color="auto" w:fill="auto"/>
                  <w:vAlign w:val="center"/>
                </w:tcPr>
                <w:p w14:paraId="6C327023">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0.0021 </w:t>
                  </w:r>
                </w:p>
              </w:tc>
              <w:tc>
                <w:tcPr>
                  <w:tcW w:w="1000" w:type="dxa"/>
                  <w:tcBorders>
                    <w:top w:val="nil"/>
                    <w:left w:val="nil"/>
                    <w:bottom w:val="single" w:color="000000" w:sz="8" w:space="0"/>
                    <w:right w:val="single" w:color="000000" w:sz="8" w:space="0"/>
                  </w:tcBorders>
                  <w:shd w:val="clear" w:color="auto" w:fill="auto"/>
                  <w:vAlign w:val="center"/>
                </w:tcPr>
                <w:p w14:paraId="729CFCEC">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0.0091 </w:t>
                  </w:r>
                </w:p>
              </w:tc>
              <w:tc>
                <w:tcPr>
                  <w:tcW w:w="1000" w:type="dxa"/>
                  <w:tcBorders>
                    <w:top w:val="nil"/>
                    <w:left w:val="nil"/>
                    <w:bottom w:val="single" w:color="000000" w:sz="8" w:space="0"/>
                    <w:right w:val="single" w:color="000000" w:sz="8" w:space="0"/>
                  </w:tcBorders>
                  <w:shd w:val="clear" w:color="auto" w:fill="auto"/>
                  <w:vAlign w:val="center"/>
                </w:tcPr>
                <w:p w14:paraId="13028B92">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0.0003 </w:t>
                  </w:r>
                </w:p>
              </w:tc>
              <w:tc>
                <w:tcPr>
                  <w:tcW w:w="1000" w:type="dxa"/>
                  <w:tcBorders>
                    <w:top w:val="nil"/>
                    <w:left w:val="nil"/>
                    <w:bottom w:val="single" w:color="000000" w:sz="8" w:space="0"/>
                    <w:right w:val="single" w:color="000000" w:sz="8" w:space="0"/>
                  </w:tcBorders>
                  <w:shd w:val="clear" w:color="auto" w:fill="auto"/>
                  <w:vAlign w:val="center"/>
                </w:tcPr>
                <w:p w14:paraId="5480B893">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0.0128 </w:t>
                  </w:r>
                </w:p>
              </w:tc>
            </w:tr>
            <w:tr w14:paraId="2C49FE13">
              <w:tblPrEx>
                <w:tblCellMar>
                  <w:top w:w="0" w:type="dxa"/>
                  <w:left w:w="108" w:type="dxa"/>
                  <w:bottom w:w="0" w:type="dxa"/>
                  <w:right w:w="108" w:type="dxa"/>
                </w:tblCellMar>
              </w:tblPrEx>
              <w:trPr>
                <w:trHeight w:val="555" w:hRule="atLeast"/>
              </w:trPr>
              <w:tc>
                <w:tcPr>
                  <w:tcW w:w="623" w:type="pct"/>
                  <w:vMerge w:val="restart"/>
                  <w:tcBorders>
                    <w:top w:val="nil"/>
                    <w:left w:val="nil"/>
                    <w:bottom w:val="single" w:color="000000" w:sz="8" w:space="0"/>
                    <w:right w:val="single" w:color="000000" w:sz="8" w:space="0"/>
                  </w:tcBorders>
                  <w:shd w:val="clear" w:color="auto" w:fill="auto"/>
                  <w:vAlign w:val="center"/>
                </w:tcPr>
                <w:p w14:paraId="399AE92D">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Cs w:val="21"/>
                    </w:rPr>
                  </w:pPr>
                  <w:r>
                    <w:rPr>
                      <w:rFonts w:hint="eastAsia" w:ascii="宋体" w:hAnsi="宋体" w:cs="宋体"/>
                      <w:color w:val="auto"/>
                      <w:kern w:val="0"/>
                      <w:szCs w:val="21"/>
                      <w:lang w:bidi="ar"/>
                    </w:rPr>
                    <w:t>预处理后</w:t>
                  </w:r>
                </w:p>
              </w:tc>
              <w:tc>
                <w:tcPr>
                  <w:tcW w:w="625" w:type="pct"/>
                  <w:tcBorders>
                    <w:top w:val="nil"/>
                    <w:left w:val="nil"/>
                    <w:bottom w:val="single" w:color="000000" w:sz="8" w:space="0"/>
                    <w:right w:val="single" w:color="000000" w:sz="8" w:space="0"/>
                  </w:tcBorders>
                  <w:shd w:val="clear" w:color="auto" w:fill="auto"/>
                  <w:vAlign w:val="center"/>
                </w:tcPr>
                <w:p w14:paraId="7CD67DAA">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Cs w:val="21"/>
                    </w:rPr>
                  </w:pPr>
                  <w:r>
                    <w:rPr>
                      <w:rFonts w:hint="eastAsia" w:ascii="宋体" w:hAnsi="宋体" w:cs="宋体"/>
                      <w:color w:val="auto"/>
                      <w:kern w:val="0"/>
                      <w:szCs w:val="21"/>
                      <w:lang w:bidi="ar"/>
                    </w:rPr>
                    <w:t>浓度（</w:t>
                  </w:r>
                  <w:r>
                    <w:rPr>
                      <w:rFonts w:hint="default"/>
                      <w:color w:val="auto"/>
                      <w:kern w:val="0"/>
                      <w:szCs w:val="21"/>
                      <w:lang w:bidi="ar"/>
                    </w:rPr>
                    <w:t>mg/L</w:t>
                  </w:r>
                  <w:r>
                    <w:rPr>
                      <w:rFonts w:hint="eastAsia" w:ascii="宋体" w:hAnsi="宋体" w:cs="宋体"/>
                      <w:color w:val="auto"/>
                      <w:kern w:val="0"/>
                      <w:szCs w:val="21"/>
                      <w:lang w:bidi="ar"/>
                    </w:rPr>
                    <w:t>）</w:t>
                  </w:r>
                </w:p>
              </w:tc>
              <w:tc>
                <w:tcPr>
                  <w:tcW w:w="625" w:type="pct"/>
                  <w:vMerge w:val="continue"/>
                  <w:tcBorders>
                    <w:top w:val="nil"/>
                    <w:left w:val="nil"/>
                    <w:bottom w:val="single" w:color="000000" w:sz="8" w:space="0"/>
                    <w:right w:val="single" w:color="000000" w:sz="8" w:space="0"/>
                  </w:tcBorders>
                  <w:shd w:val="clear" w:color="auto" w:fill="auto"/>
                  <w:vAlign w:val="center"/>
                </w:tcPr>
                <w:p w14:paraId="7DE3C347">
                  <w:pPr>
                    <w:keepNext w:val="0"/>
                    <w:keepLines w:val="0"/>
                    <w:suppressLineNumbers w:val="0"/>
                    <w:spacing w:before="0" w:beforeAutospacing="0" w:after="0" w:afterAutospacing="0"/>
                    <w:ind w:left="0" w:right="0"/>
                    <w:jc w:val="center"/>
                    <w:rPr>
                      <w:rFonts w:hint="default"/>
                      <w:color w:val="auto"/>
                      <w:szCs w:val="21"/>
                    </w:rPr>
                  </w:pPr>
                </w:p>
              </w:tc>
              <w:tc>
                <w:tcPr>
                  <w:tcW w:w="625" w:type="pct"/>
                  <w:tcBorders>
                    <w:top w:val="nil"/>
                    <w:left w:val="nil"/>
                    <w:bottom w:val="single" w:color="000000" w:sz="8" w:space="0"/>
                    <w:right w:val="single" w:color="000000" w:sz="8" w:space="0"/>
                  </w:tcBorders>
                  <w:shd w:val="clear" w:color="auto" w:fill="auto"/>
                  <w:vAlign w:val="center"/>
                </w:tcPr>
                <w:p w14:paraId="01AE869E">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color w:val="auto"/>
                      <w:kern w:val="0"/>
                      <w:szCs w:val="21"/>
                      <w:lang w:bidi="ar"/>
                    </w:rPr>
                    <w:t>353</w:t>
                  </w:r>
                </w:p>
              </w:tc>
              <w:tc>
                <w:tcPr>
                  <w:tcW w:w="625" w:type="pct"/>
                  <w:tcBorders>
                    <w:top w:val="nil"/>
                    <w:left w:val="nil"/>
                    <w:bottom w:val="single" w:color="000000" w:sz="8" w:space="0"/>
                    <w:right w:val="single" w:color="000000" w:sz="8" w:space="0"/>
                  </w:tcBorders>
                  <w:shd w:val="clear" w:color="auto" w:fill="auto"/>
                  <w:vAlign w:val="center"/>
                </w:tcPr>
                <w:p w14:paraId="1AD4EA75">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color w:val="auto"/>
                      <w:kern w:val="0"/>
                      <w:szCs w:val="21"/>
                      <w:lang w:bidi="ar"/>
                    </w:rPr>
                    <w:t>25</w:t>
                  </w:r>
                </w:p>
              </w:tc>
              <w:tc>
                <w:tcPr>
                  <w:tcW w:w="625" w:type="pct"/>
                  <w:tcBorders>
                    <w:top w:val="nil"/>
                    <w:left w:val="nil"/>
                    <w:bottom w:val="single" w:color="000000" w:sz="8" w:space="0"/>
                    <w:right w:val="single" w:color="000000" w:sz="8" w:space="0"/>
                  </w:tcBorders>
                  <w:shd w:val="clear" w:color="auto" w:fill="auto"/>
                  <w:vAlign w:val="center"/>
                </w:tcPr>
                <w:p w14:paraId="154DE59B">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color w:val="auto"/>
                      <w:kern w:val="0"/>
                      <w:szCs w:val="21"/>
                      <w:lang w:bidi="ar"/>
                    </w:rPr>
                    <w:t>163</w:t>
                  </w:r>
                </w:p>
              </w:tc>
              <w:tc>
                <w:tcPr>
                  <w:tcW w:w="625" w:type="pct"/>
                  <w:tcBorders>
                    <w:top w:val="nil"/>
                    <w:left w:val="nil"/>
                    <w:bottom w:val="single" w:color="000000" w:sz="8" w:space="0"/>
                    <w:right w:val="single" w:color="000000" w:sz="8" w:space="0"/>
                  </w:tcBorders>
                  <w:shd w:val="clear" w:color="auto" w:fill="auto"/>
                  <w:vAlign w:val="center"/>
                </w:tcPr>
                <w:p w14:paraId="196BB5B4">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color w:val="auto"/>
                      <w:kern w:val="0"/>
                      <w:szCs w:val="21"/>
                      <w:lang w:bidi="ar"/>
                    </w:rPr>
                    <w:t>4.7</w:t>
                  </w:r>
                </w:p>
              </w:tc>
              <w:tc>
                <w:tcPr>
                  <w:tcW w:w="625" w:type="pct"/>
                  <w:tcBorders>
                    <w:top w:val="nil"/>
                    <w:left w:val="nil"/>
                    <w:bottom w:val="single" w:color="000000" w:sz="8" w:space="0"/>
                    <w:right w:val="nil"/>
                  </w:tcBorders>
                  <w:shd w:val="clear" w:color="auto" w:fill="auto"/>
                  <w:vAlign w:val="center"/>
                </w:tcPr>
                <w:p w14:paraId="4DC7964D">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color w:val="auto"/>
                      <w:kern w:val="0"/>
                      <w:szCs w:val="21"/>
                      <w:lang w:bidi="ar"/>
                    </w:rPr>
                    <w:t>150</w:t>
                  </w:r>
                </w:p>
              </w:tc>
            </w:tr>
            <w:tr w14:paraId="72B2CEB3">
              <w:tblPrEx>
                <w:tblCellMar>
                  <w:top w:w="0" w:type="dxa"/>
                  <w:left w:w="108" w:type="dxa"/>
                  <w:bottom w:w="0" w:type="dxa"/>
                  <w:right w:w="108" w:type="dxa"/>
                </w:tblCellMar>
              </w:tblPrEx>
              <w:trPr>
                <w:trHeight w:val="525" w:hRule="atLeast"/>
              </w:trPr>
              <w:tc>
                <w:tcPr>
                  <w:tcW w:w="623" w:type="pct"/>
                  <w:vMerge w:val="continue"/>
                  <w:tcBorders>
                    <w:top w:val="nil"/>
                    <w:left w:val="nil"/>
                    <w:bottom w:val="single" w:color="000000" w:sz="8" w:space="0"/>
                    <w:right w:val="single" w:color="000000" w:sz="8" w:space="0"/>
                  </w:tcBorders>
                  <w:shd w:val="clear" w:color="auto" w:fill="auto"/>
                  <w:vAlign w:val="center"/>
                </w:tcPr>
                <w:p w14:paraId="6B454274">
                  <w:pPr>
                    <w:keepNext w:val="0"/>
                    <w:keepLines w:val="0"/>
                    <w:suppressLineNumbers w:val="0"/>
                    <w:spacing w:before="0" w:beforeAutospacing="0" w:after="0" w:afterAutospacing="0"/>
                    <w:ind w:left="0" w:right="0"/>
                    <w:jc w:val="center"/>
                    <w:rPr>
                      <w:rFonts w:hint="default" w:ascii="宋体" w:hAnsi="宋体" w:cs="宋体"/>
                      <w:color w:val="auto"/>
                      <w:szCs w:val="21"/>
                    </w:rPr>
                  </w:pPr>
                </w:p>
              </w:tc>
              <w:tc>
                <w:tcPr>
                  <w:tcW w:w="625" w:type="pct"/>
                  <w:tcBorders>
                    <w:top w:val="nil"/>
                    <w:left w:val="nil"/>
                    <w:bottom w:val="single" w:color="000000" w:sz="8" w:space="0"/>
                    <w:right w:val="single" w:color="000000" w:sz="8" w:space="0"/>
                  </w:tcBorders>
                  <w:shd w:val="clear" w:color="auto" w:fill="auto"/>
                  <w:vAlign w:val="center"/>
                </w:tcPr>
                <w:p w14:paraId="7054422E">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Cs w:val="21"/>
                    </w:rPr>
                  </w:pPr>
                  <w:r>
                    <w:rPr>
                      <w:rFonts w:hint="eastAsia" w:ascii="宋体" w:hAnsi="宋体" w:cs="宋体"/>
                      <w:color w:val="auto"/>
                      <w:kern w:val="0"/>
                      <w:szCs w:val="21"/>
                      <w:lang w:bidi="ar"/>
                    </w:rPr>
                    <w:t>排放量（</w:t>
                  </w:r>
                  <w:r>
                    <w:rPr>
                      <w:rFonts w:hint="default"/>
                      <w:color w:val="auto"/>
                      <w:kern w:val="0"/>
                      <w:szCs w:val="21"/>
                      <w:lang w:bidi="ar"/>
                    </w:rPr>
                    <w:t>t/a</w:t>
                  </w:r>
                  <w:r>
                    <w:rPr>
                      <w:rFonts w:hint="eastAsia" w:ascii="宋体" w:hAnsi="宋体" w:cs="宋体"/>
                      <w:color w:val="auto"/>
                      <w:kern w:val="0"/>
                      <w:szCs w:val="21"/>
                      <w:lang w:bidi="ar"/>
                    </w:rPr>
                    <w:t>）</w:t>
                  </w:r>
                </w:p>
              </w:tc>
              <w:tc>
                <w:tcPr>
                  <w:tcW w:w="625" w:type="pct"/>
                  <w:vMerge w:val="continue"/>
                  <w:tcBorders>
                    <w:top w:val="nil"/>
                    <w:left w:val="nil"/>
                    <w:bottom w:val="single" w:color="000000" w:sz="8" w:space="0"/>
                    <w:right w:val="single" w:color="000000" w:sz="8" w:space="0"/>
                  </w:tcBorders>
                  <w:shd w:val="clear" w:color="auto" w:fill="auto"/>
                  <w:vAlign w:val="center"/>
                </w:tcPr>
                <w:p w14:paraId="5B5CA9A4">
                  <w:pPr>
                    <w:keepNext w:val="0"/>
                    <w:keepLines w:val="0"/>
                    <w:suppressLineNumbers w:val="0"/>
                    <w:spacing w:before="0" w:beforeAutospacing="0" w:after="0" w:afterAutospacing="0"/>
                    <w:ind w:left="0" w:right="0"/>
                    <w:jc w:val="center"/>
                    <w:rPr>
                      <w:rFonts w:hint="default"/>
                      <w:color w:val="auto"/>
                      <w:szCs w:val="21"/>
                    </w:rPr>
                  </w:pPr>
                </w:p>
              </w:tc>
              <w:tc>
                <w:tcPr>
                  <w:tcW w:w="1001" w:type="dxa"/>
                  <w:tcBorders>
                    <w:top w:val="nil"/>
                    <w:left w:val="nil"/>
                    <w:bottom w:val="single" w:color="000000" w:sz="8" w:space="0"/>
                    <w:right w:val="single" w:color="000000" w:sz="8" w:space="0"/>
                  </w:tcBorders>
                  <w:shd w:val="clear" w:color="auto" w:fill="auto"/>
                  <w:vAlign w:val="center"/>
                </w:tcPr>
                <w:p w14:paraId="40EEB3AA">
                  <w:pPr>
                    <w:keepNext w:val="0"/>
                    <w:keepLines w:val="0"/>
                    <w:widowControl/>
                    <w:suppressLineNumbers w:val="0"/>
                    <w:spacing w:before="0" w:beforeAutospacing="0" w:after="0" w:afterAutospacing="0"/>
                    <w:ind w:left="0" w:right="0"/>
                    <w:jc w:val="center"/>
                    <w:textAlignment w:val="center"/>
                    <w:rPr>
                      <w:rFonts w:hint="default"/>
                      <w:color w:val="auto"/>
                      <w:sz w:val="22"/>
                      <w:szCs w:val="22"/>
                    </w:rPr>
                  </w:pPr>
                  <w:r>
                    <w:rPr>
                      <w:rFonts w:hint="default" w:ascii="Times New Roman" w:hAnsi="Times New Roman" w:eastAsia="宋体" w:cs="Times New Roman"/>
                      <w:i w:val="0"/>
                      <w:iCs w:val="0"/>
                      <w:color w:val="auto"/>
                      <w:kern w:val="0"/>
                      <w:sz w:val="22"/>
                      <w:szCs w:val="22"/>
                      <w:u w:val="none"/>
                      <w:lang w:val="en-US" w:eastAsia="zh-CN" w:bidi="ar"/>
                    </w:rPr>
                    <w:t xml:space="preserve">0.0180 </w:t>
                  </w:r>
                </w:p>
              </w:tc>
              <w:tc>
                <w:tcPr>
                  <w:tcW w:w="1000" w:type="dxa"/>
                  <w:tcBorders>
                    <w:top w:val="nil"/>
                    <w:left w:val="nil"/>
                    <w:bottom w:val="single" w:color="000000" w:sz="8" w:space="0"/>
                    <w:right w:val="single" w:color="000000" w:sz="8" w:space="0"/>
                  </w:tcBorders>
                  <w:shd w:val="clear" w:color="auto" w:fill="auto"/>
                  <w:vAlign w:val="center"/>
                </w:tcPr>
                <w:p w14:paraId="48D6E79C">
                  <w:pPr>
                    <w:keepNext w:val="0"/>
                    <w:keepLines w:val="0"/>
                    <w:widowControl/>
                    <w:suppressLineNumbers w:val="0"/>
                    <w:spacing w:before="0" w:beforeAutospacing="0" w:after="0" w:afterAutospacing="0"/>
                    <w:ind w:left="0" w:right="0"/>
                    <w:jc w:val="center"/>
                    <w:textAlignment w:val="center"/>
                    <w:rPr>
                      <w:rFonts w:hint="default"/>
                      <w:color w:val="auto"/>
                      <w:sz w:val="22"/>
                      <w:szCs w:val="22"/>
                    </w:rPr>
                  </w:pPr>
                  <w:r>
                    <w:rPr>
                      <w:rFonts w:hint="default" w:ascii="Times New Roman" w:hAnsi="Times New Roman" w:eastAsia="宋体" w:cs="Times New Roman"/>
                      <w:i w:val="0"/>
                      <w:iCs w:val="0"/>
                      <w:color w:val="auto"/>
                      <w:kern w:val="0"/>
                      <w:sz w:val="22"/>
                      <w:szCs w:val="22"/>
                      <w:u w:val="none"/>
                      <w:lang w:val="en-US" w:eastAsia="zh-CN" w:bidi="ar"/>
                    </w:rPr>
                    <w:t xml:space="preserve">0.0013 </w:t>
                  </w:r>
                </w:p>
              </w:tc>
              <w:tc>
                <w:tcPr>
                  <w:tcW w:w="1000" w:type="dxa"/>
                  <w:tcBorders>
                    <w:top w:val="nil"/>
                    <w:left w:val="nil"/>
                    <w:bottom w:val="single" w:color="000000" w:sz="8" w:space="0"/>
                    <w:right w:val="single" w:color="000000" w:sz="8" w:space="0"/>
                  </w:tcBorders>
                  <w:shd w:val="clear" w:color="auto" w:fill="auto"/>
                  <w:vAlign w:val="center"/>
                </w:tcPr>
                <w:p w14:paraId="296BD18E">
                  <w:pPr>
                    <w:keepNext w:val="0"/>
                    <w:keepLines w:val="0"/>
                    <w:widowControl/>
                    <w:suppressLineNumbers w:val="0"/>
                    <w:spacing w:before="0" w:beforeAutospacing="0" w:after="0" w:afterAutospacing="0"/>
                    <w:ind w:left="0" w:right="0"/>
                    <w:jc w:val="center"/>
                    <w:textAlignment w:val="center"/>
                    <w:rPr>
                      <w:rFonts w:hint="default"/>
                      <w:color w:val="auto"/>
                      <w:sz w:val="22"/>
                      <w:szCs w:val="22"/>
                    </w:rPr>
                  </w:pPr>
                  <w:r>
                    <w:rPr>
                      <w:rFonts w:hint="default" w:ascii="Times New Roman" w:hAnsi="Times New Roman" w:eastAsia="宋体" w:cs="Times New Roman"/>
                      <w:i w:val="0"/>
                      <w:iCs w:val="0"/>
                      <w:color w:val="auto"/>
                      <w:kern w:val="0"/>
                      <w:sz w:val="22"/>
                      <w:szCs w:val="22"/>
                      <w:u w:val="none"/>
                      <w:lang w:val="en-US" w:eastAsia="zh-CN" w:bidi="ar"/>
                    </w:rPr>
                    <w:t xml:space="preserve">0.0083 </w:t>
                  </w:r>
                </w:p>
              </w:tc>
              <w:tc>
                <w:tcPr>
                  <w:tcW w:w="1000" w:type="dxa"/>
                  <w:tcBorders>
                    <w:top w:val="nil"/>
                    <w:left w:val="nil"/>
                    <w:bottom w:val="single" w:color="000000" w:sz="8" w:space="0"/>
                    <w:right w:val="single" w:color="000000" w:sz="8" w:space="0"/>
                  </w:tcBorders>
                  <w:shd w:val="clear" w:color="auto" w:fill="auto"/>
                  <w:vAlign w:val="center"/>
                </w:tcPr>
                <w:p w14:paraId="6356552E">
                  <w:pPr>
                    <w:keepNext w:val="0"/>
                    <w:keepLines w:val="0"/>
                    <w:widowControl/>
                    <w:suppressLineNumbers w:val="0"/>
                    <w:spacing w:before="0" w:beforeAutospacing="0" w:after="0" w:afterAutospacing="0"/>
                    <w:ind w:left="0" w:right="0"/>
                    <w:jc w:val="center"/>
                    <w:textAlignment w:val="center"/>
                    <w:rPr>
                      <w:rFonts w:hint="default"/>
                      <w:color w:val="auto"/>
                      <w:sz w:val="22"/>
                      <w:szCs w:val="22"/>
                    </w:rPr>
                  </w:pPr>
                  <w:r>
                    <w:rPr>
                      <w:rFonts w:hint="default" w:ascii="Times New Roman" w:hAnsi="Times New Roman" w:eastAsia="宋体" w:cs="Times New Roman"/>
                      <w:i w:val="0"/>
                      <w:iCs w:val="0"/>
                      <w:color w:val="auto"/>
                      <w:kern w:val="0"/>
                      <w:sz w:val="22"/>
                      <w:szCs w:val="22"/>
                      <w:u w:val="none"/>
                      <w:lang w:val="en-US" w:eastAsia="zh-CN" w:bidi="ar"/>
                    </w:rPr>
                    <w:t xml:space="preserve">0.0002 </w:t>
                  </w:r>
                </w:p>
              </w:tc>
              <w:tc>
                <w:tcPr>
                  <w:tcW w:w="1000" w:type="dxa"/>
                  <w:tcBorders>
                    <w:top w:val="nil"/>
                    <w:left w:val="nil"/>
                    <w:bottom w:val="single" w:color="000000" w:sz="8" w:space="0"/>
                    <w:right w:val="single" w:color="000000" w:sz="8" w:space="0"/>
                  </w:tcBorders>
                  <w:shd w:val="clear" w:color="auto" w:fill="auto"/>
                  <w:vAlign w:val="center"/>
                </w:tcPr>
                <w:p w14:paraId="1ECBE6CB">
                  <w:pPr>
                    <w:keepNext w:val="0"/>
                    <w:keepLines w:val="0"/>
                    <w:widowControl/>
                    <w:suppressLineNumbers w:val="0"/>
                    <w:spacing w:before="0" w:beforeAutospacing="0" w:after="0" w:afterAutospacing="0"/>
                    <w:ind w:left="0" w:right="0"/>
                    <w:jc w:val="center"/>
                    <w:textAlignment w:val="center"/>
                    <w:rPr>
                      <w:rFonts w:hint="default"/>
                      <w:color w:val="auto"/>
                      <w:sz w:val="22"/>
                      <w:szCs w:val="22"/>
                    </w:rPr>
                  </w:pPr>
                  <w:r>
                    <w:rPr>
                      <w:rFonts w:hint="default" w:ascii="Times New Roman" w:hAnsi="Times New Roman" w:eastAsia="宋体" w:cs="Times New Roman"/>
                      <w:i w:val="0"/>
                      <w:iCs w:val="0"/>
                      <w:color w:val="auto"/>
                      <w:kern w:val="0"/>
                      <w:sz w:val="22"/>
                      <w:szCs w:val="22"/>
                      <w:u w:val="none"/>
                      <w:lang w:val="en-US" w:eastAsia="zh-CN" w:bidi="ar"/>
                    </w:rPr>
                    <w:t xml:space="preserve">0.0077 </w:t>
                  </w:r>
                </w:p>
              </w:tc>
            </w:tr>
            <w:tr w14:paraId="6A22A72C">
              <w:tblPrEx>
                <w:tblCellMar>
                  <w:top w:w="0" w:type="dxa"/>
                  <w:left w:w="108" w:type="dxa"/>
                  <w:bottom w:w="0" w:type="dxa"/>
                  <w:right w:w="108" w:type="dxa"/>
                </w:tblCellMar>
              </w:tblPrEx>
              <w:trPr>
                <w:trHeight w:val="555" w:hRule="atLeast"/>
              </w:trPr>
              <w:tc>
                <w:tcPr>
                  <w:tcW w:w="623" w:type="pct"/>
                  <w:vMerge w:val="restart"/>
                  <w:tcBorders>
                    <w:top w:val="nil"/>
                    <w:left w:val="nil"/>
                    <w:bottom w:val="single" w:color="000000" w:sz="8" w:space="0"/>
                    <w:right w:val="single" w:color="000000" w:sz="8" w:space="0"/>
                  </w:tcBorders>
                  <w:shd w:val="clear" w:color="auto" w:fill="auto"/>
                  <w:vAlign w:val="center"/>
                </w:tcPr>
                <w:p w14:paraId="0EDDEEB2">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Cs w:val="21"/>
                    </w:rPr>
                  </w:pPr>
                  <w:r>
                    <w:rPr>
                      <w:rFonts w:hint="eastAsia" w:ascii="宋体" w:hAnsi="宋体" w:cs="宋体"/>
                      <w:color w:val="auto"/>
                      <w:kern w:val="0"/>
                      <w:szCs w:val="21"/>
                      <w:lang w:bidi="ar"/>
                    </w:rPr>
                    <w:t>污水处理</w:t>
                  </w:r>
                  <w:r>
                    <w:rPr>
                      <w:rFonts w:hint="eastAsia" w:ascii="宋体" w:hAnsi="宋体" w:cs="宋体"/>
                      <w:color w:val="auto"/>
                      <w:kern w:val="0"/>
                      <w:szCs w:val="21"/>
                      <w:lang w:val="en-US" w:eastAsia="zh-CN" w:bidi="ar"/>
                    </w:rPr>
                    <w:t>站</w:t>
                  </w:r>
                  <w:r>
                    <w:rPr>
                      <w:rFonts w:hint="eastAsia" w:ascii="宋体" w:hAnsi="宋体" w:cs="宋体"/>
                      <w:color w:val="auto"/>
                      <w:kern w:val="0"/>
                      <w:szCs w:val="21"/>
                      <w:lang w:bidi="ar"/>
                    </w:rPr>
                    <w:t>处理后</w:t>
                  </w:r>
                </w:p>
              </w:tc>
              <w:tc>
                <w:tcPr>
                  <w:tcW w:w="625" w:type="pct"/>
                  <w:tcBorders>
                    <w:top w:val="nil"/>
                    <w:left w:val="nil"/>
                    <w:bottom w:val="single" w:color="000000" w:sz="8" w:space="0"/>
                    <w:right w:val="single" w:color="000000" w:sz="8" w:space="0"/>
                  </w:tcBorders>
                  <w:shd w:val="clear" w:color="auto" w:fill="auto"/>
                  <w:vAlign w:val="center"/>
                </w:tcPr>
                <w:p w14:paraId="1BE225F6">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Cs w:val="21"/>
                    </w:rPr>
                  </w:pPr>
                  <w:r>
                    <w:rPr>
                      <w:rFonts w:hint="eastAsia" w:ascii="宋体" w:hAnsi="宋体" w:cs="宋体"/>
                      <w:color w:val="auto"/>
                      <w:kern w:val="0"/>
                      <w:szCs w:val="21"/>
                      <w:lang w:bidi="ar"/>
                    </w:rPr>
                    <w:t>浓度（</w:t>
                  </w:r>
                  <w:r>
                    <w:rPr>
                      <w:rFonts w:hint="default"/>
                      <w:color w:val="auto"/>
                      <w:kern w:val="0"/>
                      <w:szCs w:val="21"/>
                      <w:lang w:bidi="ar"/>
                    </w:rPr>
                    <w:t>mg/L</w:t>
                  </w:r>
                  <w:r>
                    <w:rPr>
                      <w:rFonts w:hint="eastAsia" w:ascii="宋体" w:hAnsi="宋体" w:cs="宋体"/>
                      <w:color w:val="auto"/>
                      <w:kern w:val="0"/>
                      <w:szCs w:val="21"/>
                      <w:lang w:bidi="ar"/>
                    </w:rPr>
                    <w:t>）</w:t>
                  </w:r>
                </w:p>
              </w:tc>
              <w:tc>
                <w:tcPr>
                  <w:tcW w:w="625" w:type="pct"/>
                  <w:vMerge w:val="restart"/>
                  <w:tcBorders>
                    <w:top w:val="nil"/>
                    <w:left w:val="nil"/>
                    <w:bottom w:val="single" w:color="000000" w:sz="8" w:space="0"/>
                    <w:right w:val="single" w:color="000000" w:sz="8" w:space="0"/>
                  </w:tcBorders>
                  <w:shd w:val="clear" w:color="auto" w:fill="auto"/>
                  <w:vAlign w:val="center"/>
                </w:tcPr>
                <w:p w14:paraId="4F0BD338">
                  <w:pPr>
                    <w:keepNext w:val="0"/>
                    <w:keepLines w:val="0"/>
                    <w:widowControl/>
                    <w:suppressLineNumbers w:val="0"/>
                    <w:spacing w:before="0" w:beforeAutospacing="0" w:after="0" w:afterAutospacing="0"/>
                    <w:ind w:left="0" w:right="0"/>
                    <w:jc w:val="center"/>
                    <w:textAlignment w:val="center"/>
                    <w:rPr>
                      <w:rFonts w:hint="default" w:eastAsia="宋体"/>
                      <w:color w:val="auto"/>
                      <w:szCs w:val="21"/>
                      <w:lang w:val="en-US" w:eastAsia="zh-CN"/>
                    </w:rPr>
                  </w:pPr>
                  <w:r>
                    <w:rPr>
                      <w:rFonts w:hint="eastAsia"/>
                      <w:color w:val="auto"/>
                      <w:kern w:val="0"/>
                      <w:szCs w:val="21"/>
                      <w:lang w:val="en-US" w:eastAsia="zh-CN" w:bidi="ar"/>
                    </w:rPr>
                    <w:t>51</w:t>
                  </w:r>
                </w:p>
              </w:tc>
              <w:tc>
                <w:tcPr>
                  <w:tcW w:w="625" w:type="pct"/>
                  <w:tcBorders>
                    <w:top w:val="nil"/>
                    <w:left w:val="nil"/>
                    <w:bottom w:val="single" w:color="000000" w:sz="8" w:space="0"/>
                    <w:right w:val="single" w:color="000000" w:sz="8" w:space="0"/>
                  </w:tcBorders>
                  <w:shd w:val="clear" w:color="auto" w:fill="auto"/>
                  <w:vAlign w:val="center"/>
                </w:tcPr>
                <w:p w14:paraId="37F5FE62">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color w:val="auto"/>
                      <w:kern w:val="0"/>
                      <w:szCs w:val="21"/>
                      <w:lang w:bidi="ar"/>
                    </w:rPr>
                    <w:t>50</w:t>
                  </w:r>
                </w:p>
              </w:tc>
              <w:tc>
                <w:tcPr>
                  <w:tcW w:w="625" w:type="pct"/>
                  <w:tcBorders>
                    <w:top w:val="nil"/>
                    <w:left w:val="nil"/>
                    <w:bottom w:val="single" w:color="000000" w:sz="8" w:space="0"/>
                    <w:right w:val="single" w:color="000000" w:sz="8" w:space="0"/>
                  </w:tcBorders>
                  <w:shd w:val="clear" w:color="auto" w:fill="auto"/>
                  <w:vAlign w:val="center"/>
                </w:tcPr>
                <w:p w14:paraId="63BD7E3F">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color w:val="auto"/>
                      <w:kern w:val="0"/>
                      <w:szCs w:val="21"/>
                      <w:lang w:bidi="ar"/>
                    </w:rPr>
                    <w:t>5</w:t>
                  </w:r>
                </w:p>
              </w:tc>
              <w:tc>
                <w:tcPr>
                  <w:tcW w:w="625" w:type="pct"/>
                  <w:tcBorders>
                    <w:top w:val="nil"/>
                    <w:left w:val="nil"/>
                    <w:bottom w:val="single" w:color="000000" w:sz="8" w:space="0"/>
                    <w:right w:val="single" w:color="000000" w:sz="8" w:space="0"/>
                  </w:tcBorders>
                  <w:shd w:val="clear" w:color="auto" w:fill="auto"/>
                  <w:vAlign w:val="center"/>
                </w:tcPr>
                <w:p w14:paraId="6B0477D5">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color w:val="auto"/>
                      <w:kern w:val="0"/>
                      <w:szCs w:val="21"/>
                      <w:lang w:bidi="ar"/>
                    </w:rPr>
                    <w:t>10</w:t>
                  </w:r>
                </w:p>
              </w:tc>
              <w:tc>
                <w:tcPr>
                  <w:tcW w:w="625" w:type="pct"/>
                  <w:tcBorders>
                    <w:top w:val="nil"/>
                    <w:left w:val="nil"/>
                    <w:bottom w:val="single" w:color="000000" w:sz="8" w:space="0"/>
                    <w:right w:val="single" w:color="000000" w:sz="8" w:space="0"/>
                  </w:tcBorders>
                  <w:shd w:val="clear" w:color="auto" w:fill="auto"/>
                  <w:vAlign w:val="center"/>
                </w:tcPr>
                <w:p w14:paraId="4F53D409">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color w:val="auto"/>
                      <w:kern w:val="0"/>
                      <w:szCs w:val="21"/>
                      <w:lang w:bidi="ar"/>
                    </w:rPr>
                    <w:t>0.5</w:t>
                  </w:r>
                </w:p>
              </w:tc>
              <w:tc>
                <w:tcPr>
                  <w:tcW w:w="625" w:type="pct"/>
                  <w:tcBorders>
                    <w:top w:val="nil"/>
                    <w:left w:val="nil"/>
                    <w:bottom w:val="single" w:color="000000" w:sz="8" w:space="0"/>
                    <w:right w:val="nil"/>
                  </w:tcBorders>
                  <w:shd w:val="clear" w:color="auto" w:fill="auto"/>
                  <w:vAlign w:val="center"/>
                </w:tcPr>
                <w:p w14:paraId="75507310">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color w:val="auto"/>
                      <w:kern w:val="0"/>
                      <w:szCs w:val="21"/>
                      <w:lang w:bidi="ar"/>
                    </w:rPr>
                    <w:t>10</w:t>
                  </w:r>
                </w:p>
              </w:tc>
            </w:tr>
            <w:tr w14:paraId="10180D0E">
              <w:tblPrEx>
                <w:tblCellMar>
                  <w:top w:w="0" w:type="dxa"/>
                  <w:left w:w="108" w:type="dxa"/>
                  <w:bottom w:w="0" w:type="dxa"/>
                  <w:right w:w="108" w:type="dxa"/>
                </w:tblCellMar>
              </w:tblPrEx>
              <w:trPr>
                <w:trHeight w:val="525" w:hRule="atLeast"/>
              </w:trPr>
              <w:tc>
                <w:tcPr>
                  <w:tcW w:w="623" w:type="pct"/>
                  <w:vMerge w:val="continue"/>
                  <w:tcBorders>
                    <w:top w:val="nil"/>
                    <w:left w:val="nil"/>
                    <w:bottom w:val="single" w:color="000000" w:sz="8" w:space="0"/>
                    <w:right w:val="single" w:color="000000" w:sz="8" w:space="0"/>
                  </w:tcBorders>
                  <w:shd w:val="clear" w:color="auto" w:fill="auto"/>
                  <w:vAlign w:val="center"/>
                </w:tcPr>
                <w:p w14:paraId="57D10810">
                  <w:pPr>
                    <w:keepNext w:val="0"/>
                    <w:keepLines w:val="0"/>
                    <w:suppressLineNumbers w:val="0"/>
                    <w:spacing w:before="0" w:beforeAutospacing="0" w:after="0" w:afterAutospacing="0"/>
                    <w:ind w:left="0" w:right="0"/>
                    <w:jc w:val="center"/>
                    <w:rPr>
                      <w:rFonts w:hint="default" w:ascii="宋体" w:hAnsi="宋体" w:cs="宋体"/>
                      <w:color w:val="auto"/>
                      <w:szCs w:val="21"/>
                    </w:rPr>
                  </w:pPr>
                </w:p>
              </w:tc>
              <w:tc>
                <w:tcPr>
                  <w:tcW w:w="625" w:type="pct"/>
                  <w:tcBorders>
                    <w:top w:val="nil"/>
                    <w:left w:val="nil"/>
                    <w:bottom w:val="single" w:color="000000" w:sz="8" w:space="0"/>
                    <w:right w:val="single" w:color="000000" w:sz="8" w:space="0"/>
                  </w:tcBorders>
                  <w:shd w:val="clear" w:color="auto" w:fill="auto"/>
                  <w:vAlign w:val="center"/>
                </w:tcPr>
                <w:p w14:paraId="0147251F">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Cs w:val="21"/>
                    </w:rPr>
                  </w:pPr>
                  <w:r>
                    <w:rPr>
                      <w:rFonts w:hint="eastAsia" w:ascii="宋体" w:hAnsi="宋体" w:cs="宋体"/>
                      <w:color w:val="auto"/>
                      <w:kern w:val="0"/>
                      <w:szCs w:val="21"/>
                      <w:lang w:bidi="ar"/>
                    </w:rPr>
                    <w:t>排放量（</w:t>
                  </w:r>
                  <w:r>
                    <w:rPr>
                      <w:rFonts w:hint="default"/>
                      <w:color w:val="auto"/>
                      <w:kern w:val="0"/>
                      <w:szCs w:val="21"/>
                      <w:lang w:bidi="ar"/>
                    </w:rPr>
                    <w:t>t/a</w:t>
                  </w:r>
                  <w:r>
                    <w:rPr>
                      <w:rFonts w:hint="eastAsia" w:ascii="宋体" w:hAnsi="宋体" w:cs="宋体"/>
                      <w:color w:val="auto"/>
                      <w:kern w:val="0"/>
                      <w:szCs w:val="21"/>
                      <w:lang w:bidi="ar"/>
                    </w:rPr>
                    <w:t>）</w:t>
                  </w:r>
                </w:p>
              </w:tc>
              <w:tc>
                <w:tcPr>
                  <w:tcW w:w="625" w:type="pct"/>
                  <w:vMerge w:val="continue"/>
                  <w:tcBorders>
                    <w:top w:val="nil"/>
                    <w:left w:val="nil"/>
                    <w:bottom w:val="single" w:color="000000" w:sz="8" w:space="0"/>
                    <w:right w:val="single" w:color="000000" w:sz="8" w:space="0"/>
                  </w:tcBorders>
                  <w:shd w:val="clear" w:color="auto" w:fill="auto"/>
                  <w:vAlign w:val="center"/>
                </w:tcPr>
                <w:p w14:paraId="248F0343">
                  <w:pPr>
                    <w:keepNext w:val="0"/>
                    <w:keepLines w:val="0"/>
                    <w:suppressLineNumbers w:val="0"/>
                    <w:spacing w:before="0" w:beforeAutospacing="0" w:after="0" w:afterAutospacing="0"/>
                    <w:ind w:left="0" w:right="0"/>
                    <w:jc w:val="center"/>
                    <w:rPr>
                      <w:rFonts w:hint="default"/>
                      <w:color w:val="auto"/>
                      <w:szCs w:val="21"/>
                    </w:rPr>
                  </w:pPr>
                </w:p>
              </w:tc>
              <w:tc>
                <w:tcPr>
                  <w:tcW w:w="1001" w:type="dxa"/>
                  <w:tcBorders>
                    <w:top w:val="nil"/>
                    <w:left w:val="nil"/>
                    <w:bottom w:val="single" w:color="000000" w:sz="8" w:space="0"/>
                    <w:right w:val="single" w:color="000000" w:sz="8" w:space="0"/>
                  </w:tcBorders>
                  <w:shd w:val="clear" w:color="auto" w:fill="auto"/>
                  <w:vAlign w:val="center"/>
                </w:tcPr>
                <w:p w14:paraId="7DF2BED4">
                  <w:pPr>
                    <w:keepNext w:val="0"/>
                    <w:keepLines w:val="0"/>
                    <w:widowControl/>
                    <w:suppressLineNumbers w:val="0"/>
                    <w:spacing w:before="0" w:beforeAutospacing="0" w:after="0" w:afterAutospacing="0"/>
                    <w:ind w:left="0" w:right="0"/>
                    <w:jc w:val="center"/>
                    <w:textAlignment w:val="center"/>
                    <w:rPr>
                      <w:rFonts w:hint="default"/>
                      <w:color w:val="auto"/>
                      <w:sz w:val="22"/>
                      <w:szCs w:val="22"/>
                    </w:rPr>
                  </w:pPr>
                  <w:r>
                    <w:rPr>
                      <w:rFonts w:hint="default" w:ascii="Times New Roman" w:hAnsi="Times New Roman" w:eastAsia="宋体" w:cs="Times New Roman"/>
                      <w:i w:val="0"/>
                      <w:iCs w:val="0"/>
                      <w:color w:val="auto"/>
                      <w:kern w:val="0"/>
                      <w:sz w:val="22"/>
                      <w:szCs w:val="22"/>
                      <w:u w:val="none"/>
                      <w:lang w:val="en-US" w:eastAsia="zh-CN" w:bidi="ar"/>
                    </w:rPr>
                    <w:t xml:space="preserve">0.0026 </w:t>
                  </w:r>
                </w:p>
              </w:tc>
              <w:tc>
                <w:tcPr>
                  <w:tcW w:w="1000" w:type="dxa"/>
                  <w:tcBorders>
                    <w:top w:val="nil"/>
                    <w:left w:val="nil"/>
                    <w:bottom w:val="single" w:color="000000" w:sz="8" w:space="0"/>
                    <w:right w:val="single" w:color="000000" w:sz="8" w:space="0"/>
                  </w:tcBorders>
                  <w:shd w:val="clear" w:color="auto" w:fill="auto"/>
                  <w:vAlign w:val="center"/>
                </w:tcPr>
                <w:p w14:paraId="18388D9C">
                  <w:pPr>
                    <w:keepNext w:val="0"/>
                    <w:keepLines w:val="0"/>
                    <w:widowControl/>
                    <w:suppressLineNumbers w:val="0"/>
                    <w:spacing w:before="0" w:beforeAutospacing="0" w:after="0" w:afterAutospacing="0"/>
                    <w:ind w:left="0" w:right="0"/>
                    <w:jc w:val="center"/>
                    <w:textAlignment w:val="center"/>
                    <w:rPr>
                      <w:rFonts w:hint="default"/>
                      <w:color w:val="auto"/>
                      <w:sz w:val="22"/>
                      <w:szCs w:val="22"/>
                    </w:rPr>
                  </w:pPr>
                  <w:r>
                    <w:rPr>
                      <w:rFonts w:hint="default" w:ascii="Times New Roman" w:hAnsi="Times New Roman" w:eastAsia="宋体" w:cs="Times New Roman"/>
                      <w:i w:val="0"/>
                      <w:iCs w:val="0"/>
                      <w:color w:val="auto"/>
                      <w:kern w:val="0"/>
                      <w:sz w:val="22"/>
                      <w:szCs w:val="22"/>
                      <w:u w:val="none"/>
                      <w:lang w:val="en-US" w:eastAsia="zh-CN" w:bidi="ar"/>
                    </w:rPr>
                    <w:t xml:space="preserve">0.0003 </w:t>
                  </w:r>
                </w:p>
              </w:tc>
              <w:tc>
                <w:tcPr>
                  <w:tcW w:w="1000" w:type="dxa"/>
                  <w:tcBorders>
                    <w:top w:val="nil"/>
                    <w:left w:val="nil"/>
                    <w:bottom w:val="single" w:color="000000" w:sz="8" w:space="0"/>
                    <w:right w:val="single" w:color="000000" w:sz="8" w:space="0"/>
                  </w:tcBorders>
                  <w:shd w:val="clear" w:color="auto" w:fill="auto"/>
                  <w:vAlign w:val="center"/>
                </w:tcPr>
                <w:p w14:paraId="57EE8E99">
                  <w:pPr>
                    <w:keepNext w:val="0"/>
                    <w:keepLines w:val="0"/>
                    <w:widowControl/>
                    <w:suppressLineNumbers w:val="0"/>
                    <w:spacing w:before="0" w:beforeAutospacing="0" w:after="0" w:afterAutospacing="0"/>
                    <w:ind w:left="0" w:right="0"/>
                    <w:jc w:val="center"/>
                    <w:textAlignment w:val="center"/>
                    <w:rPr>
                      <w:rFonts w:hint="default"/>
                      <w:color w:val="auto"/>
                      <w:sz w:val="22"/>
                      <w:szCs w:val="22"/>
                    </w:rPr>
                  </w:pPr>
                  <w:r>
                    <w:rPr>
                      <w:rFonts w:hint="default" w:ascii="Times New Roman" w:hAnsi="Times New Roman" w:eastAsia="宋体" w:cs="Times New Roman"/>
                      <w:i w:val="0"/>
                      <w:iCs w:val="0"/>
                      <w:color w:val="auto"/>
                      <w:kern w:val="0"/>
                      <w:sz w:val="22"/>
                      <w:szCs w:val="22"/>
                      <w:u w:val="none"/>
                      <w:lang w:val="en-US" w:eastAsia="zh-CN" w:bidi="ar"/>
                    </w:rPr>
                    <w:t xml:space="preserve">0.0005 </w:t>
                  </w:r>
                </w:p>
              </w:tc>
              <w:tc>
                <w:tcPr>
                  <w:tcW w:w="1000" w:type="dxa"/>
                  <w:tcBorders>
                    <w:top w:val="nil"/>
                    <w:left w:val="nil"/>
                    <w:bottom w:val="single" w:color="000000" w:sz="8" w:space="0"/>
                    <w:right w:val="single" w:color="000000" w:sz="8" w:space="0"/>
                  </w:tcBorders>
                  <w:shd w:val="clear" w:color="auto" w:fill="auto"/>
                  <w:vAlign w:val="center"/>
                </w:tcPr>
                <w:p w14:paraId="13B6D94A">
                  <w:pPr>
                    <w:keepNext w:val="0"/>
                    <w:keepLines w:val="0"/>
                    <w:widowControl/>
                    <w:suppressLineNumbers w:val="0"/>
                    <w:spacing w:before="0" w:beforeAutospacing="0" w:after="0" w:afterAutospacing="0"/>
                    <w:ind w:left="0" w:right="0"/>
                    <w:jc w:val="center"/>
                    <w:textAlignment w:val="center"/>
                    <w:rPr>
                      <w:rFonts w:hint="default"/>
                      <w:color w:val="auto"/>
                      <w:sz w:val="22"/>
                      <w:szCs w:val="22"/>
                    </w:rPr>
                  </w:pPr>
                  <w:r>
                    <w:rPr>
                      <w:rFonts w:hint="default" w:ascii="Times New Roman" w:hAnsi="Times New Roman" w:eastAsia="宋体" w:cs="Times New Roman"/>
                      <w:i w:val="0"/>
                      <w:iCs w:val="0"/>
                      <w:color w:val="auto"/>
                      <w:kern w:val="0"/>
                      <w:sz w:val="22"/>
                      <w:szCs w:val="22"/>
                      <w:u w:val="none"/>
                      <w:lang w:val="en-US" w:eastAsia="zh-CN" w:bidi="ar"/>
                    </w:rPr>
                    <w:t>0.000</w:t>
                  </w:r>
                  <w:r>
                    <w:rPr>
                      <w:rFonts w:hint="eastAsia" w:cs="Times New Roman"/>
                      <w:i w:val="0"/>
                      <w:iCs w:val="0"/>
                      <w:color w:val="auto"/>
                      <w:kern w:val="0"/>
                      <w:sz w:val="22"/>
                      <w:szCs w:val="22"/>
                      <w:u w:val="none"/>
                      <w:lang w:val="en-US" w:eastAsia="zh-CN" w:bidi="ar"/>
                    </w:rPr>
                    <w:t>1</w:t>
                  </w:r>
                </w:p>
              </w:tc>
              <w:tc>
                <w:tcPr>
                  <w:tcW w:w="1000" w:type="dxa"/>
                  <w:tcBorders>
                    <w:top w:val="nil"/>
                    <w:left w:val="nil"/>
                    <w:bottom w:val="single" w:color="000000" w:sz="8" w:space="0"/>
                    <w:right w:val="single" w:color="000000" w:sz="8" w:space="0"/>
                  </w:tcBorders>
                  <w:shd w:val="clear" w:color="auto" w:fill="auto"/>
                  <w:vAlign w:val="center"/>
                </w:tcPr>
                <w:p w14:paraId="2E5D6C5E">
                  <w:pPr>
                    <w:keepNext w:val="0"/>
                    <w:keepLines w:val="0"/>
                    <w:widowControl/>
                    <w:suppressLineNumbers w:val="0"/>
                    <w:spacing w:before="0" w:beforeAutospacing="0" w:after="0" w:afterAutospacing="0"/>
                    <w:ind w:left="0" w:right="0"/>
                    <w:jc w:val="center"/>
                    <w:textAlignment w:val="center"/>
                    <w:rPr>
                      <w:rFonts w:hint="default"/>
                      <w:color w:val="auto"/>
                      <w:sz w:val="22"/>
                      <w:szCs w:val="22"/>
                    </w:rPr>
                  </w:pPr>
                  <w:r>
                    <w:rPr>
                      <w:rFonts w:hint="default" w:ascii="Times New Roman" w:hAnsi="Times New Roman" w:eastAsia="宋体" w:cs="Times New Roman"/>
                      <w:i w:val="0"/>
                      <w:iCs w:val="0"/>
                      <w:color w:val="auto"/>
                      <w:kern w:val="0"/>
                      <w:sz w:val="22"/>
                      <w:szCs w:val="22"/>
                      <w:u w:val="none"/>
                      <w:lang w:val="en-US" w:eastAsia="zh-CN" w:bidi="ar"/>
                    </w:rPr>
                    <w:t xml:space="preserve">0.0005 </w:t>
                  </w:r>
                </w:p>
              </w:tc>
            </w:tr>
            <w:tr w14:paraId="3B524DFF">
              <w:tblPrEx>
                <w:tblCellMar>
                  <w:top w:w="0" w:type="dxa"/>
                  <w:left w:w="108" w:type="dxa"/>
                  <w:bottom w:w="0" w:type="dxa"/>
                  <w:right w:w="108" w:type="dxa"/>
                </w:tblCellMar>
              </w:tblPrEx>
              <w:trPr>
                <w:trHeight w:val="300" w:hRule="atLeast"/>
              </w:trPr>
              <w:tc>
                <w:tcPr>
                  <w:tcW w:w="1874" w:type="pct"/>
                  <w:gridSpan w:val="3"/>
                  <w:tcBorders>
                    <w:top w:val="nil"/>
                    <w:left w:val="nil"/>
                    <w:bottom w:val="single" w:color="000000" w:sz="12" w:space="0"/>
                    <w:right w:val="single" w:color="000000" w:sz="8" w:space="0"/>
                  </w:tcBorders>
                  <w:shd w:val="clear" w:color="auto" w:fill="auto"/>
                  <w:vAlign w:val="center"/>
                </w:tcPr>
                <w:p w14:paraId="017C2A9B">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Cs w:val="21"/>
                    </w:rPr>
                  </w:pPr>
                  <w:r>
                    <w:rPr>
                      <w:rFonts w:hint="eastAsia" w:ascii="宋体" w:hAnsi="宋体" w:cs="宋体"/>
                      <w:color w:val="auto"/>
                      <w:kern w:val="0"/>
                      <w:szCs w:val="21"/>
                      <w:lang w:bidi="ar"/>
                    </w:rPr>
                    <w:t>污水处理厂排放限值</w:t>
                  </w:r>
                </w:p>
              </w:tc>
              <w:tc>
                <w:tcPr>
                  <w:tcW w:w="625" w:type="pct"/>
                  <w:tcBorders>
                    <w:top w:val="nil"/>
                    <w:left w:val="nil"/>
                    <w:bottom w:val="single" w:color="000000" w:sz="12" w:space="0"/>
                    <w:right w:val="single" w:color="000000" w:sz="8" w:space="0"/>
                  </w:tcBorders>
                  <w:shd w:val="clear" w:color="auto" w:fill="auto"/>
                  <w:vAlign w:val="center"/>
                </w:tcPr>
                <w:p w14:paraId="2F3D4DA6">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color w:val="auto"/>
                      <w:kern w:val="0"/>
                      <w:szCs w:val="21"/>
                      <w:lang w:bidi="ar"/>
                    </w:rPr>
                    <w:t>50</w:t>
                  </w:r>
                </w:p>
              </w:tc>
              <w:tc>
                <w:tcPr>
                  <w:tcW w:w="625" w:type="pct"/>
                  <w:tcBorders>
                    <w:top w:val="nil"/>
                    <w:left w:val="nil"/>
                    <w:bottom w:val="single" w:color="000000" w:sz="12" w:space="0"/>
                    <w:right w:val="single" w:color="000000" w:sz="8" w:space="0"/>
                  </w:tcBorders>
                  <w:shd w:val="clear" w:color="auto" w:fill="auto"/>
                  <w:vAlign w:val="center"/>
                </w:tcPr>
                <w:p w14:paraId="3A665C62">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color w:val="auto"/>
                      <w:kern w:val="0"/>
                      <w:szCs w:val="21"/>
                      <w:lang w:bidi="ar"/>
                    </w:rPr>
                    <w:t>5</w:t>
                  </w:r>
                </w:p>
              </w:tc>
              <w:tc>
                <w:tcPr>
                  <w:tcW w:w="625" w:type="pct"/>
                  <w:tcBorders>
                    <w:top w:val="nil"/>
                    <w:left w:val="nil"/>
                    <w:bottom w:val="single" w:color="000000" w:sz="12" w:space="0"/>
                    <w:right w:val="single" w:color="000000" w:sz="8" w:space="0"/>
                  </w:tcBorders>
                  <w:shd w:val="clear" w:color="auto" w:fill="auto"/>
                  <w:vAlign w:val="center"/>
                </w:tcPr>
                <w:p w14:paraId="493EC7BE">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color w:val="auto"/>
                      <w:kern w:val="0"/>
                      <w:szCs w:val="21"/>
                      <w:lang w:bidi="ar"/>
                    </w:rPr>
                    <w:t>10</w:t>
                  </w:r>
                </w:p>
              </w:tc>
              <w:tc>
                <w:tcPr>
                  <w:tcW w:w="625" w:type="pct"/>
                  <w:tcBorders>
                    <w:top w:val="nil"/>
                    <w:left w:val="nil"/>
                    <w:bottom w:val="single" w:color="000000" w:sz="12" w:space="0"/>
                    <w:right w:val="single" w:color="000000" w:sz="8" w:space="0"/>
                  </w:tcBorders>
                  <w:shd w:val="clear" w:color="auto" w:fill="auto"/>
                  <w:vAlign w:val="center"/>
                </w:tcPr>
                <w:p w14:paraId="499D1129">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color w:val="auto"/>
                      <w:kern w:val="0"/>
                      <w:szCs w:val="21"/>
                      <w:lang w:bidi="ar"/>
                    </w:rPr>
                    <w:t>0.5</w:t>
                  </w:r>
                </w:p>
              </w:tc>
              <w:tc>
                <w:tcPr>
                  <w:tcW w:w="625" w:type="pct"/>
                  <w:tcBorders>
                    <w:top w:val="nil"/>
                    <w:left w:val="nil"/>
                    <w:bottom w:val="single" w:color="000000" w:sz="12" w:space="0"/>
                    <w:right w:val="nil"/>
                  </w:tcBorders>
                  <w:shd w:val="clear" w:color="auto" w:fill="auto"/>
                  <w:vAlign w:val="center"/>
                </w:tcPr>
                <w:p w14:paraId="164E41D6">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color w:val="auto"/>
                      <w:kern w:val="0"/>
                      <w:szCs w:val="21"/>
                      <w:lang w:bidi="ar"/>
                    </w:rPr>
                    <w:t>10</w:t>
                  </w:r>
                </w:p>
              </w:tc>
            </w:tr>
          </w:tbl>
          <w:p w14:paraId="2A40D03F">
            <w:pPr>
              <w:keepNext w:val="0"/>
              <w:keepLines w:val="0"/>
              <w:widowControl/>
              <w:suppressLineNumbers w:val="0"/>
              <w:spacing w:before="0" w:beforeAutospacing="0" w:after="0" w:afterAutospacing="0" w:line="360" w:lineRule="auto"/>
              <w:ind w:left="0" w:right="0" w:firstLine="482" w:firstLineChars="200"/>
              <w:jc w:val="left"/>
              <w:rPr>
                <w:rFonts w:hint="default" w:ascii="Times New Roman" w:hAnsi="Times New Roman" w:eastAsia="宋体" w:cs="Times New Roman"/>
                <w:b/>
                <w:bCs/>
                <w:kern w:val="0"/>
                <w:sz w:val="24"/>
                <w:lang w:bidi="ar"/>
              </w:rPr>
            </w:pPr>
            <w:r>
              <w:rPr>
                <w:rFonts w:hint="eastAsia" w:cs="Times New Roman"/>
                <w:b/>
                <w:bCs/>
                <w:kern w:val="0"/>
                <w:sz w:val="24"/>
                <w:lang w:val="en-US" w:eastAsia="zh-CN" w:bidi="ar"/>
              </w:rPr>
              <w:t>3</w:t>
            </w:r>
            <w:r>
              <w:rPr>
                <w:rFonts w:hint="eastAsia" w:ascii="Times New Roman" w:hAnsi="Times New Roman" w:eastAsia="宋体" w:cs="Times New Roman"/>
                <w:b/>
                <w:bCs/>
                <w:kern w:val="0"/>
                <w:sz w:val="24"/>
                <w:lang w:bidi="ar"/>
              </w:rPr>
              <w:t>、</w:t>
            </w:r>
            <w:r>
              <w:rPr>
                <w:rFonts w:hint="default" w:ascii="Times New Roman" w:hAnsi="Times New Roman" w:eastAsia="宋体" w:cs="Times New Roman"/>
                <w:b/>
                <w:bCs/>
                <w:kern w:val="0"/>
                <w:sz w:val="24"/>
                <w:lang w:bidi="ar"/>
              </w:rPr>
              <w:t>治理设施可行性分析</w:t>
            </w:r>
          </w:p>
          <w:p w14:paraId="623D555B">
            <w:pPr>
              <w:keepNext w:val="0"/>
              <w:keepLines w:val="0"/>
              <w:widowControl/>
              <w:suppressLineNumbers w:val="0"/>
              <w:spacing w:before="0" w:beforeAutospacing="0" w:after="0" w:afterAutospacing="0" w:line="360" w:lineRule="auto"/>
              <w:ind w:left="0" w:right="0" w:firstLine="482" w:firstLineChars="200"/>
              <w:jc w:val="left"/>
              <w:rPr>
                <w:rFonts w:hint="default" w:ascii="Times New Roman" w:hAnsi="Times New Roman" w:eastAsia="宋体" w:cs="Times New Roman"/>
                <w:b/>
                <w:bCs/>
                <w:sz w:val="24"/>
              </w:rPr>
            </w:pPr>
            <w:r>
              <w:rPr>
                <w:rFonts w:hint="eastAsia" w:ascii="Times New Roman" w:hAnsi="Times New Roman" w:eastAsia="宋体" w:cs="Times New Roman"/>
                <w:b/>
                <w:bCs/>
                <w:sz w:val="24"/>
              </w:rPr>
              <w:t>（1）本项目治理措施及达标分析</w:t>
            </w:r>
          </w:p>
          <w:p w14:paraId="5A50B0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宋体"/>
                <w:color w:val="auto"/>
                <w:sz w:val="24"/>
                <w:lang w:val="en-US"/>
              </w:rPr>
            </w:pPr>
            <w:r>
              <w:rPr>
                <w:rFonts w:hint="eastAsia" w:cs="Times New Roman"/>
                <w:sz w:val="24"/>
                <w:szCs w:val="24"/>
                <w:lang w:val="en-US" w:eastAsia="zh-CN"/>
              </w:rPr>
              <w:t>本项目生活污水产生量仅</w:t>
            </w:r>
            <w:r>
              <w:rPr>
                <w:rFonts w:hint="eastAsia" w:ascii="Times New Roman" w:hAnsi="Times New Roman" w:cs="Times New Roman"/>
                <w:color w:val="auto"/>
                <w:sz w:val="24"/>
                <w:lang w:val="en-US" w:eastAsia="zh-CN"/>
              </w:rPr>
              <w:t>0.255</w:t>
            </w:r>
            <w:r>
              <w:rPr>
                <w:rFonts w:hint="default" w:ascii="Times New Roman" w:hAnsi="Times New Roman" w:eastAsia="宋体" w:cs="Times New Roman"/>
                <w:color w:val="auto"/>
                <w:sz w:val="24"/>
              </w:rPr>
              <w:t>m</w:t>
            </w:r>
            <w:r>
              <w:rPr>
                <w:rFonts w:hint="eastAsia"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/d</w:t>
            </w:r>
            <w:r>
              <w:rPr>
                <w:rFonts w:hint="eastAsia" w:cs="Times New Roman"/>
                <w:color w:val="auto"/>
                <w:sz w:val="24"/>
                <w:lang w:eastAsia="zh-CN"/>
              </w:rPr>
              <w:t>，</w:t>
            </w:r>
            <w:r>
              <w:rPr>
                <w:rFonts w:hint="eastAsia" w:cs="Times New Roman"/>
                <w:color w:val="auto"/>
                <w:sz w:val="24"/>
                <w:lang w:val="en-US" w:eastAsia="zh-CN"/>
              </w:rPr>
              <w:t>现阶段</w:t>
            </w:r>
            <w:r>
              <w:rPr>
                <w:rFonts w:hint="eastAsia" w:cs="Times New Roman"/>
                <w:b w:val="0"/>
                <w:bCs w:val="0"/>
                <w:color w:val="auto"/>
                <w:sz w:val="24"/>
                <w:szCs w:val="24"/>
                <w:lang w:val="en-US" w:eastAsia="zh-CN"/>
              </w:rPr>
              <w:t>出租方已建预处理池（10m</w:t>
            </w:r>
            <w:r>
              <w:rPr>
                <w:rFonts w:hint="eastAsia" w:cs="Times New Roman"/>
                <w:b w:val="0"/>
                <w:bCs w:val="0"/>
                <w:color w:val="auto"/>
                <w:sz w:val="24"/>
                <w:szCs w:val="24"/>
                <w:vertAlign w:val="superscript"/>
                <w:lang w:val="en-US" w:eastAsia="zh-CN"/>
              </w:rPr>
              <w:t>3</w:t>
            </w:r>
            <w:r>
              <w:rPr>
                <w:rFonts w:hint="eastAsia" w:cs="Times New Roman"/>
                <w:b w:val="0"/>
                <w:bCs w:val="0"/>
                <w:color w:val="auto"/>
                <w:sz w:val="24"/>
                <w:szCs w:val="24"/>
                <w:lang w:val="en-US" w:eastAsia="zh-CN"/>
              </w:rPr>
              <w:t>）无其他单位使用，现有的污水处理池能满足本项目生活污水处理需求。本项目洗砂废水、初期雨水、车辆冲洗废水和降尘废水单日最大产生量85.824</w:t>
            </w:r>
            <w:r>
              <w:rPr>
                <w:rFonts w:hint="eastAsia" w:ascii="Times New Roman" w:hAnsi="Times New Roman" w:eastAsia="宋体" w:cs="Times New Roman"/>
                <w:b w:val="0"/>
                <w:bCs w:val="0"/>
                <w:color w:val="auto"/>
                <w:kern w:val="2"/>
                <w:sz w:val="24"/>
                <w:szCs w:val="24"/>
                <w:vertAlign w:val="baseline"/>
                <w:lang w:val="en-US" w:eastAsia="zh-CN" w:bidi="ar-SA"/>
              </w:rPr>
              <w:t>m</w:t>
            </w:r>
            <w:r>
              <w:rPr>
                <w:rFonts w:hint="eastAsia" w:ascii="Times New Roman" w:hAnsi="Times New Roman" w:eastAsia="宋体" w:cs="Times New Roman"/>
                <w:b w:val="0"/>
                <w:bCs w:val="0"/>
                <w:color w:val="auto"/>
                <w:kern w:val="2"/>
                <w:sz w:val="24"/>
                <w:szCs w:val="24"/>
                <w:vertAlign w:val="superscript"/>
                <w:lang w:val="en-US" w:eastAsia="zh-CN" w:bidi="ar-SA"/>
              </w:rPr>
              <w:t>3</w:t>
            </w:r>
            <w:r>
              <w:rPr>
                <w:rFonts w:hint="eastAsia" w:ascii="Times New Roman" w:hAnsi="Times New Roman" w:cs="Times New Roman"/>
                <w:b w:val="0"/>
                <w:bCs w:val="0"/>
                <w:color w:val="auto"/>
                <w:kern w:val="2"/>
                <w:sz w:val="24"/>
                <w:szCs w:val="24"/>
                <w:vertAlign w:val="baseline"/>
                <w:lang w:val="en-US" w:eastAsia="zh-CN" w:bidi="ar-SA"/>
              </w:rPr>
              <w:t>/d，本项目废水处理系统设计处理能力为</w:t>
            </w:r>
            <w:r>
              <w:rPr>
                <w:rFonts w:hint="eastAsia" w:cs="Times New Roman"/>
                <w:b w:val="0"/>
                <w:bCs w:val="0"/>
                <w:color w:val="auto"/>
                <w:kern w:val="2"/>
                <w:sz w:val="24"/>
                <w:szCs w:val="24"/>
                <w:vertAlign w:val="baseline"/>
                <w:lang w:val="en-US" w:eastAsia="zh-CN" w:bidi="ar-SA"/>
              </w:rPr>
              <w:t>1</w:t>
            </w:r>
            <w:r>
              <w:rPr>
                <w:rFonts w:hint="eastAsia" w:ascii="Times New Roman" w:hAnsi="Times New Roman" w:cs="Times New Roman"/>
                <w:b w:val="0"/>
                <w:bCs w:val="0"/>
                <w:color w:val="auto"/>
                <w:kern w:val="2"/>
                <w:sz w:val="24"/>
                <w:szCs w:val="24"/>
                <w:vertAlign w:val="baseline"/>
                <w:lang w:val="en-US" w:eastAsia="zh-CN" w:bidi="ar-SA"/>
              </w:rPr>
              <w:t>50m</w:t>
            </w:r>
            <w:r>
              <w:rPr>
                <w:rFonts w:hint="eastAsia" w:ascii="Times New Roman" w:hAnsi="Times New Roman" w:cs="Times New Roman"/>
                <w:b w:val="0"/>
                <w:bCs w:val="0"/>
                <w:color w:val="auto"/>
                <w:kern w:val="2"/>
                <w:sz w:val="24"/>
                <w:szCs w:val="24"/>
                <w:vertAlign w:val="superscript"/>
                <w:lang w:val="en-US" w:eastAsia="zh-CN" w:bidi="ar-SA"/>
              </w:rPr>
              <w:t>3</w:t>
            </w:r>
            <w:r>
              <w:rPr>
                <w:rFonts w:hint="eastAsia" w:ascii="Times New Roman" w:hAnsi="Times New Roman" w:cs="Times New Roman"/>
                <w:b w:val="0"/>
                <w:bCs w:val="0"/>
                <w:color w:val="auto"/>
                <w:kern w:val="2"/>
                <w:sz w:val="24"/>
                <w:szCs w:val="24"/>
                <w:vertAlign w:val="baseline"/>
                <w:lang w:val="en-US" w:eastAsia="zh-CN" w:bidi="ar-SA"/>
              </w:rPr>
              <w:t>/d，能满足本项目处理需求，</w:t>
            </w:r>
            <w:r>
              <w:rPr>
                <w:rFonts w:hint="eastAsia" w:cs="Times New Roman"/>
                <w:b w:val="0"/>
                <w:bCs w:val="0"/>
                <w:color w:val="auto"/>
                <w:sz w:val="24"/>
                <w:szCs w:val="24"/>
                <w:lang w:val="en-US" w:eastAsia="zh-CN"/>
              </w:rPr>
              <w:t>本项目洗砂废水、初期雨水、车辆冲洗废水和降尘废水中主要污染物为悬浮物和极少量石油类，本项目采取的废水治理工艺絮凝沉淀（PAM絮凝剂）+压滤能有效去除废水中的污染物，且本项目生产过程用水对水质要求不高，以上废水经处理后回用于生产技术可行。</w:t>
            </w:r>
          </w:p>
          <w:p w14:paraId="348B78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cs="Times New Roman"/>
                <w:b/>
                <w:bCs/>
                <w:color w:val="auto"/>
                <w:sz w:val="24"/>
                <w:szCs w:val="32"/>
                <w:lang w:val="en-US" w:eastAsia="zh-CN"/>
              </w:rPr>
            </w:pPr>
            <w:r>
              <w:rPr>
                <w:rFonts w:hint="eastAsia" w:cs="Times New Roman"/>
                <w:b/>
                <w:bCs/>
                <w:color w:val="auto"/>
                <w:sz w:val="24"/>
                <w:szCs w:val="32"/>
                <w:lang w:eastAsia="zh-CN"/>
              </w:rPr>
              <w:t>（</w:t>
            </w:r>
            <w:r>
              <w:rPr>
                <w:rFonts w:hint="eastAsia" w:cs="Times New Roman"/>
                <w:b/>
                <w:bCs/>
                <w:color w:val="auto"/>
                <w:sz w:val="24"/>
                <w:szCs w:val="32"/>
                <w:lang w:val="en-US" w:eastAsia="zh-CN"/>
              </w:rPr>
              <w:t>2</w:t>
            </w:r>
            <w:r>
              <w:rPr>
                <w:rFonts w:hint="eastAsia" w:cs="Times New Roman"/>
                <w:b/>
                <w:bCs/>
                <w:color w:val="auto"/>
                <w:sz w:val="24"/>
                <w:szCs w:val="32"/>
                <w:lang w:eastAsia="zh-CN"/>
              </w:rPr>
              <w:t>）</w:t>
            </w:r>
            <w:r>
              <w:rPr>
                <w:rFonts w:hint="eastAsia" w:cs="Times New Roman"/>
                <w:b/>
                <w:bCs/>
                <w:color w:val="auto"/>
                <w:sz w:val="24"/>
                <w:szCs w:val="32"/>
                <w:lang w:val="en-US" w:eastAsia="zh-CN"/>
              </w:rPr>
              <w:t>依托邻水县大步口污水处理站可行性分析</w:t>
            </w:r>
          </w:p>
          <w:p w14:paraId="11E28797">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textAlignment w:val="auto"/>
              <w:rPr>
                <w:rFonts w:hint="eastAsia"/>
                <w:lang w:eastAsia="zh-CN"/>
              </w:rPr>
            </w:pPr>
            <w:r>
              <w:rPr>
                <w:rFonts w:hint="eastAsia" w:ascii="Times New Roman" w:hAnsi="Times New Roman" w:eastAsia="宋体" w:cs="Times New Roman"/>
                <w:b w:val="0"/>
                <w:bCs w:val="0"/>
                <w:color w:val="auto"/>
                <w:kern w:val="2"/>
                <w:sz w:val="24"/>
                <w:szCs w:val="24"/>
                <w:lang w:val="en-US" w:eastAsia="zh-CN" w:bidi="ar-SA"/>
              </w:rPr>
              <w:t>邻水县</w:t>
            </w:r>
            <w:r>
              <w:rPr>
                <w:rFonts w:hint="eastAsia" w:cs="Times New Roman"/>
                <w:b w:val="0"/>
                <w:bCs w:val="0"/>
                <w:color w:val="auto"/>
                <w:kern w:val="2"/>
                <w:sz w:val="24"/>
                <w:szCs w:val="24"/>
                <w:lang w:val="en-US" w:eastAsia="zh-CN" w:bidi="ar-SA"/>
              </w:rPr>
              <w:t>大步口污水处理站</w:t>
            </w:r>
            <w:r>
              <w:rPr>
                <w:rFonts w:hint="eastAsia" w:ascii="Times New Roman" w:hAnsi="Times New Roman" w:eastAsia="宋体" w:cs="Times New Roman"/>
                <w:b w:val="0"/>
                <w:bCs w:val="0"/>
                <w:color w:val="auto"/>
                <w:kern w:val="2"/>
                <w:sz w:val="24"/>
                <w:szCs w:val="24"/>
                <w:lang w:val="en-US" w:eastAsia="zh-CN" w:bidi="ar-SA"/>
              </w:rPr>
              <w:t>位于邻水县</w:t>
            </w:r>
            <w:r>
              <w:rPr>
                <w:rFonts w:hint="eastAsia" w:cs="Times New Roman"/>
                <w:b w:val="0"/>
                <w:bCs w:val="0"/>
                <w:color w:val="auto"/>
                <w:kern w:val="2"/>
                <w:sz w:val="24"/>
                <w:szCs w:val="24"/>
                <w:lang w:val="en-US" w:eastAsia="zh-CN" w:bidi="ar-SA"/>
              </w:rPr>
              <w:t>石滓乡大步口村</w:t>
            </w:r>
            <w:r>
              <w:rPr>
                <w:rFonts w:hint="eastAsia" w:ascii="Times New Roman" w:hAnsi="Times New Roman" w:eastAsia="宋体" w:cs="Times New Roman"/>
                <w:b w:val="0"/>
                <w:bCs w:val="0"/>
                <w:color w:val="auto"/>
                <w:kern w:val="2"/>
                <w:sz w:val="24"/>
                <w:szCs w:val="24"/>
                <w:lang w:val="en-US" w:eastAsia="zh-CN" w:bidi="ar-SA"/>
              </w:rPr>
              <w:t>，</w:t>
            </w:r>
            <w:r>
              <w:rPr>
                <w:rFonts w:hint="eastAsia" w:cs="Times New Roman"/>
                <w:b w:val="0"/>
                <w:bCs w:val="0"/>
                <w:color w:val="auto"/>
                <w:kern w:val="2"/>
                <w:sz w:val="24"/>
                <w:szCs w:val="24"/>
                <w:lang w:val="en-US" w:eastAsia="zh-CN" w:bidi="ar-SA"/>
              </w:rPr>
              <w:t>该污水处理站</w:t>
            </w:r>
            <w:r>
              <w:rPr>
                <w:rFonts w:hint="eastAsia" w:ascii="Times New Roman" w:hAnsi="Times New Roman" w:eastAsia="宋体" w:cs="Times New Roman"/>
                <w:b w:val="0"/>
                <w:bCs w:val="0"/>
                <w:color w:val="auto"/>
                <w:kern w:val="2"/>
                <w:sz w:val="24"/>
                <w:szCs w:val="24"/>
                <w:lang w:val="en-US" w:eastAsia="zh-CN" w:bidi="ar-SA"/>
              </w:rPr>
              <w:t>采用“调节池+AOAS+紫外线消毒”</w:t>
            </w:r>
            <w:r>
              <w:rPr>
                <w:rFonts w:hint="eastAsia" w:cs="Times New Roman"/>
                <w:b w:val="0"/>
                <w:bCs w:val="0"/>
                <w:color w:val="auto"/>
                <w:kern w:val="2"/>
                <w:sz w:val="24"/>
                <w:szCs w:val="24"/>
                <w:lang w:val="en-US" w:eastAsia="zh-CN" w:bidi="ar-SA"/>
              </w:rPr>
              <w:t>废水</w:t>
            </w:r>
            <w:r>
              <w:rPr>
                <w:rFonts w:hint="eastAsia" w:ascii="Times New Roman" w:hAnsi="Times New Roman" w:eastAsia="宋体" w:cs="Times New Roman"/>
                <w:b w:val="0"/>
                <w:bCs w:val="0"/>
                <w:color w:val="auto"/>
                <w:kern w:val="2"/>
                <w:sz w:val="24"/>
                <w:szCs w:val="24"/>
                <w:lang w:val="en-US" w:eastAsia="zh-CN" w:bidi="ar-SA"/>
              </w:rPr>
              <w:t>工艺，其设计规模为</w:t>
            </w:r>
            <w:r>
              <w:rPr>
                <w:rFonts w:hint="eastAsia" w:cs="Times New Roman"/>
                <w:b w:val="0"/>
                <w:bCs w:val="0"/>
                <w:color w:val="auto"/>
                <w:kern w:val="2"/>
                <w:sz w:val="24"/>
                <w:szCs w:val="24"/>
                <w:lang w:val="en-US" w:eastAsia="zh-CN" w:bidi="ar-SA"/>
              </w:rPr>
              <w:t>100</w:t>
            </w:r>
            <w:r>
              <w:rPr>
                <w:rFonts w:hint="eastAsia" w:ascii="Times New Roman" w:hAnsi="Times New Roman" w:eastAsia="宋体" w:cs="Times New Roman"/>
                <w:b w:val="0"/>
                <w:bCs w:val="0"/>
                <w:color w:val="auto"/>
                <w:kern w:val="2"/>
                <w:sz w:val="24"/>
                <w:szCs w:val="24"/>
                <w:lang w:val="en-US" w:eastAsia="zh-CN" w:bidi="ar-SA"/>
              </w:rPr>
              <w:t>m</w:t>
            </w:r>
            <w:r>
              <w:rPr>
                <w:rFonts w:hint="eastAsia" w:ascii="Times New Roman" w:hAnsi="Times New Roman" w:eastAsia="宋体" w:cs="Times New Roman"/>
                <w:b w:val="0"/>
                <w:bCs w:val="0"/>
                <w:color w:val="auto"/>
                <w:kern w:val="2"/>
                <w:sz w:val="24"/>
                <w:szCs w:val="24"/>
                <w:vertAlign w:val="superscript"/>
                <w:lang w:val="en-US" w:eastAsia="zh-CN" w:bidi="ar-SA"/>
              </w:rPr>
              <w:t>3</w:t>
            </w:r>
            <w:r>
              <w:rPr>
                <w:rFonts w:hint="eastAsia" w:ascii="Times New Roman" w:hAnsi="Times New Roman" w:eastAsia="宋体" w:cs="Times New Roman"/>
                <w:b w:val="0"/>
                <w:bCs w:val="0"/>
                <w:color w:val="auto"/>
                <w:kern w:val="2"/>
                <w:sz w:val="24"/>
                <w:szCs w:val="24"/>
                <w:lang w:val="en-US" w:eastAsia="zh-CN" w:bidi="ar-SA"/>
              </w:rPr>
              <w:t>/d，污水主要来源为</w:t>
            </w:r>
            <w:r>
              <w:rPr>
                <w:rFonts w:hint="eastAsia" w:cs="Times New Roman"/>
                <w:b w:val="0"/>
                <w:bCs w:val="0"/>
                <w:color w:val="auto"/>
                <w:kern w:val="2"/>
                <w:sz w:val="24"/>
                <w:szCs w:val="24"/>
                <w:lang w:val="en-US" w:eastAsia="zh-CN" w:bidi="ar-SA"/>
              </w:rPr>
              <w:t>周边乡镇生活污水，生活污水</w:t>
            </w:r>
            <w:r>
              <w:rPr>
                <w:rFonts w:hint="eastAsia" w:ascii="Times New Roman" w:hAnsi="Times New Roman" w:eastAsia="宋体" w:cs="Times New Roman"/>
                <w:b w:val="0"/>
                <w:bCs w:val="0"/>
                <w:color w:val="auto"/>
                <w:kern w:val="2"/>
                <w:sz w:val="24"/>
                <w:szCs w:val="24"/>
                <w:lang w:val="en-US" w:eastAsia="zh-CN" w:bidi="ar-SA"/>
              </w:rPr>
              <w:t>进入污水处理</w:t>
            </w:r>
            <w:r>
              <w:rPr>
                <w:rFonts w:hint="eastAsia" w:cs="Times New Roman"/>
                <w:b w:val="0"/>
                <w:bCs w:val="0"/>
                <w:color w:val="auto"/>
                <w:kern w:val="2"/>
                <w:sz w:val="24"/>
                <w:szCs w:val="24"/>
                <w:lang w:val="en-US" w:eastAsia="zh-CN" w:bidi="ar-SA"/>
              </w:rPr>
              <w:t>站</w:t>
            </w:r>
            <w:r>
              <w:rPr>
                <w:rFonts w:hint="eastAsia" w:ascii="Times New Roman" w:hAnsi="Times New Roman" w:eastAsia="宋体" w:cs="Times New Roman"/>
                <w:b w:val="0"/>
                <w:bCs w:val="0"/>
                <w:color w:val="auto"/>
                <w:kern w:val="2"/>
                <w:sz w:val="24"/>
                <w:szCs w:val="24"/>
                <w:lang w:val="en-US" w:eastAsia="zh-CN" w:bidi="ar-SA"/>
              </w:rPr>
              <w:t>深度处理达《城镇污水处理厂污染物排放标准》（GB18918-2002）一级A标后</w:t>
            </w:r>
            <w:r>
              <w:rPr>
                <w:rFonts w:hint="eastAsia" w:cs="Times New Roman"/>
                <w:b w:val="0"/>
                <w:bCs w:val="0"/>
                <w:color w:val="auto"/>
                <w:kern w:val="2"/>
                <w:sz w:val="24"/>
                <w:szCs w:val="24"/>
                <w:lang w:val="en-US" w:eastAsia="zh-CN" w:bidi="ar-SA"/>
              </w:rPr>
              <w:t>排入污水处理站西侧的溪沟最终汇入大洪河</w:t>
            </w:r>
            <w:r>
              <w:rPr>
                <w:rFonts w:hint="eastAsia" w:ascii="Times New Roman" w:hAnsi="Times New Roman" w:eastAsia="宋体" w:cs="Times New Roman"/>
                <w:b w:val="0"/>
                <w:bCs w:val="0"/>
                <w:color w:val="auto"/>
                <w:kern w:val="2"/>
                <w:sz w:val="24"/>
                <w:szCs w:val="24"/>
                <w:lang w:val="en-US" w:eastAsia="zh-CN" w:bidi="ar-SA"/>
              </w:rPr>
              <w:t>。</w:t>
            </w:r>
            <w:r>
              <w:rPr>
                <w:rFonts w:hint="eastAsia" w:cs="Times New Roman"/>
                <w:b w:val="0"/>
                <w:bCs w:val="0"/>
                <w:color w:val="auto"/>
                <w:kern w:val="2"/>
                <w:sz w:val="24"/>
                <w:szCs w:val="24"/>
                <w:lang w:val="en-US" w:eastAsia="zh-CN" w:bidi="ar-SA"/>
              </w:rPr>
              <w:t>污水处理站设计建设时已考虑区域生活污水产生情况，本项目员工均为周边居民，因此，本项目的运营不会增大区域生活污水整体的产生量，根据调查，</w:t>
            </w:r>
            <w:r>
              <w:rPr>
                <w:rFonts w:hint="eastAsia" w:ascii="Times New Roman" w:hAnsi="Times New Roman" w:eastAsia="宋体" w:cs="Times New Roman"/>
                <w:b w:val="0"/>
                <w:bCs w:val="0"/>
                <w:color w:val="auto"/>
                <w:kern w:val="2"/>
                <w:sz w:val="24"/>
                <w:szCs w:val="24"/>
                <w:lang w:val="en-US" w:eastAsia="zh-CN" w:bidi="ar-SA"/>
              </w:rPr>
              <w:t>邻水县</w:t>
            </w:r>
            <w:r>
              <w:rPr>
                <w:rFonts w:hint="eastAsia" w:cs="Times New Roman"/>
                <w:b w:val="0"/>
                <w:bCs w:val="0"/>
                <w:color w:val="auto"/>
                <w:kern w:val="2"/>
                <w:sz w:val="24"/>
                <w:szCs w:val="24"/>
                <w:lang w:val="en-US" w:eastAsia="zh-CN" w:bidi="ar-SA"/>
              </w:rPr>
              <w:t>大步口污水处理站距离本项目约5km，交通运输便利且污水处理站有足够的处理余量满足本项目处理需求</w:t>
            </w:r>
            <w:r>
              <w:rPr>
                <w:rFonts w:hint="eastAsia" w:ascii="Times New Roman" w:hAnsi="Times New Roman" w:eastAsia="宋体" w:cs="Times New Roman"/>
                <w:b w:val="0"/>
                <w:bCs w:val="0"/>
                <w:color w:val="auto"/>
                <w:kern w:val="2"/>
                <w:sz w:val="24"/>
                <w:szCs w:val="24"/>
                <w:lang w:val="en-US" w:eastAsia="zh-CN" w:bidi="ar-SA"/>
              </w:rPr>
              <w:t>。因此，项目</w:t>
            </w:r>
            <w:r>
              <w:rPr>
                <w:rFonts w:hint="eastAsia" w:cs="Times New Roman"/>
                <w:b w:val="0"/>
                <w:bCs w:val="0"/>
                <w:color w:val="auto"/>
                <w:kern w:val="2"/>
                <w:sz w:val="24"/>
                <w:szCs w:val="24"/>
                <w:lang w:val="en-US" w:eastAsia="zh-CN" w:bidi="ar-SA"/>
              </w:rPr>
              <w:t>生活污水依托邻水县大步口污水处理站</w:t>
            </w:r>
            <w:r>
              <w:rPr>
                <w:rFonts w:hint="eastAsia" w:ascii="Times New Roman" w:hAnsi="Times New Roman" w:eastAsia="宋体" w:cs="Times New Roman"/>
                <w:b w:val="0"/>
                <w:bCs w:val="0"/>
                <w:color w:val="auto"/>
                <w:kern w:val="2"/>
                <w:sz w:val="24"/>
                <w:szCs w:val="24"/>
                <w:lang w:val="en-US" w:eastAsia="zh-CN" w:bidi="ar-SA"/>
              </w:rPr>
              <w:t>处理达标后排放是可行的。</w:t>
            </w:r>
          </w:p>
          <w:p w14:paraId="78E38B44">
            <w:pPr>
              <w:keepNext w:val="0"/>
              <w:keepLines w:val="0"/>
              <w:suppressLineNumbers w:val="0"/>
              <w:spacing w:before="120" w:beforeLines="50" w:beforeAutospacing="0" w:after="0" w:afterAutospacing="0" w:line="360" w:lineRule="auto"/>
              <w:ind w:left="0" w:right="0" w:firstLine="482" w:firstLineChars="200"/>
              <w:rPr>
                <w:rFonts w:hint="default" w:ascii="Times New Roman" w:hAnsi="Times New Roman" w:eastAsia="宋体" w:cs="Times New Roman"/>
                <w:b/>
                <w:bCs/>
                <w:color w:val="auto"/>
                <w:sz w:val="24"/>
                <w:szCs w:val="32"/>
              </w:rPr>
            </w:pPr>
            <w:r>
              <w:rPr>
                <w:rFonts w:hint="eastAsia" w:cs="Times New Roman"/>
                <w:b/>
                <w:bCs/>
                <w:color w:val="auto"/>
                <w:sz w:val="24"/>
                <w:szCs w:val="32"/>
                <w:lang w:val="en-US" w:eastAsia="zh-CN"/>
              </w:rPr>
              <w:t>5</w:t>
            </w:r>
            <w:r>
              <w:rPr>
                <w:rFonts w:hint="eastAsia" w:ascii="Times New Roman" w:hAnsi="Times New Roman" w:eastAsia="宋体" w:cs="Times New Roman"/>
                <w:b/>
                <w:bCs/>
                <w:color w:val="auto"/>
                <w:sz w:val="24"/>
                <w:szCs w:val="32"/>
              </w:rPr>
              <w:t>、监测计划</w:t>
            </w:r>
          </w:p>
          <w:p w14:paraId="53539449">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eastAsia" w:cs="Times New Roman"/>
                <w:b w:val="0"/>
                <w:bCs w:val="0"/>
                <w:color w:val="auto"/>
                <w:sz w:val="24"/>
                <w:szCs w:val="24"/>
                <w:lang w:val="en-US" w:eastAsia="zh-CN"/>
              </w:rPr>
              <w:t>本项目生活依托出租方已建预处理池处理后定期由槽罐车转运至邻水县大步口污水处理站进行进一步处理后排入大洪河；洗砂废水、车辆冲洗废水、降尘废水初期雨水经废水处理系统处理后回用于生产。</w:t>
            </w:r>
            <w:r>
              <w:rPr>
                <w:rFonts w:hint="eastAsia" w:ascii="Times New Roman" w:hAnsi="Times New Roman" w:eastAsia="宋体" w:cs="Times New Roman"/>
                <w:color w:val="auto"/>
                <w:kern w:val="0"/>
                <w:sz w:val="24"/>
                <w:lang w:bidi="ar"/>
              </w:rPr>
              <w:t>本项目</w:t>
            </w:r>
            <w:r>
              <w:rPr>
                <w:rFonts w:hint="eastAsia" w:cs="Times New Roman"/>
                <w:color w:val="auto"/>
                <w:kern w:val="0"/>
                <w:sz w:val="24"/>
                <w:lang w:val="en-US" w:eastAsia="zh-CN" w:bidi="ar"/>
              </w:rPr>
              <w:t>生活污水</w:t>
            </w:r>
            <w:r>
              <w:rPr>
                <w:rFonts w:hint="eastAsia" w:ascii="Times New Roman" w:hAnsi="Times New Roman" w:eastAsia="宋体" w:cs="Times New Roman"/>
                <w:color w:val="auto"/>
                <w:kern w:val="0"/>
                <w:sz w:val="24"/>
                <w:lang w:bidi="ar"/>
              </w:rPr>
              <w:t>排放形式为间接排放</w:t>
            </w:r>
            <w:r>
              <w:rPr>
                <w:rFonts w:hint="eastAsia" w:cs="Times New Roman"/>
                <w:color w:val="auto"/>
                <w:kern w:val="0"/>
                <w:sz w:val="24"/>
                <w:lang w:eastAsia="zh-CN" w:bidi="ar"/>
              </w:rPr>
              <w:t>，</w:t>
            </w:r>
            <w:r>
              <w:rPr>
                <w:rFonts w:hint="default" w:ascii="Times New Roman" w:hAnsi="Times New Roman" w:eastAsia="宋体" w:cs="Times New Roman"/>
                <w:color w:val="auto"/>
                <w:kern w:val="0"/>
                <w:sz w:val="24"/>
                <w:lang w:bidi="ar"/>
              </w:rPr>
              <w:t>根据《排污单位</w:t>
            </w:r>
            <w:r>
              <w:rPr>
                <w:rFonts w:hint="eastAsia" w:ascii="Times New Roman" w:hAnsi="Times New Roman" w:eastAsia="宋体" w:cs="Times New Roman"/>
                <w:color w:val="auto"/>
                <w:kern w:val="0"/>
                <w:sz w:val="24"/>
                <w:lang w:bidi="ar"/>
              </w:rPr>
              <w:t>自行</w:t>
            </w:r>
            <w:r>
              <w:rPr>
                <w:rFonts w:hint="default" w:ascii="Times New Roman" w:hAnsi="Times New Roman" w:eastAsia="宋体" w:cs="Times New Roman"/>
                <w:color w:val="auto"/>
                <w:kern w:val="0"/>
                <w:sz w:val="24"/>
                <w:lang w:bidi="ar"/>
              </w:rPr>
              <w:t>监测指南 总则》</w:t>
            </w:r>
            <w:r>
              <w:rPr>
                <w:rFonts w:hint="eastAsia" w:ascii="Times New Roman" w:hAnsi="Times New Roman" w:eastAsia="宋体" w:cs="Times New Roman"/>
                <w:color w:val="auto"/>
                <w:kern w:val="0"/>
                <w:sz w:val="24"/>
                <w:lang w:bidi="ar"/>
              </w:rPr>
              <w:t>，本项目</w:t>
            </w:r>
            <w:r>
              <w:rPr>
                <w:rFonts w:hint="eastAsia" w:cs="Times New Roman"/>
                <w:color w:val="auto"/>
                <w:kern w:val="0"/>
                <w:sz w:val="24"/>
                <w:lang w:val="en-US" w:eastAsia="zh-CN" w:bidi="ar"/>
              </w:rPr>
              <w:t>生活污水</w:t>
            </w:r>
            <w:r>
              <w:rPr>
                <w:rFonts w:hint="eastAsia" w:ascii="Times New Roman" w:hAnsi="Times New Roman" w:eastAsia="宋体" w:cs="Times New Roman"/>
                <w:color w:val="auto"/>
                <w:sz w:val="24"/>
              </w:rPr>
              <w:t>监测计划见下表。</w:t>
            </w:r>
          </w:p>
          <w:p w14:paraId="4C76DB5F">
            <w:pPr>
              <w:pStyle w:val="99"/>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表4-</w:t>
            </w:r>
            <w:r>
              <w:rPr>
                <w:rFonts w:hint="eastAsia" w:cs="宋体"/>
                <w:b/>
                <w:bCs/>
                <w:color w:val="auto"/>
                <w:sz w:val="21"/>
                <w:szCs w:val="21"/>
                <w:lang w:val="en-US" w:eastAsia="zh-CN"/>
              </w:rPr>
              <w:t>6</w:t>
            </w:r>
            <w:r>
              <w:rPr>
                <w:rFonts w:hint="eastAsia" w:ascii="Times New Roman" w:hAnsi="Times New Roman" w:eastAsia="宋体" w:cs="宋体"/>
                <w:b/>
                <w:bCs/>
                <w:color w:val="auto"/>
                <w:sz w:val="21"/>
                <w:szCs w:val="21"/>
              </w:rPr>
              <w:t xml:space="preserve">  项目</w:t>
            </w:r>
            <w:r>
              <w:rPr>
                <w:rFonts w:hint="eastAsia" w:cs="宋体"/>
                <w:b/>
                <w:bCs/>
                <w:color w:val="auto"/>
                <w:sz w:val="21"/>
                <w:szCs w:val="21"/>
                <w:lang w:val="en-US" w:eastAsia="zh-CN"/>
              </w:rPr>
              <w:t>生活污水</w:t>
            </w:r>
            <w:r>
              <w:rPr>
                <w:rFonts w:hint="eastAsia" w:ascii="Times New Roman" w:hAnsi="Times New Roman" w:eastAsia="宋体" w:cs="宋体"/>
                <w:b/>
                <w:bCs/>
                <w:color w:val="auto"/>
                <w:sz w:val="21"/>
                <w:szCs w:val="21"/>
              </w:rPr>
              <w:t>监测计划一览表</w:t>
            </w:r>
          </w:p>
          <w:tbl>
            <w:tblPr>
              <w:tblStyle w:val="25"/>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3"/>
              <w:gridCol w:w="695"/>
              <w:gridCol w:w="1467"/>
              <w:gridCol w:w="1033"/>
              <w:gridCol w:w="2825"/>
              <w:gridCol w:w="1334"/>
            </w:tblGrid>
            <w:tr w14:paraId="021AC1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8" w:type="pct"/>
                  <w:noWrap w:val="0"/>
                  <w:vAlign w:val="center"/>
                </w:tcPr>
                <w:p w14:paraId="49059B3E">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序号</w:t>
                  </w:r>
                </w:p>
              </w:tc>
              <w:tc>
                <w:tcPr>
                  <w:tcW w:w="434" w:type="pct"/>
                  <w:noWrap w:val="0"/>
                  <w:vAlign w:val="center"/>
                </w:tcPr>
                <w:p w14:paraId="5DDCCE1F">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类别</w:t>
                  </w:r>
                </w:p>
              </w:tc>
              <w:tc>
                <w:tcPr>
                  <w:tcW w:w="916" w:type="pct"/>
                  <w:noWrap w:val="0"/>
                  <w:vAlign w:val="center"/>
                </w:tcPr>
                <w:p w14:paraId="24D8B16C">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监测点位</w:t>
                  </w:r>
                </w:p>
              </w:tc>
              <w:tc>
                <w:tcPr>
                  <w:tcW w:w="645" w:type="pct"/>
                  <w:noWrap w:val="0"/>
                  <w:vAlign w:val="center"/>
                </w:tcPr>
                <w:p w14:paraId="63013908">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点位</w:t>
                  </w:r>
                </w:p>
              </w:tc>
              <w:tc>
                <w:tcPr>
                  <w:tcW w:w="1764" w:type="pct"/>
                  <w:noWrap w:val="0"/>
                  <w:vAlign w:val="center"/>
                </w:tcPr>
                <w:p w14:paraId="5F5AF817">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监测项目</w:t>
                  </w:r>
                </w:p>
              </w:tc>
              <w:tc>
                <w:tcPr>
                  <w:tcW w:w="833" w:type="pct"/>
                  <w:noWrap w:val="0"/>
                  <w:vAlign w:val="center"/>
                </w:tcPr>
                <w:p w14:paraId="7148287A">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监测频次</w:t>
                  </w:r>
                </w:p>
              </w:tc>
            </w:tr>
            <w:tr w14:paraId="66795A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8" w:type="pct"/>
                  <w:noWrap w:val="0"/>
                  <w:vAlign w:val="center"/>
                </w:tcPr>
                <w:p w14:paraId="2B710742">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w:t>
                  </w:r>
                </w:p>
              </w:tc>
              <w:tc>
                <w:tcPr>
                  <w:tcW w:w="434" w:type="pct"/>
                  <w:noWrap w:val="0"/>
                  <w:vAlign w:val="center"/>
                </w:tcPr>
                <w:p w14:paraId="2893B8D0">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rPr>
                  </w:pPr>
                  <w:r>
                    <w:rPr>
                      <w:rFonts w:hint="eastAsia" w:ascii="Times New Roman" w:hAnsi="Times New Roman" w:eastAsia="宋体" w:cs="Times New Roman"/>
                      <w:bCs/>
                      <w:color w:val="auto"/>
                      <w:szCs w:val="21"/>
                    </w:rPr>
                    <w:t>废水</w:t>
                  </w:r>
                </w:p>
              </w:tc>
              <w:tc>
                <w:tcPr>
                  <w:tcW w:w="916" w:type="pct"/>
                  <w:noWrap w:val="0"/>
                  <w:vAlign w:val="center"/>
                </w:tcPr>
                <w:p w14:paraId="33E98642">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预处理池（化粪池）</w:t>
                  </w:r>
                </w:p>
              </w:tc>
              <w:tc>
                <w:tcPr>
                  <w:tcW w:w="645" w:type="pct"/>
                  <w:noWrap w:val="0"/>
                  <w:vAlign w:val="center"/>
                </w:tcPr>
                <w:p w14:paraId="63E6F434">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rPr>
                  </w:pPr>
                  <w:r>
                    <w:rPr>
                      <w:rFonts w:hint="eastAsia" w:ascii="Times New Roman" w:hAnsi="Times New Roman" w:eastAsia="宋体" w:cs="Times New Roman"/>
                      <w:bCs/>
                      <w:color w:val="auto"/>
                      <w:szCs w:val="21"/>
                    </w:rPr>
                    <w:t>DW001</w:t>
                  </w:r>
                </w:p>
              </w:tc>
              <w:tc>
                <w:tcPr>
                  <w:tcW w:w="1764" w:type="pct"/>
                  <w:noWrap w:val="0"/>
                  <w:vAlign w:val="center"/>
                </w:tcPr>
                <w:p w14:paraId="4FA2440B">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rPr>
                    <w:t>pH、</w:t>
                  </w:r>
                  <w:r>
                    <w:rPr>
                      <w:rFonts w:hint="default" w:ascii="Times New Roman" w:hAnsi="Times New Roman" w:eastAsia="宋体" w:cs="Times New Roman"/>
                      <w:bCs/>
                      <w:color w:val="auto"/>
                      <w:szCs w:val="21"/>
                    </w:rPr>
                    <w:t>COD、BOD</w:t>
                  </w:r>
                  <w:r>
                    <w:rPr>
                      <w:rFonts w:hint="default" w:ascii="Times New Roman" w:hAnsi="Times New Roman" w:eastAsia="宋体" w:cs="Times New Roman"/>
                      <w:bCs/>
                      <w:color w:val="auto"/>
                      <w:szCs w:val="21"/>
                      <w:vertAlign w:val="subscript"/>
                    </w:rPr>
                    <w:t>5</w:t>
                  </w:r>
                  <w:r>
                    <w:rPr>
                      <w:rFonts w:hint="default" w:ascii="Times New Roman" w:hAnsi="Times New Roman" w:eastAsia="宋体" w:cs="Times New Roman"/>
                      <w:bCs/>
                      <w:color w:val="auto"/>
                      <w:szCs w:val="21"/>
                    </w:rPr>
                    <w:t>、SS、NH</w:t>
                  </w:r>
                  <w:r>
                    <w:rPr>
                      <w:rFonts w:hint="default" w:ascii="Times New Roman" w:hAnsi="Times New Roman" w:eastAsia="宋体" w:cs="Times New Roman"/>
                      <w:bCs/>
                      <w:color w:val="auto"/>
                      <w:szCs w:val="21"/>
                      <w:vertAlign w:val="subscript"/>
                    </w:rPr>
                    <w:t>3</w:t>
                  </w:r>
                  <w:r>
                    <w:rPr>
                      <w:rFonts w:hint="default" w:ascii="Times New Roman" w:hAnsi="Times New Roman" w:eastAsia="宋体" w:cs="Times New Roman"/>
                      <w:bCs/>
                      <w:color w:val="auto"/>
                      <w:szCs w:val="21"/>
                    </w:rPr>
                    <w:t>-N、TP</w:t>
                  </w:r>
                </w:p>
              </w:tc>
              <w:tc>
                <w:tcPr>
                  <w:tcW w:w="833" w:type="pct"/>
                  <w:noWrap w:val="0"/>
                  <w:vAlign w:val="center"/>
                </w:tcPr>
                <w:p w14:paraId="16D5F6ED">
                  <w:pPr>
                    <w:pStyle w:val="2"/>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Cs/>
                      <w:color w:val="auto"/>
                      <w:szCs w:val="21"/>
                    </w:rPr>
                  </w:pPr>
                  <w:r>
                    <w:rPr>
                      <w:rFonts w:hint="eastAsia" w:ascii="Times New Roman" w:hAnsi="Times New Roman" w:eastAsia="宋体" w:cs="Times New Roman"/>
                      <w:bCs/>
                      <w:color w:val="auto"/>
                      <w:szCs w:val="21"/>
                    </w:rPr>
                    <w:t>1次/年</w:t>
                  </w:r>
                </w:p>
              </w:tc>
            </w:tr>
          </w:tbl>
          <w:p w14:paraId="64EADCA0">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2" w:firstLineChars="200"/>
              <w:textAlignment w:val="auto"/>
              <w:rPr>
                <w:rFonts w:hint="default" w:ascii="Times New Roman" w:hAnsi="Times New Roman" w:eastAsia="宋体" w:cs="Times New Roman"/>
                <w:color w:val="auto"/>
                <w:sz w:val="24"/>
                <w:szCs w:val="18"/>
              </w:rPr>
            </w:pPr>
            <w:r>
              <w:rPr>
                <w:rFonts w:hint="eastAsia" w:cs="Times New Roman"/>
                <w:b/>
                <w:bCs/>
                <w:color w:val="auto"/>
                <w:sz w:val="24"/>
                <w:szCs w:val="32"/>
                <w:lang w:val="en-US" w:eastAsia="zh-CN"/>
              </w:rPr>
              <w:t>5</w:t>
            </w:r>
            <w:r>
              <w:rPr>
                <w:rFonts w:hint="eastAsia" w:ascii="Times New Roman" w:hAnsi="Times New Roman" w:eastAsia="宋体" w:cs="Times New Roman"/>
                <w:b/>
                <w:bCs/>
                <w:color w:val="auto"/>
                <w:sz w:val="24"/>
                <w:szCs w:val="32"/>
              </w:rPr>
              <w:t>、地表水环境影响分析</w:t>
            </w:r>
          </w:p>
          <w:p w14:paraId="55A3A9C0">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eastAsia"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color w:val="auto"/>
                <w:kern w:val="2"/>
                <w:sz w:val="24"/>
                <w:szCs w:val="24"/>
                <w:lang w:val="en-US" w:eastAsia="zh-CN" w:bidi="ar-SA"/>
              </w:rPr>
              <w:t>综合上述分析，</w:t>
            </w:r>
            <w:r>
              <w:rPr>
                <w:rFonts w:hint="eastAsia" w:cs="Times New Roman"/>
                <w:bCs/>
                <w:color w:val="auto"/>
                <w:kern w:val="2"/>
                <w:sz w:val="24"/>
                <w:szCs w:val="24"/>
                <w:lang w:val="en-US" w:eastAsia="zh-CN" w:bidi="ar-SA"/>
              </w:rPr>
              <w:t>本项目运营过程生产废水不外排。</w:t>
            </w:r>
            <w:r>
              <w:rPr>
                <w:rFonts w:hint="default"/>
                <w:sz w:val="24"/>
              </w:rPr>
              <w:t>本项目产生的</w:t>
            </w:r>
            <w:r>
              <w:rPr>
                <w:rFonts w:hint="eastAsia"/>
                <w:sz w:val="24"/>
                <w:lang w:val="en-US" w:eastAsia="zh-CN"/>
              </w:rPr>
              <w:t>生活污水</w:t>
            </w:r>
            <w:r>
              <w:rPr>
                <w:rFonts w:hint="default"/>
                <w:sz w:val="24"/>
              </w:rPr>
              <w:t>不会对</w:t>
            </w:r>
            <w:r>
              <w:rPr>
                <w:rFonts w:hint="eastAsia"/>
                <w:sz w:val="24"/>
                <w:lang w:val="en-US" w:eastAsia="zh-CN"/>
              </w:rPr>
              <w:t>邻水县大步口污水处理站</w:t>
            </w:r>
            <w:r>
              <w:rPr>
                <w:rFonts w:hint="default"/>
                <w:sz w:val="24"/>
              </w:rPr>
              <w:t>的现行工艺造成影响，同时不会对污水处理</w:t>
            </w:r>
            <w:r>
              <w:rPr>
                <w:rFonts w:hint="eastAsia"/>
                <w:sz w:val="24"/>
                <w:lang w:val="en-US" w:eastAsia="zh-CN"/>
              </w:rPr>
              <w:t>站</w:t>
            </w:r>
            <w:r>
              <w:rPr>
                <w:rFonts w:hint="default"/>
                <w:sz w:val="24"/>
              </w:rPr>
              <w:t>的出水水质造成明显影响，不会改变区域水环境质量功能，区域地表水环境质量将维持现状。本项目地表水环境影响可接受</w:t>
            </w:r>
            <w:r>
              <w:rPr>
                <w:rFonts w:hint="eastAsia"/>
                <w:sz w:val="24"/>
              </w:rPr>
              <w:t>。</w:t>
            </w:r>
          </w:p>
          <w:p w14:paraId="7C70E9C4">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eastAsia="宋体" w:cs="Times New Roman"/>
                <w:b/>
                <w:bCs/>
                <w:sz w:val="24"/>
              </w:rPr>
            </w:pPr>
            <w:r>
              <w:rPr>
                <w:rFonts w:hint="eastAsia" w:ascii="Times New Roman" w:hAnsi="Times New Roman" w:eastAsia="宋体" w:cs="Times New Roman"/>
                <w:b/>
                <w:bCs/>
                <w:sz w:val="24"/>
              </w:rPr>
              <w:t>三、声环境影响和保护措施</w:t>
            </w:r>
          </w:p>
          <w:p w14:paraId="015CAA1E">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sz w:val="24"/>
              </w:rPr>
            </w:pPr>
            <w:r>
              <w:rPr>
                <w:rFonts w:hint="default" w:ascii="Times New Roman" w:hAnsi="Times New Roman" w:eastAsia="宋体" w:cs="Times New Roman"/>
                <w:b/>
                <w:bCs/>
                <w:sz w:val="24"/>
              </w:rPr>
              <w:t>1、噪声源及源强</w:t>
            </w:r>
          </w:p>
          <w:p w14:paraId="0A800374">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rPr>
            </w:pPr>
            <w:r>
              <w:rPr>
                <w:rFonts w:hint="eastAsia" w:ascii="Times New Roman" w:hAnsi="Times New Roman" w:eastAsia="宋体" w:cs="Times New Roman"/>
                <w:sz w:val="24"/>
              </w:rPr>
              <w:t>本项目运营期噪声主要为设备噪声、</w:t>
            </w:r>
            <w:r>
              <w:rPr>
                <w:rFonts w:hint="eastAsia" w:cs="Times New Roman"/>
                <w:sz w:val="24"/>
                <w:lang w:val="en-US" w:eastAsia="zh-CN"/>
              </w:rPr>
              <w:t>泵</w:t>
            </w:r>
            <w:r>
              <w:rPr>
                <w:rFonts w:hint="eastAsia" w:ascii="Times New Roman" w:hAnsi="Times New Roman" w:eastAsia="宋体" w:cs="Times New Roman"/>
                <w:sz w:val="24"/>
              </w:rPr>
              <w:t>等，项目运行均采用低噪声设备</w:t>
            </w:r>
            <w:r>
              <w:rPr>
                <w:rFonts w:hint="eastAsia" w:cs="Times New Roman"/>
                <w:sz w:val="24"/>
                <w:lang w:val="en-US" w:eastAsia="zh-CN"/>
              </w:rPr>
              <w:t>且仅在昼间进行生产</w:t>
            </w:r>
            <w:r>
              <w:rPr>
                <w:rFonts w:hint="eastAsia" w:ascii="Times New Roman" w:hAnsi="Times New Roman" w:eastAsia="宋体" w:cs="Times New Roman"/>
                <w:sz w:val="24"/>
              </w:rPr>
              <w:t>。</w:t>
            </w:r>
            <w:r>
              <w:rPr>
                <w:rFonts w:hint="eastAsia" w:cs="Times New Roman"/>
                <w:sz w:val="24"/>
                <w:lang w:val="en-US" w:eastAsia="zh-CN"/>
              </w:rPr>
              <w:t>本项目</w:t>
            </w:r>
            <w:r>
              <w:rPr>
                <w:rFonts w:hint="default" w:ascii="Times New Roman" w:hAnsi="Times New Roman" w:eastAsia="宋体" w:cs="Times New Roman"/>
                <w:sz w:val="24"/>
              </w:rPr>
              <w:t>主要噪声源源强及采取的降噪措施情况见</w:t>
            </w:r>
            <w:r>
              <w:rPr>
                <w:rFonts w:hint="eastAsia" w:ascii="Times New Roman" w:hAnsi="Times New Roman" w:eastAsia="宋体" w:cs="Times New Roman"/>
                <w:sz w:val="24"/>
                <w:lang w:val="en-US" w:eastAsia="zh-CN"/>
              </w:rPr>
              <w:t>下</w:t>
            </w:r>
            <w:r>
              <w:rPr>
                <w:rFonts w:hint="default" w:ascii="Times New Roman" w:hAnsi="Times New Roman" w:eastAsia="宋体" w:cs="Times New Roman"/>
                <w:sz w:val="24"/>
              </w:rPr>
              <w:t>表。</w:t>
            </w:r>
          </w:p>
          <w:p w14:paraId="5D096E31">
            <w:pPr>
              <w:keepNext w:val="0"/>
              <w:keepLines w:val="0"/>
              <w:suppressLineNumbers w:val="0"/>
              <w:spacing w:before="0" w:beforeAutospacing="0" w:after="0" w:afterAutospacing="0"/>
              <w:ind w:left="0" w:right="0"/>
              <w:rPr>
                <w:rFonts w:hint="eastAsia"/>
              </w:rPr>
            </w:pPr>
          </w:p>
        </w:tc>
      </w:tr>
    </w:tbl>
    <w:p w14:paraId="62B583CE">
      <w:pPr>
        <w:bidi w:val="0"/>
        <w:rPr>
          <w:rFonts w:hint="eastAsia"/>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19160932">
      <w:pPr>
        <w:jc w:val="center"/>
        <w:rPr>
          <w:rFonts w:hint="eastAsia" w:ascii="Times New Roman" w:hAnsi="Times New Roman" w:eastAsia="宋体"/>
        </w:rPr>
      </w:pPr>
      <w:r>
        <w:rPr>
          <w:rFonts w:ascii="Times New Roman" w:hAnsi="Times New Roman" w:eastAsia="宋体"/>
          <w:b/>
          <w:bCs/>
        </w:rPr>
        <w:t>表4-</w:t>
      </w:r>
      <w:r>
        <w:rPr>
          <w:rFonts w:hint="eastAsia"/>
          <w:b/>
          <w:bCs/>
          <w:lang w:val="en-US" w:eastAsia="zh-CN"/>
        </w:rPr>
        <w:t>7</w:t>
      </w:r>
      <w:r>
        <w:rPr>
          <w:rFonts w:hint="eastAsia" w:ascii="Times New Roman" w:hAnsi="Times New Roman" w:eastAsia="宋体"/>
          <w:b/>
          <w:bCs/>
          <w:lang w:val="en-US" w:eastAsia="zh-CN"/>
        </w:rPr>
        <w:t xml:space="preserve"> </w:t>
      </w:r>
      <w:r>
        <w:rPr>
          <w:rFonts w:ascii="Times New Roman" w:hAnsi="Times New Roman" w:eastAsia="宋体"/>
          <w:b/>
          <w:bCs/>
        </w:rPr>
        <w:t xml:space="preserve"> 项目</w:t>
      </w:r>
      <w:r>
        <w:rPr>
          <w:rFonts w:hint="eastAsia" w:ascii="Times New Roman" w:hAnsi="Times New Roman" w:eastAsia="宋体"/>
          <w:b/>
          <w:bCs/>
        </w:rPr>
        <w:t>工业企业噪声源强调查清单（室内声源）</w:t>
      </w:r>
    </w:p>
    <w:tbl>
      <w:tblPr>
        <w:tblStyle w:val="25"/>
        <w:tblW w:w="5059" w:type="pct"/>
        <w:tblInd w:w="-166" w:type="dxa"/>
        <w:tblLayout w:type="fixed"/>
        <w:tblCellMar>
          <w:top w:w="0" w:type="dxa"/>
          <w:left w:w="108" w:type="dxa"/>
          <w:bottom w:w="0" w:type="dxa"/>
          <w:right w:w="108" w:type="dxa"/>
        </w:tblCellMar>
      </w:tblPr>
      <w:tblGrid>
        <w:gridCol w:w="494"/>
        <w:gridCol w:w="789"/>
        <w:gridCol w:w="1175"/>
        <w:gridCol w:w="511"/>
        <w:gridCol w:w="1127"/>
        <w:gridCol w:w="716"/>
        <w:gridCol w:w="910"/>
        <w:gridCol w:w="889"/>
        <w:gridCol w:w="448"/>
        <w:gridCol w:w="1039"/>
        <w:gridCol w:w="1335"/>
        <w:gridCol w:w="969"/>
        <w:gridCol w:w="1274"/>
        <w:gridCol w:w="1050"/>
        <w:gridCol w:w="1062"/>
      </w:tblGrid>
      <w:tr w14:paraId="1F0F67A6">
        <w:tblPrEx>
          <w:tblCellMar>
            <w:top w:w="0" w:type="dxa"/>
            <w:left w:w="108" w:type="dxa"/>
            <w:bottom w:w="0" w:type="dxa"/>
            <w:right w:w="108" w:type="dxa"/>
          </w:tblCellMar>
        </w:tblPrEx>
        <w:trPr>
          <w:trHeight w:val="263" w:hRule="atLeast"/>
        </w:trPr>
        <w:tc>
          <w:tcPr>
            <w:tcW w:w="179" w:type="pct"/>
            <w:vMerge w:val="restart"/>
            <w:tcBorders>
              <w:top w:val="single" w:color="000000" w:sz="4" w:space="0"/>
              <w:left w:val="single" w:color="000000" w:sz="4" w:space="0"/>
              <w:bottom w:val="single" w:color="000000" w:sz="4" w:space="0"/>
              <w:right w:val="single" w:color="000000" w:sz="4" w:space="0"/>
            </w:tcBorders>
            <w:shd w:val="clear" w:color="auto" w:fill="F0F0F0"/>
            <w:noWrap/>
            <w:vAlign w:val="center"/>
          </w:tcPr>
          <w:p w14:paraId="19466E4A">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宋体"/>
                <w:color w:val="auto"/>
                <w:sz w:val="21"/>
                <w:szCs w:val="21"/>
              </w:rPr>
            </w:pPr>
            <w:r>
              <w:rPr>
                <w:rFonts w:hint="eastAsia" w:ascii="Times New Roman" w:hAnsi="Times New Roman" w:eastAsia="宋体" w:cs="宋体"/>
                <w:color w:val="auto"/>
                <w:kern w:val="0"/>
                <w:sz w:val="21"/>
                <w:szCs w:val="21"/>
                <w:lang w:bidi="ar"/>
              </w:rPr>
              <w:t>序号</w:t>
            </w:r>
          </w:p>
        </w:tc>
        <w:tc>
          <w:tcPr>
            <w:tcW w:w="286" w:type="pct"/>
            <w:vMerge w:val="restart"/>
            <w:tcBorders>
              <w:top w:val="single" w:color="000000" w:sz="4" w:space="0"/>
              <w:left w:val="single" w:color="000000" w:sz="4" w:space="0"/>
              <w:bottom w:val="single" w:color="000000" w:sz="4" w:space="0"/>
              <w:right w:val="single" w:color="000000" w:sz="4" w:space="0"/>
            </w:tcBorders>
            <w:shd w:val="clear" w:color="auto" w:fill="F0F0F0"/>
            <w:noWrap/>
            <w:vAlign w:val="center"/>
          </w:tcPr>
          <w:p w14:paraId="629B00E1">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宋体"/>
                <w:color w:val="auto"/>
                <w:sz w:val="21"/>
                <w:szCs w:val="21"/>
              </w:rPr>
            </w:pPr>
            <w:r>
              <w:rPr>
                <w:rFonts w:hint="eastAsia" w:ascii="Times New Roman" w:hAnsi="Times New Roman" w:eastAsia="宋体" w:cs="宋体"/>
                <w:color w:val="auto"/>
                <w:kern w:val="0"/>
                <w:sz w:val="21"/>
                <w:szCs w:val="21"/>
                <w:lang w:bidi="ar"/>
              </w:rPr>
              <w:t>建筑物名称</w:t>
            </w:r>
          </w:p>
        </w:tc>
        <w:tc>
          <w:tcPr>
            <w:tcW w:w="426" w:type="pct"/>
            <w:vMerge w:val="restart"/>
            <w:tcBorders>
              <w:top w:val="single" w:color="000000" w:sz="4" w:space="0"/>
              <w:left w:val="single" w:color="000000" w:sz="4" w:space="0"/>
              <w:bottom w:val="single" w:color="000000" w:sz="4" w:space="0"/>
              <w:right w:val="single" w:color="000000" w:sz="4" w:space="0"/>
            </w:tcBorders>
            <w:shd w:val="clear" w:color="auto" w:fill="F0F0F0"/>
            <w:noWrap/>
            <w:vAlign w:val="center"/>
          </w:tcPr>
          <w:p w14:paraId="024DA361">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宋体"/>
                <w:color w:val="auto"/>
                <w:sz w:val="21"/>
                <w:szCs w:val="21"/>
              </w:rPr>
            </w:pPr>
            <w:r>
              <w:rPr>
                <w:rFonts w:hint="eastAsia" w:ascii="Times New Roman" w:hAnsi="Times New Roman" w:eastAsia="宋体" w:cs="宋体"/>
                <w:color w:val="auto"/>
                <w:kern w:val="0"/>
                <w:sz w:val="21"/>
                <w:szCs w:val="21"/>
                <w:lang w:bidi="ar"/>
              </w:rPr>
              <w:t>声源名称</w:t>
            </w:r>
          </w:p>
        </w:tc>
        <w:tc>
          <w:tcPr>
            <w:tcW w:w="185" w:type="pct"/>
            <w:vMerge w:val="restart"/>
            <w:tcBorders>
              <w:top w:val="single" w:color="000000" w:sz="4" w:space="0"/>
              <w:left w:val="single" w:color="000000" w:sz="4" w:space="0"/>
              <w:bottom w:val="single" w:color="000000" w:sz="4" w:space="0"/>
              <w:right w:val="single" w:color="000000" w:sz="4" w:space="0"/>
            </w:tcBorders>
            <w:shd w:val="clear" w:color="auto" w:fill="F0F0F0"/>
            <w:noWrap/>
            <w:vAlign w:val="center"/>
          </w:tcPr>
          <w:p w14:paraId="59360320">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宋体"/>
                <w:color w:val="auto"/>
                <w:sz w:val="21"/>
                <w:szCs w:val="21"/>
              </w:rPr>
            </w:pPr>
            <w:r>
              <w:rPr>
                <w:rFonts w:hint="eastAsia" w:ascii="Times New Roman" w:hAnsi="Times New Roman" w:eastAsia="宋体" w:cs="宋体"/>
                <w:color w:val="auto"/>
                <w:kern w:val="0"/>
                <w:sz w:val="21"/>
                <w:szCs w:val="21"/>
                <w:lang w:bidi="ar"/>
              </w:rPr>
              <w:t>型号</w:t>
            </w:r>
          </w:p>
        </w:tc>
        <w:tc>
          <w:tcPr>
            <w:tcW w:w="408" w:type="pct"/>
            <w:vMerge w:val="restart"/>
            <w:tcBorders>
              <w:top w:val="single" w:color="000000" w:sz="4" w:space="0"/>
              <w:left w:val="single" w:color="000000" w:sz="4" w:space="0"/>
              <w:right w:val="single" w:color="000000" w:sz="4" w:space="0"/>
            </w:tcBorders>
            <w:shd w:val="clear" w:color="auto" w:fill="F0F0F0"/>
            <w:noWrap/>
            <w:vAlign w:val="center"/>
          </w:tcPr>
          <w:p w14:paraId="10FC9CF6">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imes New Roman" w:hAnsi="Times New Roman" w:eastAsia="宋体" w:cs="宋体"/>
                <w:color w:val="auto"/>
                <w:kern w:val="0"/>
                <w:sz w:val="21"/>
                <w:szCs w:val="21"/>
                <w:lang w:bidi="ar"/>
              </w:rPr>
            </w:pPr>
            <w:r>
              <w:rPr>
                <w:rFonts w:hint="eastAsia" w:ascii="Times New Roman" w:hAnsi="Times New Roman" w:eastAsia="宋体" w:cs="宋体"/>
                <w:color w:val="auto"/>
                <w:kern w:val="0"/>
                <w:sz w:val="21"/>
                <w:szCs w:val="21"/>
                <w:lang w:bidi="ar"/>
              </w:rPr>
              <w:t>声压级/距声源距离)</w:t>
            </w:r>
          </w:p>
          <w:p w14:paraId="0C0E1066">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宋体"/>
                <w:color w:val="auto"/>
                <w:sz w:val="21"/>
                <w:szCs w:val="21"/>
              </w:rPr>
            </w:pPr>
            <w:r>
              <w:rPr>
                <w:rFonts w:hint="eastAsia" w:ascii="Times New Roman" w:hAnsi="Times New Roman" w:eastAsia="宋体" w:cs="宋体"/>
                <w:color w:val="auto"/>
                <w:kern w:val="0"/>
                <w:sz w:val="21"/>
                <w:szCs w:val="21"/>
                <w:lang w:bidi="ar"/>
              </w:rPr>
              <w:t>(dB(A)/m)</w:t>
            </w:r>
          </w:p>
        </w:tc>
        <w:tc>
          <w:tcPr>
            <w:tcW w:w="259" w:type="pct"/>
            <w:vMerge w:val="restart"/>
            <w:tcBorders>
              <w:top w:val="single" w:color="000000" w:sz="4" w:space="0"/>
              <w:left w:val="single" w:color="000000" w:sz="4" w:space="0"/>
              <w:bottom w:val="single" w:color="000000" w:sz="4" w:space="0"/>
              <w:right w:val="single" w:color="000000" w:sz="4" w:space="0"/>
            </w:tcBorders>
            <w:shd w:val="clear" w:color="auto" w:fill="F0F0F0"/>
            <w:noWrap/>
            <w:vAlign w:val="center"/>
          </w:tcPr>
          <w:p w14:paraId="2E00C074">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宋体"/>
                <w:color w:val="auto"/>
                <w:sz w:val="21"/>
                <w:szCs w:val="21"/>
              </w:rPr>
            </w:pPr>
            <w:r>
              <w:rPr>
                <w:rFonts w:hint="eastAsia" w:ascii="Times New Roman" w:hAnsi="Times New Roman" w:eastAsia="宋体" w:cs="宋体"/>
                <w:color w:val="auto"/>
                <w:kern w:val="0"/>
                <w:sz w:val="21"/>
                <w:szCs w:val="21"/>
                <w:lang w:bidi="ar"/>
              </w:rPr>
              <w:t>声源控制措施</w:t>
            </w:r>
          </w:p>
        </w:tc>
        <w:tc>
          <w:tcPr>
            <w:tcW w:w="814" w:type="pct"/>
            <w:gridSpan w:val="3"/>
            <w:tcBorders>
              <w:top w:val="single" w:color="000000" w:sz="4" w:space="0"/>
              <w:left w:val="single" w:color="000000" w:sz="4" w:space="0"/>
              <w:bottom w:val="single" w:color="000000" w:sz="4" w:space="0"/>
              <w:right w:val="single" w:color="000000" w:sz="4" w:space="0"/>
            </w:tcBorders>
            <w:shd w:val="clear" w:color="auto" w:fill="F0F0F0"/>
            <w:noWrap/>
            <w:vAlign w:val="center"/>
          </w:tcPr>
          <w:p w14:paraId="6417B1C7">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宋体"/>
                <w:color w:val="auto"/>
                <w:sz w:val="21"/>
                <w:szCs w:val="21"/>
              </w:rPr>
            </w:pPr>
            <w:r>
              <w:rPr>
                <w:rFonts w:hint="eastAsia" w:ascii="Times New Roman" w:hAnsi="Times New Roman" w:eastAsia="宋体" w:cs="宋体"/>
                <w:color w:val="auto"/>
                <w:kern w:val="0"/>
                <w:sz w:val="21"/>
                <w:szCs w:val="21"/>
                <w:lang w:bidi="ar"/>
              </w:rPr>
              <w:t>空间相对位置/m</w:t>
            </w:r>
          </w:p>
        </w:tc>
        <w:tc>
          <w:tcPr>
            <w:tcW w:w="376" w:type="pct"/>
            <w:vMerge w:val="restart"/>
            <w:tcBorders>
              <w:top w:val="single" w:color="000000" w:sz="4" w:space="0"/>
              <w:left w:val="single" w:color="000000" w:sz="4" w:space="0"/>
              <w:bottom w:val="single" w:color="000000" w:sz="4" w:space="0"/>
              <w:right w:val="single" w:color="000000" w:sz="4" w:space="0"/>
            </w:tcBorders>
            <w:shd w:val="clear" w:color="auto" w:fill="F0F0F0"/>
            <w:noWrap/>
            <w:vAlign w:val="center"/>
          </w:tcPr>
          <w:p w14:paraId="23BFAAEA">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宋体"/>
                <w:color w:val="auto"/>
                <w:sz w:val="21"/>
                <w:szCs w:val="21"/>
              </w:rPr>
            </w:pPr>
            <w:r>
              <w:rPr>
                <w:rFonts w:hint="eastAsia" w:ascii="Times New Roman" w:hAnsi="Times New Roman" w:eastAsia="宋体" w:cs="宋体"/>
                <w:color w:val="auto"/>
                <w:kern w:val="0"/>
                <w:sz w:val="21"/>
                <w:szCs w:val="21"/>
                <w:lang w:bidi="ar"/>
              </w:rPr>
              <w:t>距室内边界距离/m</w:t>
            </w:r>
          </w:p>
        </w:tc>
        <w:tc>
          <w:tcPr>
            <w:tcW w:w="484" w:type="pct"/>
            <w:vMerge w:val="restart"/>
            <w:tcBorders>
              <w:top w:val="single" w:color="000000" w:sz="4" w:space="0"/>
              <w:left w:val="single" w:color="000000" w:sz="4" w:space="0"/>
              <w:bottom w:val="single" w:color="000000" w:sz="4" w:space="0"/>
              <w:right w:val="single" w:color="000000" w:sz="4" w:space="0"/>
            </w:tcBorders>
            <w:shd w:val="clear" w:color="auto" w:fill="F0F0F0"/>
            <w:noWrap/>
            <w:vAlign w:val="center"/>
          </w:tcPr>
          <w:p w14:paraId="463540F2">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宋体"/>
                <w:color w:val="auto"/>
                <w:sz w:val="21"/>
                <w:szCs w:val="21"/>
              </w:rPr>
            </w:pPr>
            <w:r>
              <w:rPr>
                <w:rFonts w:hint="eastAsia" w:ascii="Times New Roman" w:hAnsi="Times New Roman" w:eastAsia="宋体" w:cs="宋体"/>
                <w:color w:val="auto"/>
                <w:kern w:val="0"/>
                <w:sz w:val="21"/>
                <w:szCs w:val="21"/>
                <w:lang w:bidi="ar"/>
              </w:rPr>
              <w:t>室内边界声级/dB(A)</w:t>
            </w:r>
          </w:p>
        </w:tc>
        <w:tc>
          <w:tcPr>
            <w:tcW w:w="351" w:type="pct"/>
            <w:vMerge w:val="restart"/>
            <w:tcBorders>
              <w:top w:val="single" w:color="000000" w:sz="4" w:space="0"/>
              <w:left w:val="single" w:color="000000" w:sz="4" w:space="0"/>
              <w:bottom w:val="single" w:color="000000" w:sz="4" w:space="0"/>
              <w:right w:val="single" w:color="000000" w:sz="4" w:space="0"/>
            </w:tcBorders>
            <w:shd w:val="clear" w:color="auto" w:fill="F0F0F0"/>
            <w:noWrap/>
            <w:vAlign w:val="center"/>
          </w:tcPr>
          <w:p w14:paraId="2C52B2AC">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宋体"/>
                <w:color w:val="auto"/>
                <w:sz w:val="21"/>
                <w:szCs w:val="21"/>
              </w:rPr>
            </w:pPr>
            <w:r>
              <w:rPr>
                <w:rFonts w:hint="eastAsia" w:ascii="Times New Roman" w:hAnsi="Times New Roman" w:eastAsia="宋体" w:cs="宋体"/>
                <w:color w:val="auto"/>
                <w:kern w:val="0"/>
                <w:sz w:val="21"/>
                <w:szCs w:val="21"/>
                <w:lang w:bidi="ar"/>
              </w:rPr>
              <w:t>运行时段</w:t>
            </w:r>
          </w:p>
        </w:tc>
        <w:tc>
          <w:tcPr>
            <w:tcW w:w="461" w:type="pct"/>
            <w:vMerge w:val="restart"/>
            <w:tcBorders>
              <w:top w:val="single" w:color="000000" w:sz="4" w:space="0"/>
              <w:left w:val="single" w:color="000000" w:sz="4" w:space="0"/>
              <w:bottom w:val="single" w:color="000000" w:sz="4" w:space="0"/>
              <w:right w:val="single" w:color="000000" w:sz="4" w:space="0"/>
            </w:tcBorders>
            <w:shd w:val="clear" w:color="auto" w:fill="F0F0F0"/>
            <w:noWrap/>
            <w:vAlign w:val="center"/>
          </w:tcPr>
          <w:p w14:paraId="66722E2B">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宋体"/>
                <w:color w:val="auto"/>
                <w:sz w:val="21"/>
                <w:szCs w:val="21"/>
              </w:rPr>
            </w:pPr>
            <w:r>
              <w:rPr>
                <w:rFonts w:hint="eastAsia" w:ascii="Times New Roman" w:hAnsi="Times New Roman" w:eastAsia="宋体" w:cs="宋体"/>
                <w:color w:val="auto"/>
                <w:kern w:val="0"/>
                <w:sz w:val="21"/>
                <w:szCs w:val="21"/>
                <w:lang w:bidi="ar"/>
              </w:rPr>
              <w:t>建筑物插入损失/dB(A)</w:t>
            </w:r>
          </w:p>
        </w:tc>
        <w:tc>
          <w:tcPr>
            <w:tcW w:w="765" w:type="pct"/>
            <w:gridSpan w:val="2"/>
            <w:tcBorders>
              <w:top w:val="single" w:color="000000" w:sz="4" w:space="0"/>
              <w:left w:val="single" w:color="000000" w:sz="4" w:space="0"/>
              <w:bottom w:val="single" w:color="000000" w:sz="4" w:space="0"/>
              <w:right w:val="single" w:color="000000" w:sz="4" w:space="0"/>
            </w:tcBorders>
            <w:shd w:val="clear" w:color="auto" w:fill="F0F0F0"/>
            <w:noWrap/>
            <w:vAlign w:val="center"/>
          </w:tcPr>
          <w:p w14:paraId="4FDB9B6E">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宋体"/>
                <w:color w:val="auto"/>
                <w:sz w:val="21"/>
                <w:szCs w:val="21"/>
              </w:rPr>
            </w:pPr>
            <w:r>
              <w:rPr>
                <w:rFonts w:hint="eastAsia" w:ascii="Times New Roman" w:hAnsi="Times New Roman" w:eastAsia="宋体" w:cs="宋体"/>
                <w:color w:val="auto"/>
                <w:kern w:val="0"/>
                <w:sz w:val="21"/>
                <w:szCs w:val="21"/>
                <w:lang w:bidi="ar"/>
              </w:rPr>
              <w:t>建筑物外噪声</w:t>
            </w:r>
          </w:p>
        </w:tc>
      </w:tr>
      <w:tr w14:paraId="5C7A1D8F">
        <w:tblPrEx>
          <w:tblCellMar>
            <w:top w:w="0" w:type="dxa"/>
            <w:left w:w="108" w:type="dxa"/>
            <w:bottom w:w="0" w:type="dxa"/>
            <w:right w:w="108" w:type="dxa"/>
          </w:tblCellMar>
        </w:tblPrEx>
        <w:trPr>
          <w:trHeight w:val="800" w:hRule="atLeast"/>
        </w:trPr>
        <w:tc>
          <w:tcPr>
            <w:tcW w:w="179" w:type="pct"/>
            <w:vMerge w:val="continue"/>
            <w:tcBorders>
              <w:top w:val="single" w:color="000000" w:sz="4" w:space="0"/>
              <w:left w:val="single" w:color="000000" w:sz="4" w:space="0"/>
              <w:bottom w:val="single" w:color="000000" w:sz="4" w:space="0"/>
              <w:right w:val="single" w:color="000000" w:sz="4" w:space="0"/>
            </w:tcBorders>
            <w:shd w:val="clear" w:color="auto" w:fill="F0F0F0"/>
            <w:noWrap/>
            <w:vAlign w:val="center"/>
          </w:tcPr>
          <w:p w14:paraId="54A26080">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宋体"/>
                <w:color w:val="auto"/>
                <w:sz w:val="21"/>
                <w:szCs w:val="21"/>
              </w:rPr>
            </w:pPr>
          </w:p>
        </w:tc>
        <w:tc>
          <w:tcPr>
            <w:tcW w:w="286" w:type="pct"/>
            <w:vMerge w:val="continue"/>
            <w:tcBorders>
              <w:top w:val="single" w:color="000000" w:sz="4" w:space="0"/>
              <w:left w:val="single" w:color="000000" w:sz="4" w:space="0"/>
              <w:bottom w:val="single" w:color="000000" w:sz="4" w:space="0"/>
              <w:right w:val="single" w:color="000000" w:sz="4" w:space="0"/>
            </w:tcBorders>
            <w:shd w:val="clear" w:color="auto" w:fill="F0F0F0"/>
            <w:noWrap/>
            <w:vAlign w:val="center"/>
          </w:tcPr>
          <w:p w14:paraId="20D1F3DD">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宋体"/>
                <w:color w:val="auto"/>
                <w:sz w:val="21"/>
                <w:szCs w:val="21"/>
              </w:rPr>
            </w:pPr>
          </w:p>
        </w:tc>
        <w:tc>
          <w:tcPr>
            <w:tcW w:w="426" w:type="pct"/>
            <w:vMerge w:val="continue"/>
            <w:tcBorders>
              <w:top w:val="single" w:color="000000" w:sz="4" w:space="0"/>
              <w:left w:val="single" w:color="000000" w:sz="4" w:space="0"/>
              <w:bottom w:val="single" w:color="000000" w:sz="4" w:space="0"/>
              <w:right w:val="single" w:color="000000" w:sz="4" w:space="0"/>
            </w:tcBorders>
            <w:shd w:val="clear" w:color="auto" w:fill="F0F0F0"/>
            <w:noWrap/>
            <w:vAlign w:val="center"/>
          </w:tcPr>
          <w:p w14:paraId="0385885C">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宋体"/>
                <w:color w:val="auto"/>
                <w:sz w:val="21"/>
                <w:szCs w:val="21"/>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F0F0F0"/>
            <w:noWrap/>
            <w:vAlign w:val="center"/>
          </w:tcPr>
          <w:p w14:paraId="4E5388EF">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宋体"/>
                <w:color w:val="auto"/>
                <w:sz w:val="21"/>
                <w:szCs w:val="21"/>
              </w:rPr>
            </w:pPr>
          </w:p>
        </w:tc>
        <w:tc>
          <w:tcPr>
            <w:tcW w:w="408" w:type="pct"/>
            <w:vMerge w:val="continue"/>
            <w:tcBorders>
              <w:left w:val="single" w:color="000000" w:sz="4" w:space="0"/>
              <w:bottom w:val="single" w:color="000000" w:sz="4" w:space="0"/>
              <w:right w:val="single" w:color="000000" w:sz="4" w:space="0"/>
            </w:tcBorders>
            <w:shd w:val="clear" w:color="auto" w:fill="F0F0F0"/>
            <w:noWrap w:val="0"/>
            <w:vAlign w:val="center"/>
          </w:tcPr>
          <w:p w14:paraId="752B7069">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宋体"/>
                <w:color w:val="auto"/>
                <w:sz w:val="21"/>
                <w:szCs w:val="21"/>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color="auto" w:fill="F0F0F0"/>
            <w:noWrap/>
            <w:vAlign w:val="center"/>
          </w:tcPr>
          <w:p w14:paraId="53E47AC2">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宋体"/>
                <w:color w:val="auto"/>
                <w:sz w:val="21"/>
                <w:szCs w:val="21"/>
              </w:rPr>
            </w:pPr>
          </w:p>
        </w:tc>
        <w:tc>
          <w:tcPr>
            <w:tcW w:w="329" w:type="pct"/>
            <w:tcBorders>
              <w:top w:val="single" w:color="000000" w:sz="4" w:space="0"/>
              <w:left w:val="single" w:color="000000" w:sz="4" w:space="0"/>
              <w:bottom w:val="single" w:color="000000" w:sz="4" w:space="0"/>
              <w:right w:val="single" w:color="000000" w:sz="4" w:space="0"/>
            </w:tcBorders>
            <w:shd w:val="clear" w:color="auto" w:fill="F0F0F0"/>
            <w:noWrap/>
            <w:vAlign w:val="center"/>
          </w:tcPr>
          <w:p w14:paraId="0C23920D">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宋体"/>
                <w:color w:val="auto"/>
                <w:sz w:val="21"/>
                <w:szCs w:val="21"/>
              </w:rPr>
            </w:pPr>
            <w:r>
              <w:rPr>
                <w:rFonts w:hint="eastAsia" w:ascii="Times New Roman" w:hAnsi="Times New Roman" w:eastAsia="宋体" w:cs="宋体"/>
                <w:color w:val="auto"/>
                <w:kern w:val="0"/>
                <w:sz w:val="21"/>
                <w:szCs w:val="21"/>
                <w:lang w:bidi="ar"/>
              </w:rPr>
              <w:t>X</w:t>
            </w:r>
          </w:p>
        </w:tc>
        <w:tc>
          <w:tcPr>
            <w:tcW w:w="322" w:type="pct"/>
            <w:tcBorders>
              <w:top w:val="single" w:color="000000" w:sz="4" w:space="0"/>
              <w:left w:val="single" w:color="000000" w:sz="4" w:space="0"/>
              <w:bottom w:val="single" w:color="000000" w:sz="4" w:space="0"/>
              <w:right w:val="single" w:color="000000" w:sz="4" w:space="0"/>
            </w:tcBorders>
            <w:shd w:val="clear" w:color="auto" w:fill="F0F0F0"/>
            <w:noWrap/>
            <w:vAlign w:val="center"/>
          </w:tcPr>
          <w:p w14:paraId="3268DA4D">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宋体"/>
                <w:color w:val="auto"/>
                <w:sz w:val="21"/>
                <w:szCs w:val="21"/>
              </w:rPr>
            </w:pPr>
            <w:r>
              <w:rPr>
                <w:rFonts w:hint="eastAsia" w:ascii="Times New Roman" w:hAnsi="Times New Roman" w:eastAsia="宋体" w:cs="宋体"/>
                <w:color w:val="auto"/>
                <w:kern w:val="0"/>
                <w:sz w:val="21"/>
                <w:szCs w:val="21"/>
                <w:lang w:bidi="ar"/>
              </w:rPr>
              <w:t>Y</w:t>
            </w:r>
          </w:p>
        </w:tc>
        <w:tc>
          <w:tcPr>
            <w:tcW w:w="162" w:type="pct"/>
            <w:tcBorders>
              <w:top w:val="single" w:color="000000" w:sz="4" w:space="0"/>
              <w:left w:val="single" w:color="000000" w:sz="4" w:space="0"/>
              <w:bottom w:val="single" w:color="000000" w:sz="4" w:space="0"/>
              <w:right w:val="single" w:color="000000" w:sz="4" w:space="0"/>
            </w:tcBorders>
            <w:shd w:val="clear" w:color="auto" w:fill="F0F0F0"/>
            <w:noWrap/>
            <w:vAlign w:val="center"/>
          </w:tcPr>
          <w:p w14:paraId="658D0F8B">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宋体"/>
                <w:color w:val="auto"/>
                <w:sz w:val="21"/>
                <w:szCs w:val="21"/>
              </w:rPr>
            </w:pPr>
            <w:r>
              <w:rPr>
                <w:rFonts w:hint="eastAsia" w:ascii="Times New Roman" w:hAnsi="Times New Roman" w:eastAsia="宋体" w:cs="宋体"/>
                <w:color w:val="auto"/>
                <w:kern w:val="0"/>
                <w:sz w:val="21"/>
                <w:szCs w:val="21"/>
                <w:lang w:bidi="ar"/>
              </w:rPr>
              <w:t>Z</w:t>
            </w:r>
          </w:p>
        </w:tc>
        <w:tc>
          <w:tcPr>
            <w:tcW w:w="376" w:type="pct"/>
            <w:vMerge w:val="continue"/>
            <w:tcBorders>
              <w:top w:val="single" w:color="000000" w:sz="4" w:space="0"/>
              <w:left w:val="single" w:color="000000" w:sz="4" w:space="0"/>
              <w:bottom w:val="single" w:color="000000" w:sz="4" w:space="0"/>
              <w:right w:val="single" w:color="000000" w:sz="4" w:space="0"/>
            </w:tcBorders>
            <w:shd w:val="clear" w:color="auto" w:fill="F0F0F0"/>
            <w:noWrap/>
            <w:vAlign w:val="center"/>
          </w:tcPr>
          <w:p w14:paraId="439DE441">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宋体"/>
                <w:color w:val="auto"/>
                <w:sz w:val="21"/>
                <w:szCs w:val="21"/>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F0F0F0"/>
            <w:noWrap/>
            <w:vAlign w:val="center"/>
          </w:tcPr>
          <w:p w14:paraId="24728FB5">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宋体"/>
                <w:color w:val="auto"/>
                <w:sz w:val="21"/>
                <w:szCs w:val="21"/>
              </w:rPr>
            </w:pPr>
          </w:p>
        </w:tc>
        <w:tc>
          <w:tcPr>
            <w:tcW w:w="351" w:type="pct"/>
            <w:vMerge w:val="continue"/>
            <w:tcBorders>
              <w:top w:val="single" w:color="000000" w:sz="4" w:space="0"/>
              <w:left w:val="single" w:color="000000" w:sz="4" w:space="0"/>
              <w:bottom w:val="single" w:color="000000" w:sz="4" w:space="0"/>
              <w:right w:val="single" w:color="000000" w:sz="4" w:space="0"/>
            </w:tcBorders>
            <w:shd w:val="clear" w:color="auto" w:fill="F0F0F0"/>
            <w:noWrap/>
            <w:vAlign w:val="center"/>
          </w:tcPr>
          <w:p w14:paraId="518259DA">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宋体"/>
                <w:color w:val="auto"/>
                <w:sz w:val="21"/>
                <w:szCs w:val="21"/>
              </w:rPr>
            </w:pPr>
          </w:p>
        </w:tc>
        <w:tc>
          <w:tcPr>
            <w:tcW w:w="461" w:type="pct"/>
            <w:vMerge w:val="continue"/>
            <w:tcBorders>
              <w:top w:val="single" w:color="000000" w:sz="4" w:space="0"/>
              <w:left w:val="single" w:color="000000" w:sz="4" w:space="0"/>
              <w:bottom w:val="single" w:color="000000" w:sz="4" w:space="0"/>
              <w:right w:val="single" w:color="000000" w:sz="4" w:space="0"/>
            </w:tcBorders>
            <w:shd w:val="clear" w:color="auto" w:fill="F0F0F0"/>
            <w:noWrap/>
            <w:vAlign w:val="center"/>
          </w:tcPr>
          <w:p w14:paraId="41E46512">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宋体"/>
                <w:color w:val="auto"/>
                <w:sz w:val="21"/>
                <w:szCs w:val="21"/>
              </w:rPr>
            </w:pPr>
          </w:p>
        </w:tc>
        <w:tc>
          <w:tcPr>
            <w:tcW w:w="380" w:type="pct"/>
            <w:tcBorders>
              <w:top w:val="single" w:color="000000" w:sz="4" w:space="0"/>
              <w:left w:val="single" w:color="000000" w:sz="4" w:space="0"/>
              <w:bottom w:val="single" w:color="000000" w:sz="4" w:space="0"/>
              <w:right w:val="single" w:color="000000" w:sz="4" w:space="0"/>
            </w:tcBorders>
            <w:shd w:val="clear" w:color="auto" w:fill="F0F0F0"/>
            <w:noWrap/>
            <w:vAlign w:val="center"/>
          </w:tcPr>
          <w:p w14:paraId="40208250">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宋体"/>
                <w:color w:val="auto"/>
                <w:sz w:val="21"/>
                <w:szCs w:val="21"/>
              </w:rPr>
            </w:pPr>
            <w:r>
              <w:rPr>
                <w:rFonts w:hint="eastAsia" w:ascii="Times New Roman" w:hAnsi="Times New Roman" w:eastAsia="宋体" w:cs="宋体"/>
                <w:color w:val="auto"/>
                <w:kern w:val="0"/>
                <w:sz w:val="21"/>
                <w:szCs w:val="21"/>
                <w:lang w:bidi="ar"/>
              </w:rPr>
              <w:t>声压级/dB(A)</w:t>
            </w:r>
          </w:p>
        </w:tc>
        <w:tc>
          <w:tcPr>
            <w:tcW w:w="385" w:type="pct"/>
            <w:tcBorders>
              <w:top w:val="single" w:color="000000" w:sz="4" w:space="0"/>
              <w:left w:val="single" w:color="000000" w:sz="4" w:space="0"/>
              <w:bottom w:val="single" w:color="000000" w:sz="4" w:space="0"/>
              <w:right w:val="single" w:color="000000" w:sz="4" w:space="0"/>
            </w:tcBorders>
            <w:shd w:val="clear" w:color="auto" w:fill="F0F0F0"/>
            <w:noWrap/>
            <w:vAlign w:val="center"/>
          </w:tcPr>
          <w:p w14:paraId="1FE34DD0">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宋体"/>
                <w:color w:val="auto"/>
                <w:sz w:val="21"/>
                <w:szCs w:val="21"/>
              </w:rPr>
            </w:pPr>
            <w:r>
              <w:rPr>
                <w:rFonts w:hint="eastAsia" w:ascii="Times New Roman" w:hAnsi="Times New Roman" w:eastAsia="宋体" w:cs="宋体"/>
                <w:color w:val="auto"/>
                <w:kern w:val="0"/>
                <w:sz w:val="21"/>
                <w:szCs w:val="21"/>
                <w:lang w:bidi="ar"/>
              </w:rPr>
              <w:t>建筑物外距离</w:t>
            </w:r>
          </w:p>
        </w:tc>
      </w:tr>
      <w:tr w14:paraId="1B8402FF">
        <w:tblPrEx>
          <w:tblCellMar>
            <w:top w:w="0" w:type="dxa"/>
            <w:left w:w="108" w:type="dxa"/>
            <w:bottom w:w="0" w:type="dxa"/>
            <w:right w:w="108" w:type="dxa"/>
          </w:tblCellMar>
        </w:tblPrEx>
        <w:trPr>
          <w:trHeight w:val="365" w:hRule="atLeast"/>
        </w:trPr>
        <w:tc>
          <w:tcPr>
            <w:tcW w:w="179" w:type="pct"/>
            <w:tcBorders>
              <w:top w:val="single" w:color="000000" w:sz="4" w:space="0"/>
              <w:left w:val="single" w:color="000000" w:sz="4" w:space="0"/>
              <w:bottom w:val="single" w:color="000000" w:sz="4" w:space="0"/>
              <w:right w:val="single" w:color="000000" w:sz="4" w:space="0"/>
            </w:tcBorders>
            <w:noWrap/>
            <w:vAlign w:val="center"/>
          </w:tcPr>
          <w:p w14:paraId="3B5C993B">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宋体"/>
                <w:color w:val="auto"/>
                <w:sz w:val="21"/>
                <w:szCs w:val="21"/>
              </w:rPr>
            </w:pPr>
            <w:r>
              <w:rPr>
                <w:rFonts w:hint="eastAsia" w:ascii="Times New Roman" w:hAnsi="Times New Roman" w:eastAsia="宋体" w:cs="宋体"/>
                <w:color w:val="auto"/>
                <w:kern w:val="0"/>
                <w:sz w:val="21"/>
                <w:szCs w:val="21"/>
                <w:lang w:bidi="ar"/>
              </w:rPr>
              <w:t>1</w:t>
            </w:r>
          </w:p>
        </w:tc>
        <w:tc>
          <w:tcPr>
            <w:tcW w:w="286" w:type="pct"/>
            <w:tcBorders>
              <w:top w:val="single" w:color="000000" w:sz="4" w:space="0"/>
              <w:left w:val="single" w:color="000000" w:sz="4" w:space="0"/>
              <w:bottom w:val="single" w:color="000000" w:sz="4" w:space="0"/>
              <w:right w:val="single" w:color="000000" w:sz="4" w:space="0"/>
            </w:tcBorders>
            <w:noWrap/>
            <w:vAlign w:val="center"/>
          </w:tcPr>
          <w:p w14:paraId="39213B2C">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宋体"/>
                <w:color w:val="auto"/>
                <w:sz w:val="21"/>
                <w:szCs w:val="21"/>
              </w:rPr>
            </w:pPr>
            <w:r>
              <w:rPr>
                <w:rFonts w:hint="eastAsia" w:ascii="Times New Roman" w:hAnsi="Times New Roman" w:eastAsia="宋体" w:cs="Times New Roman"/>
                <w:color w:val="auto"/>
                <w:sz w:val="21"/>
                <w:szCs w:val="21"/>
              </w:rPr>
              <w:t>厂房</w:t>
            </w:r>
          </w:p>
        </w:tc>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DD8E8">
            <w:pPr>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喂料机</w:t>
            </w:r>
          </w:p>
        </w:tc>
        <w:tc>
          <w:tcPr>
            <w:tcW w:w="185" w:type="pct"/>
            <w:tcBorders>
              <w:top w:val="single" w:color="000000" w:sz="4" w:space="0"/>
              <w:left w:val="single" w:color="000000" w:sz="4" w:space="0"/>
              <w:bottom w:val="single" w:color="000000" w:sz="4" w:space="0"/>
              <w:right w:val="single" w:color="000000" w:sz="4" w:space="0"/>
            </w:tcBorders>
            <w:noWrap/>
            <w:vAlign w:val="center"/>
          </w:tcPr>
          <w:p w14:paraId="1EF4B062">
            <w:pPr>
              <w:keepNext w:val="0"/>
              <w:keepLines w:val="0"/>
              <w:suppressLineNumbers w:val="0"/>
              <w:adjustRightInd w:val="0"/>
              <w:snapToGrid w:val="0"/>
              <w:spacing w:before="0" w:beforeAutospacing="0" w:after="0" w:afterAutospacing="0"/>
              <w:ind w:left="0" w:leftChars="0" w:right="0" w:rightChars="0" w:firstLine="0" w:firstLineChars="0"/>
              <w:jc w:val="center"/>
              <w:rPr>
                <w:rFonts w:hint="eastAsia" w:ascii="Times New Roman" w:hAnsi="Times New Roman" w:eastAsia="宋体" w:cs="宋体"/>
                <w:color w:val="auto"/>
                <w:sz w:val="21"/>
                <w:szCs w:val="21"/>
                <w:lang w:val="en-US" w:eastAsia="zh-CN"/>
              </w:rPr>
            </w:pPr>
            <w:r>
              <w:rPr>
                <w:rFonts w:hint="eastAsia" w:cs="宋体"/>
                <w:color w:val="auto"/>
                <w:sz w:val="21"/>
                <w:szCs w:val="21"/>
                <w:lang w:val="en-US" w:eastAsia="zh-CN"/>
              </w:rPr>
              <w:t>/</w:t>
            </w:r>
          </w:p>
        </w:tc>
        <w:tc>
          <w:tcPr>
            <w:tcW w:w="408" w:type="pct"/>
            <w:tcBorders>
              <w:top w:val="single" w:color="000000" w:sz="4" w:space="0"/>
              <w:left w:val="single" w:color="000000" w:sz="4" w:space="0"/>
              <w:bottom w:val="single" w:color="000000" w:sz="4" w:space="0"/>
              <w:right w:val="single" w:color="000000" w:sz="4" w:space="0"/>
            </w:tcBorders>
            <w:noWrap/>
            <w:vAlign w:val="center"/>
          </w:tcPr>
          <w:p w14:paraId="25893AF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lang w:val="en-US" w:eastAsia="zh-CN"/>
              </w:rPr>
            </w:pPr>
            <w:r>
              <w:rPr>
                <w:rFonts w:hint="eastAsia" w:ascii="宋体" w:hAnsi="宋体" w:cs="宋体"/>
                <w:i w:val="0"/>
                <w:iCs w:val="0"/>
                <w:color w:val="000000"/>
                <w:kern w:val="0"/>
                <w:sz w:val="21"/>
                <w:szCs w:val="21"/>
                <w:u w:val="none"/>
                <w:lang w:val="en-US" w:eastAsia="zh-CN" w:bidi="ar"/>
              </w:rPr>
              <w:t>90</w:t>
            </w:r>
            <w:r>
              <w:rPr>
                <w:rFonts w:hint="eastAsia" w:ascii="宋体" w:hAnsi="宋体" w:eastAsia="宋体" w:cs="宋体"/>
                <w:i w:val="0"/>
                <w:iCs w:val="0"/>
                <w:color w:val="000000"/>
                <w:kern w:val="0"/>
                <w:sz w:val="21"/>
                <w:szCs w:val="21"/>
                <w:u w:val="none"/>
                <w:lang w:val="en-US" w:eastAsia="zh-CN" w:bidi="ar"/>
              </w:rPr>
              <w:t>/1</w:t>
            </w:r>
          </w:p>
        </w:tc>
        <w:tc>
          <w:tcPr>
            <w:tcW w:w="259" w:type="pct"/>
            <w:vMerge w:val="restart"/>
            <w:tcBorders>
              <w:top w:val="single" w:color="000000" w:sz="4" w:space="0"/>
              <w:left w:val="single" w:color="000000" w:sz="4" w:space="0"/>
              <w:right w:val="single" w:color="000000" w:sz="4" w:space="0"/>
            </w:tcBorders>
            <w:noWrap w:val="0"/>
            <w:vAlign w:val="center"/>
          </w:tcPr>
          <w:p w14:paraId="7EB8B121">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宋体"/>
                <w:color w:val="auto"/>
                <w:sz w:val="21"/>
                <w:szCs w:val="21"/>
              </w:rPr>
            </w:pPr>
            <w:r>
              <w:rPr>
                <w:rFonts w:hint="eastAsia" w:ascii="Times New Roman" w:hAnsi="Times New Roman" w:eastAsia="宋体" w:cs="宋体"/>
                <w:color w:val="auto"/>
                <w:kern w:val="0"/>
                <w:sz w:val="21"/>
                <w:szCs w:val="21"/>
                <w:lang w:bidi="ar"/>
              </w:rPr>
              <w:t>采取隔声、</w:t>
            </w:r>
            <w:r>
              <w:rPr>
                <w:rFonts w:hint="eastAsia" w:cs="宋体"/>
                <w:color w:val="auto"/>
                <w:kern w:val="0"/>
                <w:sz w:val="21"/>
                <w:szCs w:val="21"/>
                <w:lang w:eastAsia="zh-CN" w:bidi="ar"/>
              </w:rPr>
              <w:t>减振</w:t>
            </w:r>
            <w:r>
              <w:rPr>
                <w:rFonts w:hint="eastAsia" w:ascii="Times New Roman" w:hAnsi="Times New Roman" w:eastAsia="宋体" w:cs="宋体"/>
                <w:color w:val="auto"/>
                <w:kern w:val="0"/>
                <w:sz w:val="21"/>
                <w:szCs w:val="21"/>
                <w:lang w:bidi="ar"/>
              </w:rPr>
              <w:t>等噪声控制措施，通过距离衰减、建筑隔声</w:t>
            </w:r>
            <w:r>
              <w:rPr>
                <w:rFonts w:hint="eastAsia" w:cs="宋体"/>
                <w:color w:val="auto"/>
                <w:kern w:val="0"/>
                <w:sz w:val="21"/>
                <w:szCs w:val="21"/>
                <w:lang w:val="en-US" w:eastAsia="zh-CN" w:bidi="ar"/>
              </w:rPr>
              <w:t>等</w:t>
            </w:r>
            <w:r>
              <w:rPr>
                <w:rFonts w:hint="eastAsia" w:ascii="Times New Roman" w:hAnsi="Times New Roman" w:eastAsia="宋体" w:cs="宋体"/>
                <w:color w:val="auto"/>
                <w:kern w:val="0"/>
                <w:sz w:val="21"/>
                <w:szCs w:val="21"/>
                <w:lang w:bidi="ar"/>
              </w:rPr>
              <w:t>降噪</w:t>
            </w:r>
          </w:p>
        </w:tc>
        <w:tc>
          <w:tcPr>
            <w:tcW w:w="329" w:type="pct"/>
            <w:tcBorders>
              <w:top w:val="single" w:color="000000" w:sz="4" w:space="0"/>
              <w:left w:val="single" w:color="000000" w:sz="4" w:space="0"/>
              <w:bottom w:val="single" w:color="000000" w:sz="4" w:space="0"/>
              <w:right w:val="single" w:color="000000" w:sz="4" w:space="0"/>
            </w:tcBorders>
            <w:noWrap/>
            <w:vAlign w:val="center"/>
          </w:tcPr>
          <w:p w14:paraId="01B1E2B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rPr>
            </w:pPr>
            <w:r>
              <w:rPr>
                <w:rFonts w:hint="eastAsia" w:ascii="宋体" w:hAnsi="宋体" w:eastAsia="宋体" w:cs="宋体"/>
                <w:i w:val="0"/>
                <w:iCs w:val="0"/>
                <w:color w:val="000000"/>
                <w:kern w:val="0"/>
                <w:sz w:val="21"/>
                <w:szCs w:val="21"/>
                <w:u w:val="none"/>
                <w:lang w:val="en-US" w:eastAsia="zh-CN" w:bidi="ar"/>
              </w:rPr>
              <w:t>-11.16</w:t>
            </w:r>
          </w:p>
        </w:tc>
        <w:tc>
          <w:tcPr>
            <w:tcW w:w="322" w:type="pct"/>
            <w:tcBorders>
              <w:top w:val="single" w:color="000000" w:sz="4" w:space="0"/>
              <w:left w:val="single" w:color="000000" w:sz="4" w:space="0"/>
              <w:bottom w:val="single" w:color="000000" w:sz="4" w:space="0"/>
              <w:right w:val="single" w:color="000000" w:sz="4" w:space="0"/>
            </w:tcBorders>
            <w:noWrap/>
            <w:vAlign w:val="center"/>
          </w:tcPr>
          <w:p w14:paraId="2DBC0A7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rPr>
            </w:pPr>
            <w:r>
              <w:rPr>
                <w:rFonts w:hint="eastAsia" w:ascii="宋体" w:hAnsi="宋体" w:eastAsia="宋体" w:cs="宋体"/>
                <w:i w:val="0"/>
                <w:iCs w:val="0"/>
                <w:color w:val="000000"/>
                <w:kern w:val="0"/>
                <w:sz w:val="21"/>
                <w:szCs w:val="21"/>
                <w:u w:val="none"/>
                <w:lang w:val="en-US" w:eastAsia="zh-CN" w:bidi="ar"/>
              </w:rPr>
              <w:t>10.59</w:t>
            </w:r>
          </w:p>
        </w:tc>
        <w:tc>
          <w:tcPr>
            <w:tcW w:w="162" w:type="pct"/>
            <w:tcBorders>
              <w:top w:val="single" w:color="000000" w:sz="4" w:space="0"/>
              <w:left w:val="single" w:color="000000" w:sz="4" w:space="0"/>
              <w:bottom w:val="single" w:color="000000" w:sz="4" w:space="0"/>
              <w:right w:val="single" w:color="000000" w:sz="4" w:space="0"/>
            </w:tcBorders>
            <w:noWrap/>
            <w:vAlign w:val="center"/>
          </w:tcPr>
          <w:p w14:paraId="199C8A0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lang w:val="en-US"/>
              </w:rPr>
            </w:pPr>
            <w:r>
              <w:rPr>
                <w:rFonts w:hint="eastAsia" w:ascii="宋体" w:hAnsi="宋体" w:eastAsia="宋体" w:cs="宋体"/>
                <w:i w:val="0"/>
                <w:iCs w:val="0"/>
                <w:color w:val="000000"/>
                <w:kern w:val="0"/>
                <w:sz w:val="21"/>
                <w:szCs w:val="21"/>
                <w:u w:val="none"/>
                <w:lang w:val="en-US" w:eastAsia="zh-CN" w:bidi="ar"/>
              </w:rPr>
              <w:t>0</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C7D71">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4.82</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ABE67">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kern w:val="0"/>
                <w:sz w:val="18"/>
                <w:szCs w:val="18"/>
                <w:u w:val="none"/>
                <w:lang w:val="en-US" w:eastAsia="zh-CN" w:bidi="ar"/>
              </w:rPr>
              <w:t>80</w:t>
            </w:r>
            <w:r>
              <w:rPr>
                <w:rFonts w:hint="eastAsia" w:ascii="宋体" w:hAnsi="宋体" w:eastAsia="宋体" w:cs="宋体"/>
                <w:i w:val="0"/>
                <w:iCs w:val="0"/>
                <w:color w:val="000000"/>
                <w:kern w:val="0"/>
                <w:sz w:val="18"/>
                <w:szCs w:val="18"/>
                <w:u w:val="none"/>
                <w:lang w:val="en-US" w:eastAsia="zh-CN" w:bidi="ar"/>
              </w:rPr>
              <w:t>.18</w:t>
            </w:r>
          </w:p>
        </w:tc>
        <w:tc>
          <w:tcPr>
            <w:tcW w:w="351" w:type="pct"/>
            <w:tcBorders>
              <w:top w:val="single" w:color="000000" w:sz="4" w:space="0"/>
              <w:left w:val="single" w:color="000000" w:sz="4" w:space="0"/>
              <w:bottom w:val="single" w:color="000000" w:sz="4" w:space="0"/>
              <w:right w:val="single" w:color="000000" w:sz="4" w:space="0"/>
            </w:tcBorders>
            <w:noWrap/>
            <w:vAlign w:val="center"/>
          </w:tcPr>
          <w:p w14:paraId="76A78FD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rPr>
            </w:pPr>
            <w:r>
              <w:rPr>
                <w:rFonts w:hint="eastAsia" w:ascii="宋体" w:hAnsi="宋体" w:eastAsia="宋体" w:cs="宋体"/>
                <w:i w:val="0"/>
                <w:iCs w:val="0"/>
                <w:color w:val="000000"/>
                <w:kern w:val="0"/>
                <w:sz w:val="21"/>
                <w:szCs w:val="21"/>
                <w:u w:val="none"/>
                <w:lang w:val="en-US" w:eastAsia="zh-CN" w:bidi="ar"/>
              </w:rPr>
              <w:t>昼间</w:t>
            </w:r>
          </w:p>
        </w:tc>
        <w:tc>
          <w:tcPr>
            <w:tcW w:w="461" w:type="pct"/>
            <w:tcBorders>
              <w:top w:val="single" w:color="000000" w:sz="4" w:space="0"/>
              <w:left w:val="single" w:color="000000" w:sz="4" w:space="0"/>
              <w:bottom w:val="single" w:color="000000" w:sz="4" w:space="0"/>
              <w:right w:val="single" w:color="000000" w:sz="4" w:space="0"/>
            </w:tcBorders>
            <w:noWrap/>
            <w:vAlign w:val="center"/>
          </w:tcPr>
          <w:p w14:paraId="0D4F17B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lang w:val="en-US" w:eastAsia="zh-CN"/>
              </w:rPr>
            </w:pPr>
            <w:r>
              <w:rPr>
                <w:rFonts w:hint="eastAsia" w:cs="宋体"/>
                <w:color w:val="auto"/>
                <w:sz w:val="21"/>
                <w:szCs w:val="21"/>
                <w:lang w:val="en-US" w:eastAsia="zh-CN"/>
              </w:rPr>
              <w:t>40（下沉设置）</w:t>
            </w:r>
          </w:p>
        </w:tc>
        <w:tc>
          <w:tcPr>
            <w:tcW w:w="380" w:type="pct"/>
            <w:tcBorders>
              <w:top w:val="single" w:color="000000" w:sz="4" w:space="0"/>
              <w:left w:val="single" w:color="000000" w:sz="4" w:space="0"/>
              <w:bottom w:val="single" w:color="000000" w:sz="4" w:space="0"/>
              <w:right w:val="single" w:color="000000" w:sz="4" w:space="0"/>
            </w:tcBorders>
            <w:noWrap/>
            <w:vAlign w:val="center"/>
          </w:tcPr>
          <w:p w14:paraId="0EF97DE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lang w:val="en-US"/>
              </w:rPr>
            </w:pPr>
            <w:r>
              <w:rPr>
                <w:rFonts w:hint="eastAsia" w:ascii="宋体" w:hAnsi="宋体" w:cs="宋体"/>
                <w:i w:val="0"/>
                <w:iCs w:val="0"/>
                <w:color w:val="000000"/>
                <w:kern w:val="0"/>
                <w:sz w:val="21"/>
                <w:szCs w:val="21"/>
                <w:u w:val="none"/>
                <w:lang w:val="en-US" w:eastAsia="zh-CN" w:bidi="ar"/>
              </w:rPr>
              <w:t>34</w:t>
            </w:r>
            <w:r>
              <w:rPr>
                <w:rFonts w:hint="eastAsia" w:ascii="宋体" w:hAnsi="宋体" w:eastAsia="宋体" w:cs="宋体"/>
                <w:i w:val="0"/>
                <w:iCs w:val="0"/>
                <w:color w:val="000000"/>
                <w:kern w:val="0"/>
                <w:sz w:val="21"/>
                <w:szCs w:val="21"/>
                <w:u w:val="none"/>
                <w:lang w:val="en-US" w:eastAsia="zh-CN" w:bidi="ar"/>
              </w:rPr>
              <w:t>.18</w:t>
            </w:r>
          </w:p>
        </w:tc>
        <w:tc>
          <w:tcPr>
            <w:tcW w:w="385" w:type="pct"/>
            <w:tcBorders>
              <w:top w:val="single" w:color="000000" w:sz="4" w:space="0"/>
              <w:left w:val="single" w:color="000000" w:sz="4" w:space="0"/>
              <w:bottom w:val="single" w:color="000000" w:sz="4" w:space="0"/>
              <w:right w:val="single" w:color="000000" w:sz="4" w:space="0"/>
            </w:tcBorders>
            <w:noWrap/>
            <w:vAlign w:val="center"/>
          </w:tcPr>
          <w:p w14:paraId="606146D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rPr>
            </w:pPr>
            <w:r>
              <w:rPr>
                <w:rFonts w:hint="eastAsia" w:ascii="宋体" w:hAnsi="宋体" w:eastAsia="宋体" w:cs="宋体"/>
                <w:i w:val="0"/>
                <w:iCs w:val="0"/>
                <w:color w:val="000000"/>
                <w:kern w:val="0"/>
                <w:sz w:val="21"/>
                <w:szCs w:val="21"/>
                <w:u w:val="none"/>
                <w:lang w:val="en-US" w:eastAsia="zh-CN" w:bidi="ar"/>
              </w:rPr>
              <w:t>1</w:t>
            </w:r>
          </w:p>
        </w:tc>
      </w:tr>
      <w:tr w14:paraId="73C4118C">
        <w:tblPrEx>
          <w:tblCellMar>
            <w:top w:w="0" w:type="dxa"/>
            <w:left w:w="108" w:type="dxa"/>
            <w:bottom w:w="0" w:type="dxa"/>
            <w:right w:w="108" w:type="dxa"/>
          </w:tblCellMar>
        </w:tblPrEx>
        <w:trPr>
          <w:trHeight w:val="450" w:hRule="atLeast"/>
        </w:trPr>
        <w:tc>
          <w:tcPr>
            <w:tcW w:w="1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92C3E">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imes New Roman" w:hAnsi="Times New Roman" w:eastAsia="宋体" w:cs="宋体"/>
                <w:color w:val="auto"/>
                <w:kern w:val="2"/>
                <w:sz w:val="21"/>
                <w:szCs w:val="21"/>
                <w:lang w:val="en-US" w:eastAsia="zh-CN" w:bidi="ar-SA"/>
              </w:rPr>
            </w:pPr>
            <w:r>
              <w:rPr>
                <w:rFonts w:hint="eastAsia" w:cs="宋体"/>
                <w:color w:val="auto"/>
                <w:kern w:val="0"/>
                <w:sz w:val="21"/>
                <w:szCs w:val="21"/>
                <w:lang w:val="en-US" w:eastAsia="zh-CN" w:bidi="ar"/>
              </w:rPr>
              <w:t>2</w:t>
            </w:r>
          </w:p>
        </w:tc>
        <w:tc>
          <w:tcPr>
            <w:tcW w:w="286" w:type="pct"/>
            <w:tcBorders>
              <w:top w:val="single" w:color="000000" w:sz="4" w:space="0"/>
              <w:left w:val="single" w:color="000000" w:sz="4" w:space="0"/>
              <w:bottom w:val="single" w:color="000000" w:sz="4" w:space="0"/>
              <w:right w:val="single" w:color="000000" w:sz="4" w:space="0"/>
            </w:tcBorders>
            <w:noWrap/>
            <w:vAlign w:val="center"/>
          </w:tcPr>
          <w:p w14:paraId="18F6DB4D">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宋体"/>
                <w:color w:val="auto"/>
                <w:sz w:val="21"/>
                <w:szCs w:val="21"/>
              </w:rPr>
            </w:pPr>
            <w:r>
              <w:rPr>
                <w:rFonts w:hint="eastAsia" w:ascii="Times New Roman" w:hAnsi="Times New Roman" w:eastAsia="宋体" w:cs="Times New Roman"/>
                <w:color w:val="auto"/>
                <w:sz w:val="21"/>
                <w:szCs w:val="21"/>
              </w:rPr>
              <w:t>厂房</w:t>
            </w:r>
          </w:p>
        </w:tc>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E4907">
            <w:pPr>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颚式破碎机</w:t>
            </w:r>
          </w:p>
        </w:tc>
        <w:tc>
          <w:tcPr>
            <w:tcW w:w="185" w:type="pct"/>
            <w:tcBorders>
              <w:top w:val="single" w:color="000000" w:sz="4" w:space="0"/>
              <w:left w:val="single" w:color="000000" w:sz="4" w:space="0"/>
              <w:bottom w:val="single" w:color="000000" w:sz="4" w:space="0"/>
              <w:right w:val="single" w:color="000000" w:sz="4" w:space="0"/>
            </w:tcBorders>
            <w:noWrap/>
            <w:vAlign w:val="center"/>
          </w:tcPr>
          <w:p w14:paraId="651F69F8">
            <w:pPr>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宋体"/>
                <w:color w:val="auto"/>
                <w:sz w:val="21"/>
                <w:szCs w:val="21"/>
              </w:rPr>
            </w:pPr>
            <w:r>
              <w:rPr>
                <w:rFonts w:hint="eastAsia" w:ascii="Times New Roman" w:hAnsi="Times New Roman" w:eastAsia="宋体" w:cs="Times New Roman"/>
                <w:sz w:val="21"/>
                <w:szCs w:val="21"/>
                <w:lang w:val="en-US" w:eastAsia="zh-CN"/>
              </w:rPr>
              <w:t>/</w:t>
            </w:r>
          </w:p>
        </w:tc>
        <w:tc>
          <w:tcPr>
            <w:tcW w:w="408" w:type="pct"/>
            <w:tcBorders>
              <w:top w:val="single" w:color="000000" w:sz="4" w:space="0"/>
              <w:left w:val="single" w:color="000000" w:sz="4" w:space="0"/>
              <w:bottom w:val="single" w:color="000000" w:sz="4" w:space="0"/>
              <w:right w:val="single" w:color="000000" w:sz="4" w:space="0"/>
            </w:tcBorders>
            <w:noWrap/>
            <w:vAlign w:val="center"/>
          </w:tcPr>
          <w:p w14:paraId="09CE175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lang w:val="en-US"/>
              </w:rPr>
            </w:pPr>
            <w:r>
              <w:rPr>
                <w:rFonts w:hint="eastAsia" w:ascii="宋体" w:hAnsi="宋体" w:eastAsia="宋体" w:cs="宋体"/>
                <w:i w:val="0"/>
                <w:iCs w:val="0"/>
                <w:color w:val="000000"/>
                <w:kern w:val="0"/>
                <w:sz w:val="21"/>
                <w:szCs w:val="21"/>
                <w:u w:val="none"/>
                <w:lang w:val="en-US" w:eastAsia="zh-CN" w:bidi="ar"/>
              </w:rPr>
              <w:t>90/1</w:t>
            </w:r>
          </w:p>
        </w:tc>
        <w:tc>
          <w:tcPr>
            <w:tcW w:w="259" w:type="pct"/>
            <w:vMerge w:val="continue"/>
            <w:tcBorders>
              <w:left w:val="single" w:color="000000" w:sz="4" w:space="0"/>
              <w:right w:val="single" w:color="000000" w:sz="4" w:space="0"/>
            </w:tcBorders>
            <w:noWrap w:val="0"/>
            <w:vAlign w:val="center"/>
          </w:tcPr>
          <w:p w14:paraId="4AA7F5BB">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宋体"/>
                <w:color w:val="auto"/>
                <w:sz w:val="21"/>
                <w:szCs w:val="21"/>
              </w:rPr>
            </w:pPr>
          </w:p>
        </w:tc>
        <w:tc>
          <w:tcPr>
            <w:tcW w:w="329" w:type="pct"/>
            <w:tcBorders>
              <w:top w:val="single" w:color="000000" w:sz="4" w:space="0"/>
              <w:left w:val="single" w:color="000000" w:sz="4" w:space="0"/>
              <w:bottom w:val="single" w:color="000000" w:sz="4" w:space="0"/>
              <w:right w:val="single" w:color="000000" w:sz="4" w:space="0"/>
            </w:tcBorders>
            <w:noWrap/>
            <w:vAlign w:val="center"/>
          </w:tcPr>
          <w:p w14:paraId="08679B7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rPr>
            </w:pPr>
            <w:r>
              <w:rPr>
                <w:rFonts w:hint="eastAsia" w:ascii="宋体" w:hAnsi="宋体" w:eastAsia="宋体" w:cs="宋体"/>
                <w:i w:val="0"/>
                <w:iCs w:val="0"/>
                <w:color w:val="000000"/>
                <w:kern w:val="0"/>
                <w:sz w:val="21"/>
                <w:szCs w:val="21"/>
                <w:u w:val="none"/>
                <w:lang w:val="en-US" w:eastAsia="zh-CN" w:bidi="ar"/>
              </w:rPr>
              <w:t>-15.18</w:t>
            </w:r>
          </w:p>
        </w:tc>
        <w:tc>
          <w:tcPr>
            <w:tcW w:w="322" w:type="pct"/>
            <w:tcBorders>
              <w:top w:val="single" w:color="000000" w:sz="4" w:space="0"/>
              <w:left w:val="single" w:color="000000" w:sz="4" w:space="0"/>
              <w:bottom w:val="single" w:color="000000" w:sz="4" w:space="0"/>
              <w:right w:val="single" w:color="000000" w:sz="4" w:space="0"/>
            </w:tcBorders>
            <w:noWrap/>
            <w:vAlign w:val="center"/>
          </w:tcPr>
          <w:p w14:paraId="489E920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rPr>
            </w:pPr>
            <w:r>
              <w:rPr>
                <w:rFonts w:hint="eastAsia" w:ascii="宋体" w:hAnsi="宋体" w:eastAsia="宋体" w:cs="宋体"/>
                <w:i w:val="0"/>
                <w:iCs w:val="0"/>
                <w:color w:val="000000"/>
                <w:kern w:val="0"/>
                <w:sz w:val="21"/>
                <w:szCs w:val="21"/>
                <w:u w:val="none"/>
                <w:lang w:val="en-US" w:eastAsia="zh-CN" w:bidi="ar"/>
              </w:rPr>
              <w:t>7.49</w:t>
            </w:r>
          </w:p>
        </w:tc>
        <w:tc>
          <w:tcPr>
            <w:tcW w:w="162" w:type="pct"/>
            <w:tcBorders>
              <w:top w:val="single" w:color="000000" w:sz="4" w:space="0"/>
              <w:left w:val="single" w:color="000000" w:sz="4" w:space="0"/>
              <w:bottom w:val="single" w:color="000000" w:sz="4" w:space="0"/>
              <w:right w:val="single" w:color="000000" w:sz="4" w:space="0"/>
            </w:tcBorders>
            <w:noWrap/>
            <w:vAlign w:val="center"/>
          </w:tcPr>
          <w:p w14:paraId="39F1137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lang w:val="en-US"/>
              </w:rPr>
            </w:pPr>
            <w:r>
              <w:rPr>
                <w:rFonts w:hint="eastAsia" w:ascii="宋体" w:hAnsi="宋体" w:eastAsia="宋体" w:cs="宋体"/>
                <w:i w:val="0"/>
                <w:iCs w:val="0"/>
                <w:color w:val="000000"/>
                <w:kern w:val="0"/>
                <w:sz w:val="21"/>
                <w:szCs w:val="21"/>
                <w:u w:val="none"/>
                <w:lang w:val="en-US" w:eastAsia="zh-CN" w:bidi="ar"/>
              </w:rPr>
              <w:t>0</w:t>
            </w:r>
          </w:p>
        </w:tc>
        <w:tc>
          <w:tcPr>
            <w:tcW w:w="376" w:type="pct"/>
            <w:tcBorders>
              <w:top w:val="single" w:color="000000" w:sz="4" w:space="0"/>
              <w:left w:val="single" w:color="000000" w:sz="4" w:space="0"/>
              <w:bottom w:val="single" w:color="000000" w:sz="4" w:space="0"/>
              <w:right w:val="single" w:color="000000" w:sz="4" w:space="0"/>
            </w:tcBorders>
            <w:noWrap/>
            <w:vAlign w:val="center"/>
          </w:tcPr>
          <w:p w14:paraId="1AAAC71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lang w:val="en-US" w:eastAsia="zh-CN"/>
              </w:rPr>
            </w:pPr>
            <w:r>
              <w:rPr>
                <w:rFonts w:hint="eastAsia" w:ascii="宋体" w:hAnsi="宋体" w:eastAsia="宋体" w:cs="宋体"/>
                <w:i w:val="0"/>
                <w:iCs w:val="0"/>
                <w:color w:val="000000"/>
                <w:kern w:val="0"/>
                <w:sz w:val="18"/>
                <w:szCs w:val="18"/>
                <w:u w:val="none"/>
                <w:lang w:val="en-US" w:eastAsia="zh-CN" w:bidi="ar"/>
              </w:rPr>
              <w:t>2.85</w:t>
            </w:r>
          </w:p>
        </w:tc>
        <w:tc>
          <w:tcPr>
            <w:tcW w:w="484" w:type="pct"/>
            <w:tcBorders>
              <w:top w:val="single" w:color="000000" w:sz="4" w:space="0"/>
              <w:left w:val="single" w:color="000000" w:sz="4" w:space="0"/>
              <w:bottom w:val="single" w:color="000000" w:sz="4" w:space="0"/>
              <w:right w:val="single" w:color="000000" w:sz="4" w:space="0"/>
            </w:tcBorders>
            <w:noWrap/>
            <w:vAlign w:val="center"/>
          </w:tcPr>
          <w:p w14:paraId="6B008BF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lang w:val="en-US" w:eastAsia="zh-CN"/>
              </w:rPr>
            </w:pPr>
            <w:r>
              <w:rPr>
                <w:rFonts w:hint="eastAsia" w:ascii="宋体" w:hAnsi="宋体" w:eastAsia="宋体" w:cs="宋体"/>
                <w:i w:val="0"/>
                <w:iCs w:val="0"/>
                <w:color w:val="000000"/>
                <w:kern w:val="0"/>
                <w:sz w:val="18"/>
                <w:szCs w:val="18"/>
                <w:u w:val="none"/>
                <w:lang w:val="en-US" w:eastAsia="zh-CN" w:bidi="ar"/>
              </w:rPr>
              <w:t>80.44</w:t>
            </w:r>
          </w:p>
        </w:tc>
        <w:tc>
          <w:tcPr>
            <w:tcW w:w="351" w:type="pct"/>
            <w:tcBorders>
              <w:top w:val="single" w:color="000000" w:sz="4" w:space="0"/>
              <w:left w:val="single" w:color="000000" w:sz="4" w:space="0"/>
              <w:bottom w:val="single" w:color="000000" w:sz="4" w:space="0"/>
              <w:right w:val="single" w:color="000000" w:sz="4" w:space="0"/>
            </w:tcBorders>
            <w:noWrap/>
            <w:vAlign w:val="center"/>
          </w:tcPr>
          <w:p w14:paraId="6EA420B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rPr>
            </w:pPr>
            <w:r>
              <w:rPr>
                <w:rFonts w:hint="eastAsia" w:ascii="宋体" w:hAnsi="宋体" w:eastAsia="宋体" w:cs="宋体"/>
                <w:i w:val="0"/>
                <w:iCs w:val="0"/>
                <w:color w:val="000000"/>
                <w:kern w:val="0"/>
                <w:sz w:val="21"/>
                <w:szCs w:val="21"/>
                <w:u w:val="none"/>
                <w:lang w:val="en-US" w:eastAsia="zh-CN" w:bidi="ar"/>
              </w:rPr>
              <w:t>昼间</w:t>
            </w:r>
          </w:p>
        </w:tc>
        <w:tc>
          <w:tcPr>
            <w:tcW w:w="461" w:type="pct"/>
            <w:tcBorders>
              <w:top w:val="single" w:color="000000" w:sz="4" w:space="0"/>
              <w:left w:val="single" w:color="000000" w:sz="4" w:space="0"/>
              <w:bottom w:val="single" w:color="000000" w:sz="4" w:space="0"/>
              <w:right w:val="single" w:color="000000" w:sz="4" w:space="0"/>
            </w:tcBorders>
            <w:noWrap/>
            <w:vAlign w:val="center"/>
          </w:tcPr>
          <w:p w14:paraId="7613762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rPr>
            </w:pPr>
            <w:r>
              <w:rPr>
                <w:rFonts w:hint="eastAsia" w:cs="宋体"/>
                <w:color w:val="auto"/>
                <w:sz w:val="21"/>
                <w:szCs w:val="21"/>
                <w:lang w:val="en-US" w:eastAsia="zh-CN"/>
              </w:rPr>
              <w:t>40（下沉设置）</w:t>
            </w:r>
          </w:p>
        </w:tc>
        <w:tc>
          <w:tcPr>
            <w:tcW w:w="380" w:type="pct"/>
            <w:tcBorders>
              <w:top w:val="single" w:color="000000" w:sz="4" w:space="0"/>
              <w:left w:val="single" w:color="000000" w:sz="4" w:space="0"/>
              <w:bottom w:val="single" w:color="000000" w:sz="4" w:space="0"/>
              <w:right w:val="single" w:color="000000" w:sz="4" w:space="0"/>
            </w:tcBorders>
            <w:noWrap/>
            <w:vAlign w:val="center"/>
          </w:tcPr>
          <w:p w14:paraId="2DB5075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lang w:val="en-US"/>
              </w:rPr>
            </w:pPr>
            <w:r>
              <w:rPr>
                <w:rFonts w:hint="eastAsia" w:ascii="宋体" w:hAnsi="宋体" w:cs="宋体"/>
                <w:i w:val="0"/>
                <w:iCs w:val="0"/>
                <w:color w:val="000000"/>
                <w:kern w:val="0"/>
                <w:sz w:val="21"/>
                <w:szCs w:val="21"/>
                <w:u w:val="none"/>
                <w:lang w:val="en-US" w:eastAsia="zh-CN" w:bidi="ar"/>
              </w:rPr>
              <w:t>34.44</w:t>
            </w:r>
          </w:p>
        </w:tc>
        <w:tc>
          <w:tcPr>
            <w:tcW w:w="385" w:type="pct"/>
            <w:tcBorders>
              <w:top w:val="single" w:color="000000" w:sz="4" w:space="0"/>
              <w:left w:val="single" w:color="000000" w:sz="4" w:space="0"/>
              <w:bottom w:val="single" w:color="000000" w:sz="4" w:space="0"/>
              <w:right w:val="single" w:color="000000" w:sz="4" w:space="0"/>
            </w:tcBorders>
            <w:noWrap/>
            <w:vAlign w:val="center"/>
          </w:tcPr>
          <w:p w14:paraId="6B3DE53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rPr>
            </w:pPr>
            <w:r>
              <w:rPr>
                <w:rFonts w:hint="eastAsia" w:ascii="宋体" w:hAnsi="宋体" w:eastAsia="宋体" w:cs="宋体"/>
                <w:i w:val="0"/>
                <w:iCs w:val="0"/>
                <w:color w:val="000000"/>
                <w:kern w:val="0"/>
                <w:sz w:val="21"/>
                <w:szCs w:val="21"/>
                <w:u w:val="none"/>
                <w:lang w:val="en-US" w:eastAsia="zh-CN" w:bidi="ar"/>
              </w:rPr>
              <w:t>1</w:t>
            </w:r>
          </w:p>
        </w:tc>
      </w:tr>
      <w:tr w14:paraId="1CE2DC06">
        <w:tblPrEx>
          <w:tblCellMar>
            <w:top w:w="0" w:type="dxa"/>
            <w:left w:w="108" w:type="dxa"/>
            <w:bottom w:w="0" w:type="dxa"/>
            <w:right w:w="108" w:type="dxa"/>
          </w:tblCellMar>
        </w:tblPrEx>
        <w:trPr>
          <w:trHeight w:val="340" w:hRule="atLeast"/>
        </w:trPr>
        <w:tc>
          <w:tcPr>
            <w:tcW w:w="1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9E675">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0"/>
                <w:sz w:val="21"/>
                <w:szCs w:val="21"/>
                <w:lang w:bidi="ar"/>
              </w:rPr>
              <w:t>3</w:t>
            </w:r>
          </w:p>
        </w:tc>
        <w:tc>
          <w:tcPr>
            <w:tcW w:w="286" w:type="pct"/>
            <w:tcBorders>
              <w:top w:val="single" w:color="000000" w:sz="4" w:space="0"/>
              <w:left w:val="single" w:color="000000" w:sz="4" w:space="0"/>
              <w:bottom w:val="single" w:color="000000" w:sz="4" w:space="0"/>
              <w:right w:val="single" w:color="000000" w:sz="4" w:space="0"/>
            </w:tcBorders>
            <w:noWrap/>
            <w:vAlign w:val="center"/>
          </w:tcPr>
          <w:p w14:paraId="4970A669">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宋体"/>
                <w:color w:val="auto"/>
                <w:sz w:val="21"/>
                <w:szCs w:val="21"/>
              </w:rPr>
            </w:pPr>
            <w:r>
              <w:rPr>
                <w:rFonts w:hint="eastAsia" w:ascii="Times New Roman" w:hAnsi="Times New Roman" w:eastAsia="宋体" w:cs="Times New Roman"/>
                <w:color w:val="auto"/>
                <w:sz w:val="21"/>
                <w:szCs w:val="21"/>
              </w:rPr>
              <w:t>厂房</w:t>
            </w:r>
          </w:p>
        </w:tc>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85B61">
            <w:pPr>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振动筛</w:t>
            </w:r>
          </w:p>
        </w:tc>
        <w:tc>
          <w:tcPr>
            <w:tcW w:w="185" w:type="pct"/>
            <w:tcBorders>
              <w:top w:val="single" w:color="000000" w:sz="4" w:space="0"/>
              <w:left w:val="single" w:color="000000" w:sz="4" w:space="0"/>
              <w:bottom w:val="single" w:color="000000" w:sz="4" w:space="0"/>
              <w:right w:val="single" w:color="000000" w:sz="4" w:space="0"/>
            </w:tcBorders>
            <w:noWrap/>
            <w:vAlign w:val="center"/>
          </w:tcPr>
          <w:p w14:paraId="788D3B18">
            <w:pPr>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宋体"/>
                <w:color w:val="auto"/>
                <w:sz w:val="21"/>
                <w:szCs w:val="21"/>
              </w:rPr>
            </w:pPr>
            <w:r>
              <w:rPr>
                <w:rFonts w:hint="eastAsia" w:ascii="Times New Roman" w:hAnsi="Times New Roman" w:eastAsia="宋体" w:cs="Times New Roman"/>
                <w:sz w:val="21"/>
                <w:szCs w:val="21"/>
                <w:lang w:val="en-US" w:eastAsia="zh-CN"/>
              </w:rPr>
              <w:t>/</w:t>
            </w:r>
          </w:p>
        </w:tc>
        <w:tc>
          <w:tcPr>
            <w:tcW w:w="408" w:type="pct"/>
            <w:tcBorders>
              <w:top w:val="single" w:color="000000" w:sz="4" w:space="0"/>
              <w:left w:val="single" w:color="000000" w:sz="4" w:space="0"/>
              <w:bottom w:val="single" w:color="000000" w:sz="4" w:space="0"/>
              <w:right w:val="single" w:color="000000" w:sz="4" w:space="0"/>
            </w:tcBorders>
            <w:noWrap/>
            <w:vAlign w:val="center"/>
          </w:tcPr>
          <w:p w14:paraId="3AAE8F1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lang w:val="en-US" w:eastAsia="zh-CN"/>
              </w:rPr>
            </w:pPr>
            <w:r>
              <w:rPr>
                <w:rFonts w:hint="eastAsia" w:ascii="宋体" w:hAnsi="宋体" w:cs="宋体"/>
                <w:i w:val="0"/>
                <w:iCs w:val="0"/>
                <w:color w:val="000000"/>
                <w:kern w:val="0"/>
                <w:sz w:val="21"/>
                <w:szCs w:val="21"/>
                <w:u w:val="none"/>
                <w:lang w:val="en-US" w:eastAsia="zh-CN" w:bidi="ar"/>
              </w:rPr>
              <w:t>85</w:t>
            </w:r>
            <w:r>
              <w:rPr>
                <w:rFonts w:hint="eastAsia" w:ascii="宋体" w:hAnsi="宋体" w:eastAsia="宋体" w:cs="宋体"/>
                <w:i w:val="0"/>
                <w:iCs w:val="0"/>
                <w:color w:val="000000"/>
                <w:kern w:val="0"/>
                <w:sz w:val="21"/>
                <w:szCs w:val="21"/>
                <w:u w:val="none"/>
                <w:lang w:val="en-US" w:eastAsia="zh-CN" w:bidi="ar"/>
              </w:rPr>
              <w:t>/1</w:t>
            </w:r>
          </w:p>
        </w:tc>
        <w:tc>
          <w:tcPr>
            <w:tcW w:w="259" w:type="pct"/>
            <w:vMerge w:val="continue"/>
            <w:tcBorders>
              <w:left w:val="single" w:color="000000" w:sz="4" w:space="0"/>
              <w:right w:val="single" w:color="000000" w:sz="4" w:space="0"/>
            </w:tcBorders>
            <w:noWrap w:val="0"/>
            <w:vAlign w:val="center"/>
          </w:tcPr>
          <w:p w14:paraId="0DEB0C5D">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宋体"/>
                <w:color w:val="auto"/>
                <w:sz w:val="21"/>
                <w:szCs w:val="21"/>
              </w:rPr>
            </w:pPr>
          </w:p>
        </w:tc>
        <w:tc>
          <w:tcPr>
            <w:tcW w:w="329" w:type="pct"/>
            <w:tcBorders>
              <w:top w:val="single" w:color="000000" w:sz="4" w:space="0"/>
              <w:left w:val="single" w:color="000000" w:sz="4" w:space="0"/>
              <w:bottom w:val="single" w:color="000000" w:sz="4" w:space="0"/>
              <w:right w:val="single" w:color="000000" w:sz="4" w:space="0"/>
            </w:tcBorders>
            <w:noWrap/>
            <w:vAlign w:val="center"/>
          </w:tcPr>
          <w:p w14:paraId="1E04A21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rPr>
            </w:pPr>
            <w:r>
              <w:rPr>
                <w:rFonts w:hint="eastAsia" w:ascii="宋体" w:hAnsi="宋体" w:eastAsia="宋体" w:cs="宋体"/>
                <w:i w:val="0"/>
                <w:iCs w:val="0"/>
                <w:color w:val="000000"/>
                <w:kern w:val="0"/>
                <w:sz w:val="21"/>
                <w:szCs w:val="21"/>
                <w:u w:val="none"/>
                <w:lang w:val="en-US" w:eastAsia="zh-CN" w:bidi="ar"/>
              </w:rPr>
              <w:t>-17.01</w:t>
            </w:r>
          </w:p>
        </w:tc>
        <w:tc>
          <w:tcPr>
            <w:tcW w:w="322" w:type="pct"/>
            <w:tcBorders>
              <w:top w:val="single" w:color="000000" w:sz="4" w:space="0"/>
              <w:left w:val="single" w:color="000000" w:sz="4" w:space="0"/>
              <w:bottom w:val="single" w:color="000000" w:sz="4" w:space="0"/>
              <w:right w:val="single" w:color="000000" w:sz="4" w:space="0"/>
            </w:tcBorders>
            <w:noWrap/>
            <w:vAlign w:val="center"/>
          </w:tcPr>
          <w:p w14:paraId="01F81A1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rPr>
            </w:pPr>
            <w:r>
              <w:rPr>
                <w:rFonts w:hint="eastAsia" w:ascii="宋体" w:hAnsi="宋体" w:eastAsia="宋体" w:cs="宋体"/>
                <w:i w:val="0"/>
                <w:iCs w:val="0"/>
                <w:color w:val="000000"/>
                <w:kern w:val="0"/>
                <w:sz w:val="21"/>
                <w:szCs w:val="21"/>
                <w:u w:val="none"/>
                <w:lang w:val="en-US" w:eastAsia="zh-CN" w:bidi="ar"/>
              </w:rPr>
              <w:t>9.06</w:t>
            </w:r>
          </w:p>
        </w:tc>
        <w:tc>
          <w:tcPr>
            <w:tcW w:w="162" w:type="pct"/>
            <w:tcBorders>
              <w:top w:val="single" w:color="000000" w:sz="4" w:space="0"/>
              <w:left w:val="single" w:color="000000" w:sz="4" w:space="0"/>
              <w:bottom w:val="single" w:color="000000" w:sz="4" w:space="0"/>
              <w:right w:val="single" w:color="000000" w:sz="4" w:space="0"/>
            </w:tcBorders>
            <w:noWrap/>
            <w:vAlign w:val="center"/>
          </w:tcPr>
          <w:p w14:paraId="7A0F3F9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lang w:val="en-US" w:eastAsia="zh-CN"/>
              </w:rPr>
            </w:pPr>
            <w:r>
              <w:rPr>
                <w:rFonts w:hint="eastAsia" w:ascii="宋体" w:hAnsi="宋体" w:eastAsia="宋体" w:cs="宋体"/>
                <w:i w:val="0"/>
                <w:iCs w:val="0"/>
                <w:color w:val="000000"/>
                <w:kern w:val="0"/>
                <w:sz w:val="21"/>
                <w:szCs w:val="21"/>
                <w:u w:val="none"/>
                <w:lang w:val="en-US" w:eastAsia="zh-CN" w:bidi="ar"/>
              </w:rPr>
              <w:t>0</w:t>
            </w:r>
          </w:p>
        </w:tc>
        <w:tc>
          <w:tcPr>
            <w:tcW w:w="376" w:type="pct"/>
            <w:tcBorders>
              <w:top w:val="single" w:color="000000" w:sz="4" w:space="0"/>
              <w:left w:val="single" w:color="000000" w:sz="4" w:space="0"/>
              <w:bottom w:val="single" w:color="000000" w:sz="4" w:space="0"/>
              <w:right w:val="single" w:color="000000" w:sz="4" w:space="0"/>
            </w:tcBorders>
            <w:noWrap/>
            <w:vAlign w:val="center"/>
          </w:tcPr>
          <w:p w14:paraId="145B6E5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lang w:val="en-US" w:eastAsia="zh-CN"/>
              </w:rPr>
            </w:pPr>
            <w:r>
              <w:rPr>
                <w:rFonts w:hint="eastAsia" w:ascii="宋体" w:hAnsi="宋体" w:eastAsia="宋体" w:cs="宋体"/>
                <w:i w:val="0"/>
                <w:iCs w:val="0"/>
                <w:color w:val="000000"/>
                <w:kern w:val="0"/>
                <w:sz w:val="18"/>
                <w:szCs w:val="18"/>
                <w:u w:val="none"/>
                <w:lang w:val="en-US" w:eastAsia="zh-CN" w:bidi="ar"/>
              </w:rPr>
              <w:t>5.28</w:t>
            </w:r>
          </w:p>
        </w:tc>
        <w:tc>
          <w:tcPr>
            <w:tcW w:w="484" w:type="pct"/>
            <w:tcBorders>
              <w:top w:val="single" w:color="000000" w:sz="4" w:space="0"/>
              <w:left w:val="single" w:color="000000" w:sz="4" w:space="0"/>
              <w:bottom w:val="single" w:color="000000" w:sz="4" w:space="0"/>
              <w:right w:val="single" w:color="000000" w:sz="4" w:space="0"/>
            </w:tcBorders>
            <w:noWrap/>
            <w:vAlign w:val="center"/>
          </w:tcPr>
          <w:p w14:paraId="6D03A55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lang w:val="en-US" w:eastAsia="zh-CN"/>
              </w:rPr>
            </w:pPr>
            <w:r>
              <w:rPr>
                <w:rFonts w:hint="eastAsia" w:ascii="宋体" w:hAnsi="宋体" w:eastAsia="宋体" w:cs="宋体"/>
                <w:i w:val="0"/>
                <w:iCs w:val="0"/>
                <w:color w:val="000000"/>
                <w:kern w:val="0"/>
                <w:sz w:val="18"/>
                <w:szCs w:val="18"/>
                <w:u w:val="none"/>
                <w:lang w:val="en-US" w:eastAsia="zh-CN" w:bidi="ar"/>
              </w:rPr>
              <w:t>75.16</w:t>
            </w:r>
          </w:p>
        </w:tc>
        <w:tc>
          <w:tcPr>
            <w:tcW w:w="351" w:type="pct"/>
            <w:tcBorders>
              <w:top w:val="single" w:color="000000" w:sz="4" w:space="0"/>
              <w:left w:val="single" w:color="000000" w:sz="4" w:space="0"/>
              <w:bottom w:val="single" w:color="000000" w:sz="4" w:space="0"/>
              <w:right w:val="single" w:color="000000" w:sz="4" w:space="0"/>
            </w:tcBorders>
            <w:noWrap/>
            <w:vAlign w:val="center"/>
          </w:tcPr>
          <w:p w14:paraId="791FF84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rPr>
            </w:pPr>
            <w:r>
              <w:rPr>
                <w:rFonts w:hint="eastAsia" w:ascii="宋体" w:hAnsi="宋体" w:eastAsia="宋体" w:cs="宋体"/>
                <w:i w:val="0"/>
                <w:iCs w:val="0"/>
                <w:color w:val="000000"/>
                <w:kern w:val="0"/>
                <w:sz w:val="21"/>
                <w:szCs w:val="21"/>
                <w:u w:val="none"/>
                <w:lang w:val="en-US" w:eastAsia="zh-CN" w:bidi="ar"/>
              </w:rPr>
              <w:t>昼间</w:t>
            </w:r>
          </w:p>
        </w:tc>
        <w:tc>
          <w:tcPr>
            <w:tcW w:w="461" w:type="pct"/>
            <w:tcBorders>
              <w:top w:val="single" w:color="000000" w:sz="4" w:space="0"/>
              <w:left w:val="single" w:color="000000" w:sz="4" w:space="0"/>
              <w:bottom w:val="single" w:color="000000" w:sz="4" w:space="0"/>
              <w:right w:val="single" w:color="000000" w:sz="4" w:space="0"/>
            </w:tcBorders>
            <w:noWrap/>
            <w:vAlign w:val="center"/>
          </w:tcPr>
          <w:p w14:paraId="1DBD0C7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rPr>
            </w:pPr>
            <w:r>
              <w:rPr>
                <w:rFonts w:hint="eastAsia" w:cs="宋体"/>
                <w:color w:val="auto"/>
                <w:sz w:val="21"/>
                <w:szCs w:val="21"/>
                <w:lang w:val="en-US" w:eastAsia="zh-CN"/>
              </w:rPr>
              <w:t>40（下沉设置）</w:t>
            </w:r>
          </w:p>
        </w:tc>
        <w:tc>
          <w:tcPr>
            <w:tcW w:w="380" w:type="pct"/>
            <w:tcBorders>
              <w:top w:val="single" w:color="000000" w:sz="4" w:space="0"/>
              <w:left w:val="single" w:color="000000" w:sz="4" w:space="0"/>
              <w:bottom w:val="single" w:color="000000" w:sz="4" w:space="0"/>
              <w:right w:val="single" w:color="000000" w:sz="4" w:space="0"/>
            </w:tcBorders>
            <w:noWrap/>
            <w:vAlign w:val="center"/>
          </w:tcPr>
          <w:p w14:paraId="50E2095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lang w:val="en-US"/>
              </w:rPr>
            </w:pPr>
            <w:r>
              <w:rPr>
                <w:rFonts w:hint="eastAsia" w:ascii="宋体" w:hAnsi="宋体" w:cs="宋体"/>
                <w:i w:val="0"/>
                <w:iCs w:val="0"/>
                <w:color w:val="000000"/>
                <w:kern w:val="0"/>
                <w:sz w:val="21"/>
                <w:szCs w:val="21"/>
                <w:u w:val="none"/>
                <w:lang w:val="en-US" w:eastAsia="zh-CN" w:bidi="ar"/>
              </w:rPr>
              <w:t>29.16</w:t>
            </w:r>
          </w:p>
        </w:tc>
        <w:tc>
          <w:tcPr>
            <w:tcW w:w="385" w:type="pct"/>
            <w:tcBorders>
              <w:top w:val="single" w:color="000000" w:sz="4" w:space="0"/>
              <w:left w:val="single" w:color="000000" w:sz="4" w:space="0"/>
              <w:bottom w:val="single" w:color="000000" w:sz="4" w:space="0"/>
              <w:right w:val="single" w:color="000000" w:sz="4" w:space="0"/>
            </w:tcBorders>
            <w:noWrap/>
            <w:vAlign w:val="center"/>
          </w:tcPr>
          <w:p w14:paraId="1A2FA41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rPr>
            </w:pPr>
            <w:r>
              <w:rPr>
                <w:rFonts w:hint="eastAsia" w:ascii="宋体" w:hAnsi="宋体" w:eastAsia="宋体" w:cs="宋体"/>
                <w:i w:val="0"/>
                <w:iCs w:val="0"/>
                <w:color w:val="000000"/>
                <w:kern w:val="0"/>
                <w:sz w:val="21"/>
                <w:szCs w:val="21"/>
                <w:u w:val="none"/>
                <w:lang w:val="en-US" w:eastAsia="zh-CN" w:bidi="ar"/>
              </w:rPr>
              <w:t>1</w:t>
            </w:r>
          </w:p>
        </w:tc>
      </w:tr>
      <w:tr w14:paraId="49695ED5">
        <w:tblPrEx>
          <w:tblCellMar>
            <w:top w:w="0" w:type="dxa"/>
            <w:left w:w="108" w:type="dxa"/>
            <w:bottom w:w="0" w:type="dxa"/>
            <w:right w:w="108" w:type="dxa"/>
          </w:tblCellMar>
        </w:tblPrEx>
        <w:trPr>
          <w:trHeight w:val="544" w:hRule="atLeast"/>
        </w:trPr>
        <w:tc>
          <w:tcPr>
            <w:tcW w:w="1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6C5AA">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imes New Roman" w:hAnsi="Times New Roman" w:eastAsia="宋体" w:cs="宋体"/>
                <w:color w:val="auto"/>
                <w:kern w:val="0"/>
                <w:sz w:val="21"/>
                <w:szCs w:val="21"/>
                <w:lang w:val="en-US" w:eastAsia="zh-CN" w:bidi="ar"/>
              </w:rPr>
            </w:pPr>
            <w:r>
              <w:rPr>
                <w:rFonts w:hint="eastAsia" w:cs="宋体"/>
                <w:color w:val="auto"/>
                <w:kern w:val="0"/>
                <w:sz w:val="21"/>
                <w:szCs w:val="21"/>
                <w:lang w:val="en-US" w:eastAsia="zh-CN" w:bidi="ar"/>
              </w:rPr>
              <w:t>4</w:t>
            </w:r>
          </w:p>
        </w:tc>
        <w:tc>
          <w:tcPr>
            <w:tcW w:w="286" w:type="pct"/>
            <w:tcBorders>
              <w:top w:val="single" w:color="000000" w:sz="4" w:space="0"/>
              <w:left w:val="single" w:color="000000" w:sz="4" w:space="0"/>
              <w:bottom w:val="single" w:color="000000" w:sz="4" w:space="0"/>
              <w:right w:val="single" w:color="000000" w:sz="4" w:space="0"/>
            </w:tcBorders>
            <w:noWrap/>
            <w:vAlign w:val="center"/>
          </w:tcPr>
          <w:p w14:paraId="0218A6BD">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厂房</w:t>
            </w:r>
          </w:p>
        </w:tc>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3B329">
            <w:pPr>
              <w:keepNext w:val="0"/>
              <w:keepLines w:val="0"/>
              <w:suppressLineNumbers w:val="0"/>
              <w:adjustRightInd w:val="0"/>
              <w:snapToGrid w:val="0"/>
              <w:spacing w:before="0" w:beforeAutospacing="0" w:after="0" w:afterAutospacing="0"/>
              <w:ind w:left="0" w:leftChars="0" w:right="0" w:rightChars="0"/>
              <w:jc w:val="center"/>
              <w:rPr>
                <w:rFonts w:hint="default" w:cs="Times New Roman"/>
                <w:sz w:val="21"/>
                <w:szCs w:val="21"/>
                <w:lang w:val="en-US" w:eastAsia="zh-CN"/>
              </w:rPr>
            </w:pPr>
            <w:r>
              <w:rPr>
                <w:rFonts w:hint="eastAsia" w:cs="Times New Roman"/>
                <w:sz w:val="21"/>
                <w:szCs w:val="21"/>
                <w:lang w:val="en-US" w:eastAsia="zh-CN"/>
              </w:rPr>
              <w:t>锤头粉碎机</w:t>
            </w:r>
          </w:p>
        </w:tc>
        <w:tc>
          <w:tcPr>
            <w:tcW w:w="185" w:type="pct"/>
            <w:tcBorders>
              <w:top w:val="single" w:color="000000" w:sz="4" w:space="0"/>
              <w:left w:val="single" w:color="000000" w:sz="4" w:space="0"/>
              <w:bottom w:val="single" w:color="000000" w:sz="4" w:space="0"/>
              <w:right w:val="single" w:color="000000" w:sz="4" w:space="0"/>
            </w:tcBorders>
            <w:noWrap/>
            <w:vAlign w:val="center"/>
          </w:tcPr>
          <w:p w14:paraId="63FC548E">
            <w:pPr>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w:t>
            </w:r>
          </w:p>
        </w:tc>
        <w:tc>
          <w:tcPr>
            <w:tcW w:w="408" w:type="pct"/>
            <w:tcBorders>
              <w:top w:val="single" w:color="000000" w:sz="4" w:space="0"/>
              <w:left w:val="single" w:color="000000" w:sz="4" w:space="0"/>
              <w:bottom w:val="single" w:color="000000" w:sz="4" w:space="0"/>
              <w:right w:val="single" w:color="000000" w:sz="4" w:space="0"/>
            </w:tcBorders>
            <w:noWrap/>
            <w:vAlign w:val="center"/>
          </w:tcPr>
          <w:p w14:paraId="229A0D8A">
            <w:pPr>
              <w:keepNext w:val="0"/>
              <w:keepLines w:val="0"/>
              <w:widowControl/>
              <w:suppressLineNumbers w:val="0"/>
              <w:spacing w:before="0" w:beforeAutospacing="0" w:after="0" w:afterAutospacing="0"/>
              <w:ind w:left="0" w:right="0"/>
              <w:jc w:val="center"/>
              <w:textAlignment w:val="center"/>
              <w:rPr>
                <w:rFonts w:hint="default" w:cs="Arial"/>
                <w:sz w:val="21"/>
                <w:szCs w:val="21"/>
                <w:lang w:val="en-US" w:eastAsia="zh-CN"/>
              </w:rPr>
            </w:pPr>
            <w:r>
              <w:rPr>
                <w:rFonts w:hint="eastAsia" w:ascii="宋体" w:hAnsi="宋体" w:cs="宋体"/>
                <w:i w:val="0"/>
                <w:iCs w:val="0"/>
                <w:color w:val="000000"/>
                <w:kern w:val="0"/>
                <w:sz w:val="21"/>
                <w:szCs w:val="21"/>
                <w:u w:val="none"/>
                <w:lang w:val="en-US" w:eastAsia="zh-CN" w:bidi="ar"/>
              </w:rPr>
              <w:t>90</w:t>
            </w:r>
            <w:r>
              <w:rPr>
                <w:rFonts w:hint="eastAsia" w:ascii="宋体" w:hAnsi="宋体" w:eastAsia="宋体" w:cs="宋体"/>
                <w:i w:val="0"/>
                <w:iCs w:val="0"/>
                <w:color w:val="000000"/>
                <w:kern w:val="0"/>
                <w:sz w:val="21"/>
                <w:szCs w:val="21"/>
                <w:u w:val="none"/>
                <w:lang w:val="en-US" w:eastAsia="zh-CN" w:bidi="ar"/>
              </w:rPr>
              <w:t>/1</w:t>
            </w:r>
          </w:p>
        </w:tc>
        <w:tc>
          <w:tcPr>
            <w:tcW w:w="259" w:type="pct"/>
            <w:vMerge w:val="continue"/>
            <w:tcBorders>
              <w:left w:val="single" w:color="000000" w:sz="4" w:space="0"/>
              <w:right w:val="single" w:color="000000" w:sz="4" w:space="0"/>
            </w:tcBorders>
            <w:noWrap w:val="0"/>
            <w:vAlign w:val="center"/>
          </w:tcPr>
          <w:p w14:paraId="34EFA94A">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宋体"/>
                <w:color w:val="auto"/>
                <w:sz w:val="21"/>
                <w:szCs w:val="21"/>
              </w:rPr>
            </w:pPr>
          </w:p>
        </w:tc>
        <w:tc>
          <w:tcPr>
            <w:tcW w:w="329" w:type="pct"/>
            <w:tcBorders>
              <w:top w:val="single" w:color="000000" w:sz="4" w:space="0"/>
              <w:left w:val="single" w:color="000000" w:sz="4" w:space="0"/>
              <w:bottom w:val="single" w:color="000000" w:sz="4" w:space="0"/>
              <w:right w:val="single" w:color="000000" w:sz="4" w:space="0"/>
            </w:tcBorders>
            <w:noWrap/>
            <w:vAlign w:val="center"/>
          </w:tcPr>
          <w:p w14:paraId="09EFEE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-45.26</w:t>
            </w:r>
          </w:p>
        </w:tc>
        <w:tc>
          <w:tcPr>
            <w:tcW w:w="322" w:type="pct"/>
            <w:tcBorders>
              <w:top w:val="single" w:color="000000" w:sz="4" w:space="0"/>
              <w:left w:val="single" w:color="000000" w:sz="4" w:space="0"/>
              <w:bottom w:val="single" w:color="000000" w:sz="4" w:space="0"/>
              <w:right w:val="single" w:color="000000" w:sz="4" w:space="0"/>
            </w:tcBorders>
            <w:noWrap/>
            <w:vAlign w:val="center"/>
          </w:tcPr>
          <w:p w14:paraId="720D77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37.4</w:t>
            </w:r>
          </w:p>
        </w:tc>
        <w:tc>
          <w:tcPr>
            <w:tcW w:w="162" w:type="pct"/>
            <w:tcBorders>
              <w:top w:val="single" w:color="000000" w:sz="4" w:space="0"/>
              <w:left w:val="single" w:color="000000" w:sz="4" w:space="0"/>
              <w:bottom w:val="single" w:color="000000" w:sz="4" w:space="0"/>
              <w:right w:val="single" w:color="000000" w:sz="4" w:space="0"/>
            </w:tcBorders>
            <w:noWrap/>
            <w:vAlign w:val="center"/>
          </w:tcPr>
          <w:p w14:paraId="0BC773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376" w:type="pct"/>
            <w:tcBorders>
              <w:top w:val="single" w:color="000000" w:sz="4" w:space="0"/>
              <w:left w:val="single" w:color="000000" w:sz="4" w:space="0"/>
              <w:bottom w:val="single" w:color="000000" w:sz="4" w:space="0"/>
              <w:right w:val="single" w:color="000000" w:sz="4" w:space="0"/>
            </w:tcBorders>
            <w:noWrap/>
            <w:vAlign w:val="center"/>
          </w:tcPr>
          <w:p w14:paraId="1D2AEB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18"/>
                <w:szCs w:val="18"/>
                <w:u w:val="none"/>
                <w:lang w:val="en-US" w:eastAsia="zh-CN" w:bidi="ar"/>
              </w:rPr>
              <w:t>3.94</w:t>
            </w:r>
          </w:p>
        </w:tc>
        <w:tc>
          <w:tcPr>
            <w:tcW w:w="484" w:type="pct"/>
            <w:tcBorders>
              <w:top w:val="single" w:color="000000" w:sz="4" w:space="0"/>
              <w:left w:val="single" w:color="000000" w:sz="4" w:space="0"/>
              <w:bottom w:val="single" w:color="000000" w:sz="4" w:space="0"/>
              <w:right w:val="single" w:color="000000" w:sz="4" w:space="0"/>
            </w:tcBorders>
            <w:noWrap/>
            <w:vAlign w:val="center"/>
          </w:tcPr>
          <w:p w14:paraId="3A0AE8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18"/>
                <w:szCs w:val="18"/>
                <w:u w:val="none"/>
                <w:lang w:val="en-US" w:eastAsia="zh-CN" w:bidi="ar"/>
              </w:rPr>
              <w:t>80.25</w:t>
            </w:r>
          </w:p>
        </w:tc>
        <w:tc>
          <w:tcPr>
            <w:tcW w:w="351" w:type="pct"/>
            <w:tcBorders>
              <w:top w:val="single" w:color="000000" w:sz="4" w:space="0"/>
              <w:left w:val="single" w:color="000000" w:sz="4" w:space="0"/>
              <w:bottom w:val="single" w:color="000000" w:sz="4" w:space="0"/>
              <w:right w:val="single" w:color="000000" w:sz="4" w:space="0"/>
            </w:tcBorders>
            <w:noWrap/>
            <w:vAlign w:val="center"/>
          </w:tcPr>
          <w:p w14:paraId="188769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昼间</w:t>
            </w:r>
          </w:p>
        </w:tc>
        <w:tc>
          <w:tcPr>
            <w:tcW w:w="461" w:type="pct"/>
            <w:tcBorders>
              <w:top w:val="single" w:color="000000" w:sz="4" w:space="0"/>
              <w:left w:val="single" w:color="000000" w:sz="4" w:space="0"/>
              <w:bottom w:val="single" w:color="000000" w:sz="4" w:space="0"/>
              <w:right w:val="single" w:color="000000" w:sz="4" w:space="0"/>
            </w:tcBorders>
            <w:noWrap/>
            <w:vAlign w:val="center"/>
          </w:tcPr>
          <w:p w14:paraId="5E1DDBD8">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40（单独密闭）</w:t>
            </w:r>
          </w:p>
        </w:tc>
        <w:tc>
          <w:tcPr>
            <w:tcW w:w="380" w:type="pct"/>
            <w:tcBorders>
              <w:top w:val="single" w:color="000000" w:sz="4" w:space="0"/>
              <w:left w:val="single" w:color="000000" w:sz="4" w:space="0"/>
              <w:bottom w:val="single" w:color="000000" w:sz="4" w:space="0"/>
              <w:right w:val="single" w:color="000000" w:sz="4" w:space="0"/>
            </w:tcBorders>
            <w:noWrap/>
            <w:vAlign w:val="center"/>
          </w:tcPr>
          <w:p w14:paraId="68D084BE">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34.25</w:t>
            </w:r>
          </w:p>
        </w:tc>
        <w:tc>
          <w:tcPr>
            <w:tcW w:w="385" w:type="pct"/>
            <w:tcBorders>
              <w:top w:val="single" w:color="000000" w:sz="4" w:space="0"/>
              <w:left w:val="single" w:color="000000" w:sz="4" w:space="0"/>
              <w:bottom w:val="single" w:color="000000" w:sz="4" w:space="0"/>
              <w:right w:val="single" w:color="000000" w:sz="4" w:space="0"/>
            </w:tcBorders>
            <w:noWrap/>
            <w:vAlign w:val="center"/>
          </w:tcPr>
          <w:p w14:paraId="2076C1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r>
      <w:tr w14:paraId="6FE09494">
        <w:tblPrEx>
          <w:tblCellMar>
            <w:top w:w="0" w:type="dxa"/>
            <w:left w:w="108" w:type="dxa"/>
            <w:bottom w:w="0" w:type="dxa"/>
            <w:right w:w="108" w:type="dxa"/>
          </w:tblCellMar>
        </w:tblPrEx>
        <w:trPr>
          <w:trHeight w:val="450" w:hRule="atLeast"/>
        </w:trPr>
        <w:tc>
          <w:tcPr>
            <w:tcW w:w="1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4ABFE">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0"/>
                <w:sz w:val="21"/>
                <w:szCs w:val="21"/>
                <w:lang w:bidi="ar"/>
              </w:rPr>
              <w:t>5</w:t>
            </w:r>
          </w:p>
        </w:tc>
        <w:tc>
          <w:tcPr>
            <w:tcW w:w="28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AF3009">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宋体"/>
                <w:color w:val="auto"/>
                <w:sz w:val="21"/>
                <w:szCs w:val="21"/>
              </w:rPr>
            </w:pPr>
            <w:r>
              <w:rPr>
                <w:rFonts w:hint="eastAsia" w:ascii="Times New Roman" w:hAnsi="Times New Roman" w:eastAsia="宋体" w:cs="Times New Roman"/>
                <w:color w:val="auto"/>
                <w:sz w:val="21"/>
                <w:szCs w:val="21"/>
              </w:rPr>
              <w:t>厂房</w:t>
            </w:r>
          </w:p>
        </w:tc>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A158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eastAsia" w:cs="Times New Roman"/>
                <w:color w:val="000000"/>
                <w:sz w:val="21"/>
                <w:szCs w:val="21"/>
                <w:lang w:val="en-US" w:eastAsia="zh-CN"/>
              </w:rPr>
              <w:t>滚动筛</w:t>
            </w:r>
          </w:p>
        </w:tc>
        <w:tc>
          <w:tcPr>
            <w:tcW w:w="18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C5A8FF">
            <w:pPr>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宋体"/>
                <w:color w:val="auto"/>
                <w:sz w:val="21"/>
                <w:szCs w:val="21"/>
              </w:rPr>
            </w:pPr>
            <w:r>
              <w:rPr>
                <w:rFonts w:hint="eastAsia" w:ascii="Times New Roman" w:hAnsi="Times New Roman" w:eastAsia="宋体" w:cs="Times New Roman"/>
                <w:color w:val="000000"/>
                <w:sz w:val="21"/>
                <w:szCs w:val="21"/>
                <w:lang w:val="en-US" w:eastAsia="zh-CN"/>
              </w:rPr>
              <w:t>/</w:t>
            </w:r>
          </w:p>
        </w:tc>
        <w:tc>
          <w:tcPr>
            <w:tcW w:w="4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66E7F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lang w:val="en-US" w:eastAsia="zh-CN"/>
              </w:rPr>
            </w:pPr>
            <w:r>
              <w:rPr>
                <w:rFonts w:hint="eastAsia" w:ascii="宋体" w:hAnsi="宋体" w:cs="宋体"/>
                <w:i w:val="0"/>
                <w:iCs w:val="0"/>
                <w:color w:val="000000"/>
                <w:kern w:val="0"/>
                <w:sz w:val="21"/>
                <w:szCs w:val="21"/>
                <w:u w:val="none"/>
                <w:lang w:val="en-US" w:eastAsia="zh-CN" w:bidi="ar"/>
              </w:rPr>
              <w:t>80</w:t>
            </w:r>
            <w:r>
              <w:rPr>
                <w:rFonts w:hint="eastAsia" w:ascii="宋体" w:hAnsi="宋体" w:eastAsia="宋体" w:cs="宋体"/>
                <w:i w:val="0"/>
                <w:iCs w:val="0"/>
                <w:color w:val="000000"/>
                <w:kern w:val="0"/>
                <w:sz w:val="21"/>
                <w:szCs w:val="21"/>
                <w:u w:val="none"/>
                <w:lang w:val="en-US" w:eastAsia="zh-CN" w:bidi="ar"/>
              </w:rPr>
              <w:t>/1</w:t>
            </w:r>
          </w:p>
        </w:tc>
        <w:tc>
          <w:tcPr>
            <w:tcW w:w="259" w:type="pct"/>
            <w:vMerge w:val="continue"/>
            <w:tcBorders>
              <w:left w:val="single" w:color="000000" w:sz="4" w:space="0"/>
              <w:right w:val="single" w:color="000000" w:sz="4" w:space="0"/>
            </w:tcBorders>
            <w:shd w:val="clear" w:color="auto" w:fill="auto"/>
            <w:noWrap w:val="0"/>
            <w:vAlign w:val="center"/>
          </w:tcPr>
          <w:p w14:paraId="73092110">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宋体"/>
                <w:color w:val="auto"/>
                <w:sz w:val="21"/>
                <w:szCs w:val="21"/>
              </w:rPr>
            </w:pPr>
          </w:p>
        </w:tc>
        <w:tc>
          <w:tcPr>
            <w:tcW w:w="3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4AE77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rPr>
            </w:pPr>
            <w:r>
              <w:rPr>
                <w:rFonts w:hint="eastAsia" w:ascii="宋体" w:hAnsi="宋体" w:eastAsia="宋体" w:cs="宋体"/>
                <w:i w:val="0"/>
                <w:iCs w:val="0"/>
                <w:color w:val="000000"/>
                <w:kern w:val="0"/>
                <w:sz w:val="21"/>
                <w:szCs w:val="21"/>
                <w:u w:val="none"/>
                <w:lang w:val="en-US" w:eastAsia="zh-CN" w:bidi="ar"/>
              </w:rPr>
              <w:t>-41.43</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DA1D0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rPr>
            </w:pPr>
            <w:r>
              <w:rPr>
                <w:rFonts w:hint="eastAsia" w:ascii="宋体" w:hAnsi="宋体" w:eastAsia="宋体" w:cs="宋体"/>
                <w:i w:val="0"/>
                <w:iCs w:val="0"/>
                <w:color w:val="000000"/>
                <w:kern w:val="0"/>
                <w:sz w:val="21"/>
                <w:szCs w:val="21"/>
                <w:u w:val="none"/>
                <w:lang w:val="en-US" w:eastAsia="zh-CN" w:bidi="ar"/>
              </w:rPr>
              <w:t>34.44</w:t>
            </w:r>
          </w:p>
        </w:tc>
        <w:tc>
          <w:tcPr>
            <w:tcW w:w="1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0F199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rPr>
            </w:pPr>
            <w:r>
              <w:rPr>
                <w:rFonts w:hint="eastAsia" w:ascii="宋体" w:hAnsi="宋体" w:eastAsia="宋体" w:cs="宋体"/>
                <w:i w:val="0"/>
                <w:iCs w:val="0"/>
                <w:color w:val="000000"/>
                <w:kern w:val="0"/>
                <w:sz w:val="21"/>
                <w:szCs w:val="21"/>
                <w:u w:val="none"/>
                <w:lang w:val="en-US" w:eastAsia="zh-CN" w:bidi="ar"/>
              </w:rPr>
              <w:t>1</w:t>
            </w:r>
          </w:p>
        </w:tc>
        <w:tc>
          <w:tcPr>
            <w:tcW w:w="3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1294C4">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宋体"/>
                <w:color w:val="auto"/>
                <w:sz w:val="21"/>
                <w:szCs w:val="21"/>
                <w:lang w:eastAsia="zh-CN"/>
              </w:rPr>
            </w:pPr>
            <w:r>
              <w:rPr>
                <w:rFonts w:hint="eastAsia" w:ascii="宋体" w:hAnsi="宋体" w:eastAsia="宋体" w:cs="宋体"/>
                <w:i w:val="0"/>
                <w:iCs w:val="0"/>
                <w:color w:val="000000"/>
                <w:kern w:val="0"/>
                <w:sz w:val="18"/>
                <w:szCs w:val="18"/>
                <w:u w:val="none"/>
                <w:lang w:val="en-US" w:eastAsia="zh-CN" w:bidi="ar"/>
              </w:rPr>
              <w:t>7.42</w:t>
            </w:r>
          </w:p>
        </w:tc>
        <w:tc>
          <w:tcPr>
            <w:tcW w:w="48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98B6C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lang w:val="en-US" w:eastAsia="zh-CN"/>
              </w:rPr>
            </w:pPr>
            <w:r>
              <w:rPr>
                <w:rFonts w:hint="eastAsia" w:ascii="宋体" w:hAnsi="宋体" w:eastAsia="宋体" w:cs="宋体"/>
                <w:i w:val="0"/>
                <w:iCs w:val="0"/>
                <w:color w:val="000000"/>
                <w:kern w:val="0"/>
                <w:sz w:val="18"/>
                <w:szCs w:val="18"/>
                <w:u w:val="none"/>
                <w:lang w:val="en-US" w:eastAsia="zh-CN" w:bidi="ar"/>
              </w:rPr>
              <w:t>70.10</w:t>
            </w:r>
          </w:p>
        </w:tc>
        <w:tc>
          <w:tcPr>
            <w:tcW w:w="3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287E6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rPr>
            </w:pPr>
            <w:r>
              <w:rPr>
                <w:rFonts w:hint="eastAsia" w:ascii="宋体" w:hAnsi="宋体" w:eastAsia="宋体" w:cs="宋体"/>
                <w:i w:val="0"/>
                <w:iCs w:val="0"/>
                <w:color w:val="000000"/>
                <w:kern w:val="0"/>
                <w:sz w:val="21"/>
                <w:szCs w:val="21"/>
                <w:u w:val="none"/>
                <w:lang w:val="en-US" w:eastAsia="zh-CN" w:bidi="ar"/>
              </w:rPr>
              <w:t>昼间</w:t>
            </w: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58981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rPr>
            </w:pPr>
            <w:r>
              <w:rPr>
                <w:rFonts w:hint="eastAsia" w:ascii="宋体" w:hAnsi="宋体" w:eastAsia="宋体" w:cs="宋体"/>
                <w:i w:val="0"/>
                <w:iCs w:val="0"/>
                <w:color w:val="000000"/>
                <w:kern w:val="0"/>
                <w:sz w:val="21"/>
                <w:szCs w:val="21"/>
                <w:u w:val="none"/>
                <w:lang w:val="en-US" w:eastAsia="zh-CN" w:bidi="ar"/>
              </w:rPr>
              <w:t>25</w:t>
            </w:r>
          </w:p>
        </w:tc>
        <w:tc>
          <w:tcPr>
            <w:tcW w:w="38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AAE170">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39.10</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A40A1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rPr>
            </w:pPr>
            <w:r>
              <w:rPr>
                <w:rFonts w:hint="eastAsia" w:ascii="宋体" w:hAnsi="宋体" w:eastAsia="宋体" w:cs="宋体"/>
                <w:i w:val="0"/>
                <w:iCs w:val="0"/>
                <w:color w:val="000000"/>
                <w:kern w:val="0"/>
                <w:sz w:val="21"/>
                <w:szCs w:val="21"/>
                <w:u w:val="none"/>
                <w:lang w:val="en-US" w:eastAsia="zh-CN" w:bidi="ar"/>
              </w:rPr>
              <w:t>1</w:t>
            </w:r>
          </w:p>
        </w:tc>
      </w:tr>
      <w:tr w14:paraId="085A3133">
        <w:tblPrEx>
          <w:tblCellMar>
            <w:top w:w="0" w:type="dxa"/>
            <w:left w:w="108" w:type="dxa"/>
            <w:bottom w:w="0" w:type="dxa"/>
            <w:right w:w="108" w:type="dxa"/>
          </w:tblCellMar>
        </w:tblPrEx>
        <w:trPr>
          <w:trHeight w:val="450" w:hRule="atLeast"/>
        </w:trPr>
        <w:tc>
          <w:tcPr>
            <w:tcW w:w="1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B29BA">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0"/>
                <w:sz w:val="21"/>
                <w:szCs w:val="21"/>
                <w:lang w:bidi="ar"/>
              </w:rPr>
              <w:t>6</w:t>
            </w:r>
          </w:p>
        </w:tc>
        <w:tc>
          <w:tcPr>
            <w:tcW w:w="28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73BA4E">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宋体"/>
                <w:color w:val="auto"/>
                <w:sz w:val="21"/>
                <w:szCs w:val="21"/>
              </w:rPr>
            </w:pPr>
            <w:r>
              <w:rPr>
                <w:rFonts w:hint="eastAsia" w:ascii="Times New Roman" w:hAnsi="Times New Roman" w:eastAsia="宋体" w:cs="Times New Roman"/>
                <w:color w:val="auto"/>
                <w:sz w:val="21"/>
                <w:szCs w:val="21"/>
              </w:rPr>
              <w:t>厂房</w:t>
            </w:r>
          </w:p>
        </w:tc>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0C7F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eastAsia" w:cs="Times New Roman"/>
                <w:color w:val="000000"/>
                <w:sz w:val="21"/>
                <w:szCs w:val="21"/>
                <w:lang w:val="en-US" w:eastAsia="zh-CN"/>
              </w:rPr>
              <w:t>轮式洗砂机</w:t>
            </w:r>
          </w:p>
        </w:tc>
        <w:tc>
          <w:tcPr>
            <w:tcW w:w="18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CB0101">
            <w:pPr>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宋体"/>
                <w:color w:val="auto"/>
                <w:sz w:val="21"/>
                <w:szCs w:val="21"/>
              </w:rPr>
            </w:pPr>
            <w:r>
              <w:rPr>
                <w:rFonts w:hint="eastAsia" w:ascii="Times New Roman" w:hAnsi="Times New Roman" w:eastAsia="宋体" w:cs="Times New Roman"/>
                <w:color w:val="000000"/>
                <w:sz w:val="21"/>
                <w:szCs w:val="21"/>
                <w:lang w:val="en-US" w:eastAsia="zh-CN"/>
              </w:rPr>
              <w:t>/</w:t>
            </w:r>
          </w:p>
        </w:tc>
        <w:tc>
          <w:tcPr>
            <w:tcW w:w="4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20F5A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lang w:val="en-US" w:eastAsia="zh-CN"/>
              </w:rPr>
            </w:pPr>
            <w:r>
              <w:rPr>
                <w:rFonts w:hint="eastAsia" w:ascii="宋体" w:hAnsi="宋体" w:cs="宋体"/>
                <w:i w:val="0"/>
                <w:iCs w:val="0"/>
                <w:color w:val="000000"/>
                <w:kern w:val="0"/>
                <w:sz w:val="21"/>
                <w:szCs w:val="21"/>
                <w:u w:val="none"/>
                <w:lang w:val="en-US" w:eastAsia="zh-CN" w:bidi="ar"/>
              </w:rPr>
              <w:t>90</w:t>
            </w:r>
            <w:r>
              <w:rPr>
                <w:rFonts w:hint="eastAsia" w:ascii="宋体" w:hAnsi="宋体" w:eastAsia="宋体" w:cs="宋体"/>
                <w:i w:val="0"/>
                <w:iCs w:val="0"/>
                <w:color w:val="000000"/>
                <w:kern w:val="0"/>
                <w:sz w:val="21"/>
                <w:szCs w:val="21"/>
                <w:u w:val="none"/>
                <w:lang w:val="en-US" w:eastAsia="zh-CN" w:bidi="ar"/>
              </w:rPr>
              <w:t>/1</w:t>
            </w:r>
          </w:p>
        </w:tc>
        <w:tc>
          <w:tcPr>
            <w:tcW w:w="259" w:type="pct"/>
            <w:vMerge w:val="continue"/>
            <w:tcBorders>
              <w:left w:val="single" w:color="000000" w:sz="4" w:space="0"/>
              <w:right w:val="single" w:color="000000" w:sz="4" w:space="0"/>
            </w:tcBorders>
            <w:shd w:val="clear" w:color="auto" w:fill="auto"/>
            <w:noWrap w:val="0"/>
            <w:vAlign w:val="center"/>
          </w:tcPr>
          <w:p w14:paraId="04AB6A92">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宋体"/>
                <w:color w:val="auto"/>
                <w:sz w:val="21"/>
                <w:szCs w:val="21"/>
              </w:rPr>
            </w:pPr>
          </w:p>
        </w:tc>
        <w:tc>
          <w:tcPr>
            <w:tcW w:w="3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86687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rPr>
            </w:pPr>
            <w:r>
              <w:rPr>
                <w:rFonts w:hint="eastAsia" w:ascii="宋体" w:hAnsi="宋体" w:eastAsia="宋体" w:cs="宋体"/>
                <w:i w:val="0"/>
                <w:iCs w:val="0"/>
                <w:color w:val="000000"/>
                <w:kern w:val="0"/>
                <w:sz w:val="21"/>
                <w:szCs w:val="21"/>
                <w:u w:val="none"/>
                <w:lang w:val="en-US" w:eastAsia="zh-CN" w:bidi="ar"/>
              </w:rPr>
              <w:t>-38.82</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AF24D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rPr>
            </w:pPr>
            <w:r>
              <w:rPr>
                <w:rFonts w:hint="eastAsia" w:ascii="宋体" w:hAnsi="宋体" w:eastAsia="宋体" w:cs="宋体"/>
                <w:i w:val="0"/>
                <w:iCs w:val="0"/>
                <w:color w:val="000000"/>
                <w:kern w:val="0"/>
                <w:sz w:val="21"/>
                <w:szCs w:val="21"/>
                <w:u w:val="none"/>
                <w:lang w:val="en-US" w:eastAsia="zh-CN" w:bidi="ar"/>
              </w:rPr>
              <w:t>32.53</w:t>
            </w:r>
          </w:p>
        </w:tc>
        <w:tc>
          <w:tcPr>
            <w:tcW w:w="1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0039A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rPr>
            </w:pPr>
            <w:r>
              <w:rPr>
                <w:rFonts w:hint="eastAsia" w:ascii="宋体" w:hAnsi="宋体" w:eastAsia="宋体" w:cs="宋体"/>
                <w:i w:val="0"/>
                <w:iCs w:val="0"/>
                <w:color w:val="000000"/>
                <w:kern w:val="0"/>
                <w:sz w:val="21"/>
                <w:szCs w:val="21"/>
                <w:u w:val="none"/>
                <w:lang w:val="en-US" w:eastAsia="zh-CN" w:bidi="ar"/>
              </w:rPr>
              <w:t>1</w:t>
            </w:r>
          </w:p>
        </w:tc>
        <w:tc>
          <w:tcPr>
            <w:tcW w:w="3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A4EF1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lang w:val="en-US" w:eastAsia="zh-CN"/>
              </w:rPr>
            </w:pPr>
            <w:r>
              <w:rPr>
                <w:rFonts w:hint="eastAsia" w:ascii="宋体" w:hAnsi="宋体" w:eastAsia="宋体" w:cs="宋体"/>
                <w:i w:val="0"/>
                <w:iCs w:val="0"/>
                <w:color w:val="000000"/>
                <w:kern w:val="0"/>
                <w:sz w:val="18"/>
                <w:szCs w:val="18"/>
                <w:u w:val="none"/>
                <w:lang w:val="en-US" w:eastAsia="zh-CN" w:bidi="ar"/>
              </w:rPr>
              <w:t>9.38</w:t>
            </w:r>
          </w:p>
        </w:tc>
        <w:tc>
          <w:tcPr>
            <w:tcW w:w="48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EC75F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lang w:val="en-US" w:eastAsia="zh-CN"/>
              </w:rPr>
            </w:pPr>
            <w:r>
              <w:rPr>
                <w:rFonts w:hint="eastAsia" w:ascii="宋体" w:hAnsi="宋体" w:cs="宋体"/>
                <w:i w:val="0"/>
                <w:iCs w:val="0"/>
                <w:color w:val="000000"/>
                <w:kern w:val="0"/>
                <w:sz w:val="18"/>
                <w:szCs w:val="18"/>
                <w:u w:val="none"/>
                <w:lang w:val="en-US" w:eastAsia="zh-CN" w:bidi="ar"/>
              </w:rPr>
              <w:t>80</w:t>
            </w:r>
            <w:r>
              <w:rPr>
                <w:rFonts w:hint="eastAsia" w:ascii="宋体" w:hAnsi="宋体" w:eastAsia="宋体" w:cs="宋体"/>
                <w:i w:val="0"/>
                <w:iCs w:val="0"/>
                <w:color w:val="000000"/>
                <w:kern w:val="0"/>
                <w:sz w:val="18"/>
                <w:szCs w:val="18"/>
                <w:u w:val="none"/>
                <w:lang w:val="en-US" w:eastAsia="zh-CN" w:bidi="ar"/>
              </w:rPr>
              <w:t>.07</w:t>
            </w:r>
          </w:p>
        </w:tc>
        <w:tc>
          <w:tcPr>
            <w:tcW w:w="3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DB260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rPr>
            </w:pPr>
            <w:r>
              <w:rPr>
                <w:rFonts w:hint="eastAsia"/>
                <w:sz w:val="21"/>
                <w:szCs w:val="21"/>
              </w:rPr>
              <w:t>昼间</w:t>
            </w: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F8C61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rPr>
            </w:pPr>
            <w:r>
              <w:rPr>
                <w:rFonts w:hint="eastAsia" w:ascii="宋体" w:hAnsi="宋体" w:cs="宋体"/>
                <w:i w:val="0"/>
                <w:iCs w:val="0"/>
                <w:color w:val="000000"/>
                <w:kern w:val="0"/>
                <w:sz w:val="21"/>
                <w:szCs w:val="21"/>
                <w:u w:val="none"/>
                <w:lang w:val="en-US" w:eastAsia="zh-CN" w:bidi="ar"/>
              </w:rPr>
              <w:t>40（单独密闭）</w:t>
            </w:r>
          </w:p>
        </w:tc>
        <w:tc>
          <w:tcPr>
            <w:tcW w:w="38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80422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rPr>
            </w:pPr>
            <w:r>
              <w:rPr>
                <w:rFonts w:hint="eastAsia" w:ascii="宋体" w:hAnsi="宋体" w:cs="宋体"/>
                <w:i w:val="0"/>
                <w:iCs w:val="0"/>
                <w:color w:val="000000"/>
                <w:kern w:val="0"/>
                <w:sz w:val="18"/>
                <w:szCs w:val="18"/>
                <w:u w:val="none"/>
                <w:lang w:val="en-US" w:eastAsia="zh-CN" w:bidi="ar"/>
              </w:rPr>
              <w:t>34</w:t>
            </w:r>
            <w:r>
              <w:rPr>
                <w:rFonts w:hint="eastAsia" w:ascii="宋体" w:hAnsi="宋体" w:eastAsia="宋体" w:cs="宋体"/>
                <w:i w:val="0"/>
                <w:iCs w:val="0"/>
                <w:color w:val="000000"/>
                <w:kern w:val="0"/>
                <w:sz w:val="18"/>
                <w:szCs w:val="18"/>
                <w:u w:val="none"/>
                <w:lang w:val="en-US" w:eastAsia="zh-CN" w:bidi="ar"/>
              </w:rPr>
              <w:t>.07</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33C96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rPr>
            </w:pPr>
            <w:r>
              <w:rPr>
                <w:rFonts w:hint="eastAsia" w:ascii="宋体" w:hAnsi="宋体" w:eastAsia="宋体" w:cs="宋体"/>
                <w:i w:val="0"/>
                <w:iCs w:val="0"/>
                <w:color w:val="000000"/>
                <w:kern w:val="0"/>
                <w:sz w:val="21"/>
                <w:szCs w:val="21"/>
                <w:u w:val="none"/>
                <w:lang w:val="en-US" w:eastAsia="zh-CN" w:bidi="ar"/>
              </w:rPr>
              <w:t>1</w:t>
            </w:r>
          </w:p>
        </w:tc>
      </w:tr>
      <w:tr w14:paraId="4480FE80">
        <w:tblPrEx>
          <w:tblCellMar>
            <w:top w:w="0" w:type="dxa"/>
            <w:left w:w="108" w:type="dxa"/>
            <w:bottom w:w="0" w:type="dxa"/>
            <w:right w:w="108" w:type="dxa"/>
          </w:tblCellMar>
        </w:tblPrEx>
        <w:trPr>
          <w:trHeight w:val="365" w:hRule="atLeast"/>
        </w:trPr>
        <w:tc>
          <w:tcPr>
            <w:tcW w:w="1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1B8DA">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0"/>
                <w:sz w:val="21"/>
                <w:szCs w:val="21"/>
                <w:lang w:bidi="ar"/>
              </w:rPr>
              <w:t>7</w:t>
            </w:r>
          </w:p>
        </w:tc>
        <w:tc>
          <w:tcPr>
            <w:tcW w:w="28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AFD671">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宋体"/>
                <w:color w:val="auto"/>
                <w:sz w:val="21"/>
                <w:szCs w:val="21"/>
              </w:rPr>
            </w:pPr>
            <w:r>
              <w:rPr>
                <w:rFonts w:hint="eastAsia" w:ascii="Times New Roman" w:hAnsi="Times New Roman" w:eastAsia="宋体" w:cs="Times New Roman"/>
                <w:color w:val="auto"/>
                <w:sz w:val="21"/>
                <w:szCs w:val="21"/>
              </w:rPr>
              <w:t>厂房</w:t>
            </w:r>
          </w:p>
        </w:tc>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0B77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eastAsia" w:cs="Times New Roman"/>
                <w:color w:val="000000"/>
                <w:sz w:val="21"/>
                <w:szCs w:val="21"/>
                <w:lang w:val="en-US" w:eastAsia="zh-CN"/>
              </w:rPr>
              <w:t>细砂回收一体机</w:t>
            </w:r>
          </w:p>
        </w:tc>
        <w:tc>
          <w:tcPr>
            <w:tcW w:w="18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CDC706">
            <w:pPr>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宋体"/>
                <w:color w:val="auto"/>
                <w:sz w:val="21"/>
                <w:szCs w:val="21"/>
              </w:rPr>
            </w:pPr>
            <w:r>
              <w:rPr>
                <w:rFonts w:hint="eastAsia" w:ascii="Times New Roman" w:hAnsi="Times New Roman" w:eastAsia="宋体" w:cs="Times New Roman"/>
                <w:color w:val="000000"/>
                <w:sz w:val="21"/>
                <w:szCs w:val="21"/>
                <w:lang w:val="en-US" w:eastAsia="zh-CN"/>
              </w:rPr>
              <w:t>/</w:t>
            </w:r>
          </w:p>
        </w:tc>
        <w:tc>
          <w:tcPr>
            <w:tcW w:w="4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0D95F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lang w:val="en-US" w:eastAsia="zh-CN"/>
              </w:rPr>
            </w:pPr>
            <w:r>
              <w:rPr>
                <w:rFonts w:hint="eastAsia" w:ascii="宋体" w:hAnsi="宋体" w:cs="宋体"/>
                <w:i w:val="0"/>
                <w:iCs w:val="0"/>
                <w:color w:val="000000"/>
                <w:kern w:val="0"/>
                <w:sz w:val="21"/>
                <w:szCs w:val="21"/>
                <w:u w:val="none"/>
                <w:lang w:val="en-US" w:eastAsia="zh-CN" w:bidi="ar"/>
              </w:rPr>
              <w:t>80</w:t>
            </w:r>
            <w:r>
              <w:rPr>
                <w:rFonts w:hint="eastAsia" w:ascii="宋体" w:hAnsi="宋体" w:eastAsia="宋体" w:cs="宋体"/>
                <w:i w:val="0"/>
                <w:iCs w:val="0"/>
                <w:color w:val="000000"/>
                <w:kern w:val="0"/>
                <w:sz w:val="21"/>
                <w:szCs w:val="21"/>
                <w:u w:val="none"/>
                <w:lang w:val="en-US" w:eastAsia="zh-CN" w:bidi="ar"/>
              </w:rPr>
              <w:t>/1</w:t>
            </w:r>
          </w:p>
        </w:tc>
        <w:tc>
          <w:tcPr>
            <w:tcW w:w="259" w:type="pct"/>
            <w:vMerge w:val="continue"/>
            <w:tcBorders>
              <w:left w:val="single" w:color="000000" w:sz="4" w:space="0"/>
              <w:right w:val="single" w:color="000000" w:sz="4" w:space="0"/>
            </w:tcBorders>
            <w:shd w:val="clear" w:color="auto" w:fill="auto"/>
            <w:noWrap w:val="0"/>
            <w:vAlign w:val="center"/>
          </w:tcPr>
          <w:p w14:paraId="04FFD2ED">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宋体"/>
                <w:color w:val="auto"/>
                <w:sz w:val="21"/>
                <w:szCs w:val="21"/>
              </w:rPr>
            </w:pPr>
          </w:p>
        </w:tc>
        <w:tc>
          <w:tcPr>
            <w:tcW w:w="3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5C671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rPr>
            </w:pPr>
            <w:r>
              <w:rPr>
                <w:rFonts w:hint="eastAsia" w:ascii="宋体" w:hAnsi="宋体" w:eastAsia="宋体" w:cs="宋体"/>
                <w:i w:val="0"/>
                <w:iCs w:val="0"/>
                <w:color w:val="000000"/>
                <w:kern w:val="0"/>
                <w:sz w:val="21"/>
                <w:szCs w:val="21"/>
                <w:u w:val="none"/>
                <w:lang w:val="en-US" w:eastAsia="zh-CN" w:bidi="ar"/>
              </w:rPr>
              <w:t>-35.7</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363BA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rPr>
            </w:pPr>
            <w:r>
              <w:rPr>
                <w:rFonts w:hint="eastAsia" w:ascii="宋体" w:hAnsi="宋体" w:eastAsia="宋体" w:cs="宋体"/>
                <w:i w:val="0"/>
                <w:iCs w:val="0"/>
                <w:color w:val="000000"/>
                <w:kern w:val="0"/>
                <w:sz w:val="21"/>
                <w:szCs w:val="21"/>
                <w:u w:val="none"/>
                <w:lang w:val="en-US" w:eastAsia="zh-CN" w:bidi="ar"/>
              </w:rPr>
              <w:t>29.66</w:t>
            </w:r>
          </w:p>
        </w:tc>
        <w:tc>
          <w:tcPr>
            <w:tcW w:w="1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94406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rPr>
            </w:pPr>
            <w:r>
              <w:rPr>
                <w:rFonts w:hint="eastAsia" w:ascii="宋体" w:hAnsi="宋体" w:eastAsia="宋体" w:cs="宋体"/>
                <w:i w:val="0"/>
                <w:iCs w:val="0"/>
                <w:color w:val="000000"/>
                <w:kern w:val="0"/>
                <w:sz w:val="21"/>
                <w:szCs w:val="21"/>
                <w:u w:val="none"/>
                <w:lang w:val="en-US" w:eastAsia="zh-CN" w:bidi="ar"/>
              </w:rPr>
              <w:t>1</w:t>
            </w:r>
          </w:p>
        </w:tc>
        <w:tc>
          <w:tcPr>
            <w:tcW w:w="3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DF5EC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lang w:val="en-US" w:eastAsia="zh-CN"/>
              </w:rPr>
            </w:pPr>
            <w:r>
              <w:rPr>
                <w:rFonts w:hint="eastAsia" w:ascii="宋体" w:hAnsi="宋体" w:eastAsia="宋体" w:cs="宋体"/>
                <w:i w:val="0"/>
                <w:iCs w:val="0"/>
                <w:color w:val="000000"/>
                <w:kern w:val="0"/>
                <w:sz w:val="18"/>
                <w:szCs w:val="18"/>
                <w:u w:val="none"/>
                <w:lang w:val="en-US" w:eastAsia="zh-CN" w:bidi="ar"/>
              </w:rPr>
              <w:t>9.62</w:t>
            </w:r>
          </w:p>
        </w:tc>
        <w:tc>
          <w:tcPr>
            <w:tcW w:w="48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25C57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lang w:val="en-US" w:eastAsia="zh-CN"/>
              </w:rPr>
            </w:pPr>
            <w:r>
              <w:rPr>
                <w:rFonts w:hint="eastAsia" w:ascii="宋体" w:hAnsi="宋体" w:eastAsia="宋体" w:cs="宋体"/>
                <w:i w:val="0"/>
                <w:iCs w:val="0"/>
                <w:color w:val="000000"/>
                <w:kern w:val="0"/>
                <w:sz w:val="18"/>
                <w:szCs w:val="18"/>
                <w:u w:val="none"/>
                <w:lang w:val="en-US" w:eastAsia="zh-CN" w:bidi="ar"/>
              </w:rPr>
              <w:t>70.07</w:t>
            </w:r>
          </w:p>
        </w:tc>
        <w:tc>
          <w:tcPr>
            <w:tcW w:w="3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D1D9F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rPr>
            </w:pPr>
            <w:r>
              <w:rPr>
                <w:rFonts w:hint="eastAsia"/>
                <w:sz w:val="21"/>
                <w:szCs w:val="21"/>
              </w:rPr>
              <w:t>昼间</w:t>
            </w: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88CEC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rPr>
            </w:pPr>
            <w:r>
              <w:rPr>
                <w:rFonts w:hint="eastAsia"/>
                <w:sz w:val="21"/>
                <w:szCs w:val="21"/>
              </w:rPr>
              <w:t>25</w:t>
            </w:r>
          </w:p>
        </w:tc>
        <w:tc>
          <w:tcPr>
            <w:tcW w:w="38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B7AFA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rPr>
            </w:pPr>
            <w:r>
              <w:rPr>
                <w:rFonts w:hint="eastAsia" w:ascii="宋体" w:hAnsi="宋体" w:eastAsia="宋体" w:cs="宋体"/>
                <w:i w:val="0"/>
                <w:iCs w:val="0"/>
                <w:color w:val="000000"/>
                <w:kern w:val="0"/>
                <w:sz w:val="18"/>
                <w:szCs w:val="18"/>
                <w:u w:val="none"/>
                <w:lang w:val="en-US" w:eastAsia="zh-CN" w:bidi="ar"/>
              </w:rPr>
              <w:t>39.07</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70ECF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rPr>
            </w:pPr>
            <w:r>
              <w:rPr>
                <w:rFonts w:hint="eastAsia" w:ascii="宋体" w:hAnsi="宋体" w:eastAsia="宋体" w:cs="宋体"/>
                <w:i w:val="0"/>
                <w:iCs w:val="0"/>
                <w:color w:val="000000"/>
                <w:kern w:val="0"/>
                <w:sz w:val="21"/>
                <w:szCs w:val="21"/>
                <w:u w:val="none"/>
                <w:lang w:val="en-US" w:eastAsia="zh-CN" w:bidi="ar"/>
              </w:rPr>
              <w:t>1</w:t>
            </w:r>
          </w:p>
        </w:tc>
      </w:tr>
      <w:tr w14:paraId="56AE872A">
        <w:tblPrEx>
          <w:tblCellMar>
            <w:top w:w="0" w:type="dxa"/>
            <w:left w:w="108" w:type="dxa"/>
            <w:bottom w:w="0" w:type="dxa"/>
            <w:right w:w="108" w:type="dxa"/>
          </w:tblCellMar>
        </w:tblPrEx>
        <w:trPr>
          <w:trHeight w:val="450" w:hRule="atLeast"/>
        </w:trPr>
        <w:tc>
          <w:tcPr>
            <w:tcW w:w="1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BF9D6">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0"/>
                <w:sz w:val="21"/>
                <w:szCs w:val="21"/>
                <w:lang w:bidi="ar"/>
              </w:rPr>
              <w:t>8</w:t>
            </w:r>
          </w:p>
        </w:tc>
        <w:tc>
          <w:tcPr>
            <w:tcW w:w="28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8C2A6F">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宋体"/>
                <w:color w:val="auto"/>
                <w:sz w:val="21"/>
                <w:szCs w:val="21"/>
              </w:rPr>
            </w:pPr>
            <w:r>
              <w:rPr>
                <w:rFonts w:hint="eastAsia" w:ascii="Times New Roman" w:hAnsi="Times New Roman" w:eastAsia="宋体" w:cs="Times New Roman"/>
                <w:color w:val="auto"/>
                <w:sz w:val="21"/>
                <w:szCs w:val="21"/>
              </w:rPr>
              <w:t>厂房</w:t>
            </w:r>
          </w:p>
        </w:tc>
        <w:tc>
          <w:tcPr>
            <w:tcW w:w="4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F4DA2B">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宋体"/>
                <w:color w:val="auto"/>
                <w:sz w:val="21"/>
                <w:szCs w:val="21"/>
              </w:rPr>
            </w:pPr>
            <w:r>
              <w:rPr>
                <w:rFonts w:hint="default" w:ascii="Times New Roman" w:hAnsi="Times New Roman" w:cs="Times New Roman"/>
                <w:kern w:val="0"/>
                <w:sz w:val="21"/>
                <w:szCs w:val="21"/>
                <w:lang w:val="en-US" w:eastAsia="zh-CN" w:bidi="ar"/>
              </w:rPr>
              <w:t>皮带输送机</w:t>
            </w:r>
          </w:p>
        </w:tc>
        <w:tc>
          <w:tcPr>
            <w:tcW w:w="18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D6199F">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宋体"/>
                <w:color w:val="auto"/>
                <w:sz w:val="21"/>
                <w:szCs w:val="21"/>
              </w:rPr>
            </w:pPr>
            <w:r>
              <w:rPr>
                <w:rFonts w:hint="eastAsia" w:ascii="Times New Roman" w:hAnsi="Times New Roman" w:eastAsia="宋体" w:cs="Times New Roman"/>
                <w:color w:val="000000"/>
                <w:sz w:val="21"/>
                <w:szCs w:val="21"/>
                <w:lang w:val="en-US" w:eastAsia="zh-CN"/>
              </w:rPr>
              <w:t>/</w:t>
            </w:r>
          </w:p>
        </w:tc>
        <w:tc>
          <w:tcPr>
            <w:tcW w:w="4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F15A7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lang w:val="en-US" w:eastAsia="zh-CN"/>
              </w:rPr>
            </w:pPr>
            <w:r>
              <w:rPr>
                <w:rFonts w:hint="eastAsia" w:ascii="宋体" w:hAnsi="宋体" w:eastAsia="宋体" w:cs="宋体"/>
                <w:i w:val="0"/>
                <w:iCs w:val="0"/>
                <w:color w:val="000000"/>
                <w:kern w:val="0"/>
                <w:sz w:val="21"/>
                <w:szCs w:val="21"/>
                <w:u w:val="none"/>
                <w:lang w:val="en-US" w:eastAsia="zh-CN" w:bidi="ar"/>
              </w:rPr>
              <w:t>70/1</w:t>
            </w:r>
          </w:p>
        </w:tc>
        <w:tc>
          <w:tcPr>
            <w:tcW w:w="259" w:type="pct"/>
            <w:vMerge w:val="continue"/>
            <w:tcBorders>
              <w:left w:val="single" w:color="000000" w:sz="4" w:space="0"/>
              <w:right w:val="single" w:color="000000" w:sz="4" w:space="0"/>
            </w:tcBorders>
            <w:shd w:val="clear" w:color="auto" w:fill="auto"/>
            <w:noWrap w:val="0"/>
            <w:vAlign w:val="center"/>
          </w:tcPr>
          <w:p w14:paraId="482CDE56">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宋体"/>
                <w:color w:val="auto"/>
                <w:sz w:val="21"/>
                <w:szCs w:val="21"/>
              </w:rPr>
            </w:pPr>
          </w:p>
        </w:tc>
        <w:tc>
          <w:tcPr>
            <w:tcW w:w="3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40E69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rPr>
            </w:pPr>
            <w:r>
              <w:rPr>
                <w:rFonts w:hint="eastAsia" w:ascii="宋体" w:hAnsi="宋体" w:eastAsia="宋体" w:cs="宋体"/>
                <w:i w:val="0"/>
                <w:iCs w:val="0"/>
                <w:color w:val="000000"/>
                <w:kern w:val="0"/>
                <w:sz w:val="21"/>
                <w:szCs w:val="21"/>
                <w:u w:val="none"/>
                <w:lang w:val="en-US" w:eastAsia="zh-CN" w:bidi="ar"/>
              </w:rPr>
              <w:t>-19.53</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8C157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rPr>
            </w:pPr>
            <w:r>
              <w:rPr>
                <w:rFonts w:hint="eastAsia" w:ascii="宋体" w:hAnsi="宋体" w:eastAsia="宋体" w:cs="宋体"/>
                <w:i w:val="0"/>
                <w:iCs w:val="0"/>
                <w:color w:val="000000"/>
                <w:kern w:val="0"/>
                <w:sz w:val="21"/>
                <w:szCs w:val="21"/>
                <w:u w:val="none"/>
                <w:lang w:val="en-US" w:eastAsia="zh-CN" w:bidi="ar"/>
              </w:rPr>
              <w:t>10.88</w:t>
            </w:r>
          </w:p>
        </w:tc>
        <w:tc>
          <w:tcPr>
            <w:tcW w:w="1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C01C6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rPr>
            </w:pPr>
            <w:r>
              <w:rPr>
                <w:rFonts w:hint="eastAsia" w:ascii="宋体" w:hAnsi="宋体" w:eastAsia="宋体" w:cs="宋体"/>
                <w:i w:val="0"/>
                <w:iCs w:val="0"/>
                <w:color w:val="000000"/>
                <w:kern w:val="0"/>
                <w:sz w:val="21"/>
                <w:szCs w:val="21"/>
                <w:u w:val="none"/>
                <w:lang w:val="en-US" w:eastAsia="zh-CN" w:bidi="ar"/>
              </w:rPr>
              <w:t>1</w:t>
            </w:r>
          </w:p>
        </w:tc>
        <w:tc>
          <w:tcPr>
            <w:tcW w:w="3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0BF87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lang w:val="en-US" w:eastAsia="zh-CN"/>
              </w:rPr>
            </w:pPr>
            <w:r>
              <w:rPr>
                <w:rFonts w:hint="eastAsia" w:ascii="宋体" w:hAnsi="宋体" w:eastAsia="宋体" w:cs="宋体"/>
                <w:i w:val="0"/>
                <w:iCs w:val="0"/>
                <w:color w:val="000000"/>
                <w:kern w:val="0"/>
                <w:sz w:val="21"/>
                <w:szCs w:val="21"/>
                <w:u w:val="none"/>
                <w:lang w:val="en-US" w:eastAsia="zh-CN" w:bidi="ar"/>
              </w:rPr>
              <w:t>8.87</w:t>
            </w:r>
          </w:p>
        </w:tc>
        <w:tc>
          <w:tcPr>
            <w:tcW w:w="48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C6148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lang w:val="en-US" w:eastAsia="zh-CN"/>
              </w:rPr>
            </w:pPr>
            <w:r>
              <w:rPr>
                <w:rFonts w:hint="eastAsia" w:ascii="宋体" w:hAnsi="宋体" w:eastAsia="宋体" w:cs="宋体"/>
                <w:i w:val="0"/>
                <w:iCs w:val="0"/>
                <w:color w:val="000000"/>
                <w:kern w:val="0"/>
                <w:sz w:val="21"/>
                <w:szCs w:val="21"/>
                <w:u w:val="none"/>
                <w:lang w:val="en-US" w:eastAsia="zh-CN" w:bidi="ar"/>
              </w:rPr>
              <w:t>60.08</w:t>
            </w:r>
          </w:p>
        </w:tc>
        <w:tc>
          <w:tcPr>
            <w:tcW w:w="3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6C929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rPr>
            </w:pPr>
            <w:r>
              <w:rPr>
                <w:rFonts w:hint="eastAsia"/>
                <w:sz w:val="21"/>
                <w:szCs w:val="21"/>
              </w:rPr>
              <w:t>昼间</w:t>
            </w: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B4055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rPr>
            </w:pPr>
            <w:r>
              <w:rPr>
                <w:rFonts w:hint="eastAsia"/>
                <w:sz w:val="21"/>
                <w:szCs w:val="21"/>
              </w:rPr>
              <w:t>25</w:t>
            </w:r>
          </w:p>
        </w:tc>
        <w:tc>
          <w:tcPr>
            <w:tcW w:w="38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7F895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rPr>
            </w:pPr>
            <w:r>
              <w:rPr>
                <w:rFonts w:hint="eastAsia" w:ascii="宋体" w:hAnsi="宋体" w:eastAsia="宋体" w:cs="宋体"/>
                <w:i w:val="0"/>
                <w:iCs w:val="0"/>
                <w:color w:val="000000"/>
                <w:kern w:val="0"/>
                <w:sz w:val="18"/>
                <w:szCs w:val="18"/>
                <w:u w:val="none"/>
                <w:lang w:val="en-US" w:eastAsia="zh-CN" w:bidi="ar"/>
              </w:rPr>
              <w:t>29.10</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DC645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rPr>
            </w:pPr>
            <w:r>
              <w:rPr>
                <w:rFonts w:hint="eastAsia" w:ascii="宋体" w:hAnsi="宋体" w:eastAsia="宋体" w:cs="宋体"/>
                <w:i w:val="0"/>
                <w:iCs w:val="0"/>
                <w:color w:val="000000"/>
                <w:kern w:val="0"/>
                <w:sz w:val="21"/>
                <w:szCs w:val="21"/>
                <w:u w:val="none"/>
                <w:lang w:val="en-US" w:eastAsia="zh-CN" w:bidi="ar"/>
              </w:rPr>
              <w:t>1</w:t>
            </w:r>
          </w:p>
        </w:tc>
      </w:tr>
      <w:tr w14:paraId="177CE350">
        <w:tblPrEx>
          <w:tblCellMar>
            <w:top w:w="0" w:type="dxa"/>
            <w:left w:w="108" w:type="dxa"/>
            <w:bottom w:w="0" w:type="dxa"/>
            <w:right w:w="108" w:type="dxa"/>
          </w:tblCellMar>
        </w:tblPrEx>
        <w:trPr>
          <w:trHeight w:val="450" w:hRule="atLeast"/>
        </w:trPr>
        <w:tc>
          <w:tcPr>
            <w:tcW w:w="1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ED3FB">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0"/>
                <w:sz w:val="21"/>
                <w:szCs w:val="21"/>
                <w:lang w:bidi="ar"/>
              </w:rPr>
              <w:t>9</w:t>
            </w:r>
          </w:p>
        </w:tc>
        <w:tc>
          <w:tcPr>
            <w:tcW w:w="28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1D75D0">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宋体"/>
                <w:color w:val="auto"/>
                <w:sz w:val="21"/>
                <w:szCs w:val="21"/>
              </w:rPr>
            </w:pPr>
            <w:r>
              <w:rPr>
                <w:rFonts w:hint="eastAsia" w:ascii="Times New Roman" w:hAnsi="Times New Roman" w:eastAsia="宋体" w:cs="Times New Roman"/>
                <w:color w:val="auto"/>
                <w:sz w:val="21"/>
                <w:szCs w:val="21"/>
              </w:rPr>
              <w:t>厂房</w:t>
            </w:r>
          </w:p>
        </w:tc>
        <w:tc>
          <w:tcPr>
            <w:tcW w:w="4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25EDB3">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宋体"/>
                <w:color w:val="auto"/>
                <w:sz w:val="21"/>
                <w:szCs w:val="21"/>
              </w:rPr>
            </w:pPr>
            <w:r>
              <w:rPr>
                <w:rFonts w:hint="default" w:ascii="Times New Roman" w:hAnsi="Times New Roman" w:cs="Times New Roman"/>
                <w:kern w:val="0"/>
                <w:sz w:val="21"/>
                <w:szCs w:val="21"/>
                <w:lang w:val="en-US" w:eastAsia="zh-CN" w:bidi="ar"/>
              </w:rPr>
              <w:t>皮带输送机</w:t>
            </w:r>
          </w:p>
        </w:tc>
        <w:tc>
          <w:tcPr>
            <w:tcW w:w="18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A1D658">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宋体"/>
                <w:color w:val="auto"/>
                <w:sz w:val="21"/>
                <w:szCs w:val="21"/>
              </w:rPr>
            </w:pPr>
            <w:r>
              <w:rPr>
                <w:rFonts w:hint="eastAsia" w:ascii="Times New Roman" w:hAnsi="Times New Roman" w:eastAsia="宋体" w:cs="Times New Roman"/>
                <w:color w:val="000000"/>
                <w:sz w:val="21"/>
                <w:szCs w:val="21"/>
                <w:lang w:val="en-US" w:eastAsia="zh-CN"/>
              </w:rPr>
              <w:t>/</w:t>
            </w:r>
          </w:p>
        </w:tc>
        <w:tc>
          <w:tcPr>
            <w:tcW w:w="4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C4EDD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lang w:val="en-US" w:eastAsia="zh-CN"/>
              </w:rPr>
            </w:pPr>
            <w:r>
              <w:rPr>
                <w:rFonts w:hint="eastAsia" w:ascii="宋体" w:hAnsi="宋体" w:eastAsia="宋体" w:cs="宋体"/>
                <w:i w:val="0"/>
                <w:iCs w:val="0"/>
                <w:color w:val="000000"/>
                <w:kern w:val="0"/>
                <w:sz w:val="21"/>
                <w:szCs w:val="21"/>
                <w:u w:val="none"/>
                <w:lang w:val="en-US" w:eastAsia="zh-CN" w:bidi="ar"/>
              </w:rPr>
              <w:t>70/1</w:t>
            </w:r>
          </w:p>
        </w:tc>
        <w:tc>
          <w:tcPr>
            <w:tcW w:w="259" w:type="pct"/>
            <w:vMerge w:val="continue"/>
            <w:tcBorders>
              <w:left w:val="single" w:color="000000" w:sz="4" w:space="0"/>
              <w:right w:val="single" w:color="000000" w:sz="4" w:space="0"/>
            </w:tcBorders>
            <w:shd w:val="clear" w:color="auto" w:fill="auto"/>
            <w:noWrap w:val="0"/>
            <w:vAlign w:val="center"/>
          </w:tcPr>
          <w:p w14:paraId="646C5FE3">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宋体"/>
                <w:color w:val="auto"/>
                <w:sz w:val="21"/>
                <w:szCs w:val="21"/>
              </w:rPr>
            </w:pPr>
          </w:p>
        </w:tc>
        <w:tc>
          <w:tcPr>
            <w:tcW w:w="3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D5F97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rPr>
            </w:pPr>
            <w:r>
              <w:rPr>
                <w:rFonts w:hint="eastAsia" w:ascii="宋体" w:hAnsi="宋体" w:eastAsia="宋体" w:cs="宋体"/>
                <w:i w:val="0"/>
                <w:iCs w:val="0"/>
                <w:color w:val="000000"/>
                <w:kern w:val="0"/>
                <w:sz w:val="21"/>
                <w:szCs w:val="21"/>
                <w:u w:val="none"/>
                <w:lang w:val="en-US" w:eastAsia="zh-CN" w:bidi="ar"/>
              </w:rPr>
              <w:t>-46.82</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728B6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rPr>
            </w:pPr>
            <w:r>
              <w:rPr>
                <w:rFonts w:hint="eastAsia" w:ascii="宋体" w:hAnsi="宋体" w:eastAsia="宋体" w:cs="宋体"/>
                <w:i w:val="0"/>
                <w:iCs w:val="0"/>
                <w:color w:val="000000"/>
                <w:kern w:val="0"/>
                <w:sz w:val="21"/>
                <w:szCs w:val="21"/>
                <w:u w:val="none"/>
                <w:lang w:val="en-US" w:eastAsia="zh-CN" w:bidi="ar"/>
              </w:rPr>
              <w:t>35.22</w:t>
            </w:r>
          </w:p>
        </w:tc>
        <w:tc>
          <w:tcPr>
            <w:tcW w:w="1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0E318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rPr>
            </w:pPr>
            <w:r>
              <w:rPr>
                <w:rFonts w:hint="eastAsia" w:ascii="宋体" w:hAnsi="宋体" w:eastAsia="宋体" w:cs="宋体"/>
                <w:i w:val="0"/>
                <w:iCs w:val="0"/>
                <w:color w:val="000000"/>
                <w:kern w:val="0"/>
                <w:sz w:val="21"/>
                <w:szCs w:val="21"/>
                <w:u w:val="none"/>
                <w:lang w:val="en-US" w:eastAsia="zh-CN" w:bidi="ar"/>
              </w:rPr>
              <w:t>1</w:t>
            </w:r>
          </w:p>
        </w:tc>
        <w:tc>
          <w:tcPr>
            <w:tcW w:w="3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5D984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lang w:val="en-US" w:eastAsia="zh-CN"/>
              </w:rPr>
            </w:pPr>
            <w:r>
              <w:rPr>
                <w:rFonts w:hint="eastAsia" w:ascii="宋体" w:hAnsi="宋体" w:eastAsia="宋体" w:cs="宋体"/>
                <w:i w:val="0"/>
                <w:iCs w:val="0"/>
                <w:color w:val="000000"/>
                <w:kern w:val="0"/>
                <w:sz w:val="21"/>
                <w:szCs w:val="21"/>
                <w:u w:val="none"/>
                <w:lang w:val="en-US" w:eastAsia="zh-CN" w:bidi="ar"/>
              </w:rPr>
              <w:t>3.75</w:t>
            </w:r>
          </w:p>
        </w:tc>
        <w:tc>
          <w:tcPr>
            <w:tcW w:w="48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FDF19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lang w:val="en-US" w:eastAsia="zh-CN"/>
              </w:rPr>
            </w:pPr>
            <w:r>
              <w:rPr>
                <w:rFonts w:hint="eastAsia" w:ascii="宋体" w:hAnsi="宋体" w:eastAsia="宋体" w:cs="宋体"/>
                <w:i w:val="0"/>
                <w:iCs w:val="0"/>
                <w:color w:val="000000"/>
                <w:kern w:val="0"/>
                <w:sz w:val="21"/>
                <w:szCs w:val="21"/>
                <w:u w:val="none"/>
                <w:lang w:val="en-US" w:eastAsia="zh-CN" w:bidi="ar"/>
              </w:rPr>
              <w:t>60.27</w:t>
            </w:r>
          </w:p>
        </w:tc>
        <w:tc>
          <w:tcPr>
            <w:tcW w:w="3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21F28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rPr>
            </w:pPr>
            <w:r>
              <w:rPr>
                <w:rFonts w:hint="eastAsia"/>
                <w:sz w:val="21"/>
                <w:szCs w:val="21"/>
              </w:rPr>
              <w:t>昼间</w:t>
            </w: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15FF8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rPr>
            </w:pPr>
            <w:r>
              <w:rPr>
                <w:rFonts w:hint="eastAsia"/>
                <w:sz w:val="21"/>
                <w:szCs w:val="21"/>
              </w:rPr>
              <w:t>25</w:t>
            </w:r>
          </w:p>
        </w:tc>
        <w:tc>
          <w:tcPr>
            <w:tcW w:w="38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A6CF2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rPr>
            </w:pPr>
            <w:r>
              <w:rPr>
                <w:rFonts w:hint="eastAsia" w:ascii="宋体" w:hAnsi="宋体" w:eastAsia="宋体" w:cs="宋体"/>
                <w:i w:val="0"/>
                <w:iCs w:val="0"/>
                <w:color w:val="000000"/>
                <w:kern w:val="0"/>
                <w:sz w:val="18"/>
                <w:szCs w:val="18"/>
                <w:u w:val="none"/>
                <w:lang w:val="en-US" w:eastAsia="zh-CN" w:bidi="ar"/>
              </w:rPr>
              <w:t>29.38</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6F921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rPr>
            </w:pPr>
            <w:r>
              <w:rPr>
                <w:rFonts w:hint="eastAsia" w:ascii="宋体" w:hAnsi="宋体" w:eastAsia="宋体" w:cs="宋体"/>
                <w:i w:val="0"/>
                <w:iCs w:val="0"/>
                <w:color w:val="000000"/>
                <w:kern w:val="0"/>
                <w:sz w:val="21"/>
                <w:szCs w:val="21"/>
                <w:u w:val="none"/>
                <w:lang w:val="en-US" w:eastAsia="zh-CN" w:bidi="ar"/>
              </w:rPr>
              <w:t>1</w:t>
            </w:r>
          </w:p>
        </w:tc>
      </w:tr>
      <w:tr w14:paraId="168B0BE4">
        <w:tblPrEx>
          <w:tblCellMar>
            <w:top w:w="0" w:type="dxa"/>
            <w:left w:w="108" w:type="dxa"/>
            <w:bottom w:w="0" w:type="dxa"/>
            <w:right w:w="108" w:type="dxa"/>
          </w:tblCellMar>
        </w:tblPrEx>
        <w:trPr>
          <w:trHeight w:val="450" w:hRule="atLeast"/>
        </w:trPr>
        <w:tc>
          <w:tcPr>
            <w:tcW w:w="1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D4480">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宋体"/>
                <w:color w:val="auto"/>
                <w:kern w:val="0"/>
                <w:sz w:val="21"/>
                <w:szCs w:val="21"/>
                <w:lang w:val="en-US" w:eastAsia="zh-CN" w:bidi="ar"/>
              </w:rPr>
            </w:pPr>
            <w:r>
              <w:rPr>
                <w:rFonts w:hint="eastAsia" w:ascii="Times New Roman" w:hAnsi="Times New Roman" w:eastAsia="宋体" w:cs="宋体"/>
                <w:color w:val="auto"/>
                <w:kern w:val="0"/>
                <w:sz w:val="21"/>
                <w:szCs w:val="21"/>
                <w:lang w:val="en-US" w:eastAsia="zh-CN" w:bidi="ar"/>
              </w:rPr>
              <w:t>10</w:t>
            </w:r>
          </w:p>
        </w:tc>
        <w:tc>
          <w:tcPr>
            <w:tcW w:w="28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CF7CB4">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厂房</w:t>
            </w:r>
          </w:p>
        </w:tc>
        <w:tc>
          <w:tcPr>
            <w:tcW w:w="4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891257">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Arial"/>
                <w:sz w:val="21"/>
                <w:szCs w:val="21"/>
              </w:rPr>
            </w:pPr>
            <w:r>
              <w:rPr>
                <w:rFonts w:hint="default" w:ascii="Times New Roman" w:hAnsi="Times New Roman" w:cs="Times New Roman"/>
                <w:kern w:val="0"/>
                <w:sz w:val="21"/>
                <w:szCs w:val="21"/>
                <w:lang w:val="en-US" w:eastAsia="zh-CN" w:bidi="ar"/>
              </w:rPr>
              <w:t>皮带输送机</w:t>
            </w:r>
          </w:p>
        </w:tc>
        <w:tc>
          <w:tcPr>
            <w:tcW w:w="18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772595">
            <w:pPr>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z w:val="21"/>
                <w:szCs w:val="21"/>
              </w:rPr>
            </w:pPr>
            <w:r>
              <w:rPr>
                <w:rFonts w:hint="eastAsia" w:ascii="Times New Roman" w:hAnsi="Times New Roman" w:eastAsia="宋体" w:cs="宋体"/>
                <w:color w:val="auto"/>
                <w:sz w:val="21"/>
                <w:szCs w:val="21"/>
              </w:rPr>
              <w:t>/</w:t>
            </w:r>
          </w:p>
        </w:tc>
        <w:tc>
          <w:tcPr>
            <w:tcW w:w="4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3D50A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Arial"/>
                <w:sz w:val="21"/>
                <w:szCs w:val="21"/>
                <w:lang w:val="en-US" w:eastAsia="zh-CN"/>
              </w:rPr>
            </w:pPr>
            <w:r>
              <w:rPr>
                <w:rFonts w:hint="eastAsia" w:ascii="宋体" w:hAnsi="宋体" w:eastAsia="宋体" w:cs="宋体"/>
                <w:i w:val="0"/>
                <w:iCs w:val="0"/>
                <w:color w:val="000000"/>
                <w:kern w:val="0"/>
                <w:sz w:val="21"/>
                <w:szCs w:val="21"/>
                <w:u w:val="none"/>
                <w:lang w:val="en-US" w:eastAsia="zh-CN" w:bidi="ar"/>
              </w:rPr>
              <w:t>70/1</w:t>
            </w:r>
          </w:p>
        </w:tc>
        <w:tc>
          <w:tcPr>
            <w:tcW w:w="259" w:type="pct"/>
            <w:vMerge w:val="continue"/>
            <w:tcBorders>
              <w:left w:val="single" w:color="000000" w:sz="4" w:space="0"/>
              <w:right w:val="single" w:color="000000" w:sz="4" w:space="0"/>
            </w:tcBorders>
            <w:shd w:val="clear" w:color="auto" w:fill="auto"/>
            <w:noWrap w:val="0"/>
            <w:vAlign w:val="center"/>
          </w:tcPr>
          <w:p w14:paraId="3E3DA480">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宋体"/>
                <w:color w:val="auto"/>
                <w:sz w:val="21"/>
                <w:szCs w:val="21"/>
              </w:rPr>
            </w:pPr>
          </w:p>
        </w:tc>
        <w:tc>
          <w:tcPr>
            <w:tcW w:w="3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A4700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Arial"/>
                <w:sz w:val="21"/>
                <w:szCs w:val="21"/>
              </w:rPr>
            </w:pPr>
            <w:r>
              <w:rPr>
                <w:rFonts w:hint="eastAsia" w:ascii="宋体" w:hAnsi="宋体" w:eastAsia="宋体" w:cs="宋体"/>
                <w:i w:val="0"/>
                <w:iCs w:val="0"/>
                <w:color w:val="000000"/>
                <w:kern w:val="0"/>
                <w:sz w:val="21"/>
                <w:szCs w:val="21"/>
                <w:u w:val="none"/>
                <w:lang w:val="en-US" w:eastAsia="zh-CN" w:bidi="ar"/>
              </w:rPr>
              <w:t>-38.65</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78781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Arial"/>
                <w:sz w:val="21"/>
                <w:szCs w:val="21"/>
              </w:rPr>
            </w:pPr>
            <w:r>
              <w:rPr>
                <w:rFonts w:hint="eastAsia" w:ascii="宋体" w:hAnsi="宋体" w:eastAsia="宋体" w:cs="宋体"/>
                <w:i w:val="0"/>
                <w:iCs w:val="0"/>
                <w:color w:val="000000"/>
                <w:kern w:val="0"/>
                <w:sz w:val="21"/>
                <w:szCs w:val="21"/>
                <w:u w:val="none"/>
                <w:lang w:val="en-US" w:eastAsia="zh-CN" w:bidi="ar"/>
              </w:rPr>
              <w:t>27.83</w:t>
            </w:r>
          </w:p>
        </w:tc>
        <w:tc>
          <w:tcPr>
            <w:tcW w:w="1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E8734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Arial"/>
                <w:sz w:val="21"/>
                <w:szCs w:val="21"/>
              </w:rPr>
            </w:pPr>
            <w:r>
              <w:rPr>
                <w:rFonts w:hint="eastAsia" w:ascii="宋体" w:hAnsi="宋体" w:eastAsia="宋体" w:cs="宋体"/>
                <w:i w:val="0"/>
                <w:iCs w:val="0"/>
                <w:color w:val="000000"/>
                <w:kern w:val="0"/>
                <w:sz w:val="21"/>
                <w:szCs w:val="21"/>
                <w:u w:val="none"/>
                <w:lang w:val="en-US" w:eastAsia="zh-CN" w:bidi="ar"/>
              </w:rPr>
              <w:t>1</w:t>
            </w:r>
          </w:p>
        </w:tc>
        <w:tc>
          <w:tcPr>
            <w:tcW w:w="3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64B39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9.50</w:t>
            </w:r>
          </w:p>
        </w:tc>
        <w:tc>
          <w:tcPr>
            <w:tcW w:w="48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8E705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60.07</w:t>
            </w:r>
          </w:p>
        </w:tc>
        <w:tc>
          <w:tcPr>
            <w:tcW w:w="3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6D3215">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宋体"/>
                <w:color w:val="auto"/>
                <w:kern w:val="0"/>
                <w:sz w:val="21"/>
                <w:szCs w:val="21"/>
                <w:lang w:bidi="ar"/>
              </w:rPr>
            </w:pPr>
            <w:r>
              <w:rPr>
                <w:rFonts w:hint="eastAsia"/>
                <w:sz w:val="21"/>
                <w:szCs w:val="21"/>
              </w:rPr>
              <w:t>昼间</w:t>
            </w: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6C4636">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宋体"/>
                <w:color w:val="auto"/>
                <w:kern w:val="0"/>
                <w:sz w:val="21"/>
                <w:szCs w:val="21"/>
                <w:lang w:bidi="ar"/>
              </w:rPr>
            </w:pPr>
            <w:r>
              <w:rPr>
                <w:rFonts w:hint="eastAsia"/>
                <w:sz w:val="21"/>
                <w:szCs w:val="21"/>
              </w:rPr>
              <w:t>25</w:t>
            </w:r>
          </w:p>
        </w:tc>
        <w:tc>
          <w:tcPr>
            <w:tcW w:w="38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BD819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18"/>
                <w:szCs w:val="18"/>
                <w:u w:val="none"/>
                <w:lang w:val="en-US" w:eastAsia="zh-CN" w:bidi="ar"/>
              </w:rPr>
              <w:t>29.12</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3FCDB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宋体"/>
                <w:color w:val="auto"/>
                <w:kern w:val="0"/>
                <w:sz w:val="21"/>
                <w:szCs w:val="21"/>
                <w:lang w:bidi="ar"/>
              </w:rPr>
            </w:pPr>
            <w:r>
              <w:rPr>
                <w:rFonts w:hint="eastAsia" w:ascii="宋体" w:hAnsi="宋体" w:eastAsia="宋体" w:cs="宋体"/>
                <w:i w:val="0"/>
                <w:iCs w:val="0"/>
                <w:color w:val="000000"/>
                <w:kern w:val="0"/>
                <w:sz w:val="21"/>
                <w:szCs w:val="21"/>
                <w:u w:val="none"/>
                <w:lang w:val="en-US" w:eastAsia="zh-CN" w:bidi="ar"/>
              </w:rPr>
              <w:t>1</w:t>
            </w:r>
          </w:p>
        </w:tc>
      </w:tr>
      <w:tr w14:paraId="340324D1">
        <w:tblPrEx>
          <w:tblCellMar>
            <w:top w:w="0" w:type="dxa"/>
            <w:left w:w="108" w:type="dxa"/>
            <w:bottom w:w="0" w:type="dxa"/>
            <w:right w:w="108" w:type="dxa"/>
          </w:tblCellMar>
        </w:tblPrEx>
        <w:trPr>
          <w:trHeight w:val="450" w:hRule="atLeast"/>
        </w:trPr>
        <w:tc>
          <w:tcPr>
            <w:tcW w:w="1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66E85">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宋体"/>
                <w:color w:val="auto"/>
                <w:kern w:val="0"/>
                <w:sz w:val="21"/>
                <w:szCs w:val="21"/>
                <w:lang w:val="en-US" w:eastAsia="zh-CN" w:bidi="ar"/>
              </w:rPr>
            </w:pPr>
            <w:r>
              <w:rPr>
                <w:rFonts w:hint="eastAsia" w:cs="宋体"/>
                <w:color w:val="auto"/>
                <w:kern w:val="0"/>
                <w:sz w:val="21"/>
                <w:szCs w:val="21"/>
                <w:lang w:val="en-US" w:eastAsia="zh-CN" w:bidi="ar"/>
              </w:rPr>
              <w:t>11</w:t>
            </w:r>
          </w:p>
        </w:tc>
        <w:tc>
          <w:tcPr>
            <w:tcW w:w="28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9768EB">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厂房</w:t>
            </w:r>
          </w:p>
        </w:tc>
        <w:tc>
          <w:tcPr>
            <w:tcW w:w="4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E2ADC4">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Arial"/>
                <w:sz w:val="21"/>
                <w:szCs w:val="21"/>
              </w:rPr>
            </w:pPr>
            <w:r>
              <w:rPr>
                <w:rFonts w:hint="eastAsia" w:cs="Times New Roman"/>
                <w:color w:val="000000"/>
                <w:sz w:val="21"/>
                <w:szCs w:val="21"/>
                <w:lang w:val="en-US" w:eastAsia="zh-CN"/>
              </w:rPr>
              <w:t>板框压滤机</w:t>
            </w:r>
          </w:p>
        </w:tc>
        <w:tc>
          <w:tcPr>
            <w:tcW w:w="18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94A2FA">
            <w:pPr>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sz w:val="21"/>
                <w:szCs w:val="21"/>
              </w:rPr>
            </w:pPr>
            <w:r>
              <w:rPr>
                <w:rFonts w:hint="eastAsia" w:ascii="Times New Roman" w:hAnsi="Times New Roman" w:eastAsia="宋体" w:cs="宋体"/>
                <w:color w:val="auto"/>
                <w:sz w:val="21"/>
                <w:szCs w:val="21"/>
              </w:rPr>
              <w:t>/</w:t>
            </w:r>
          </w:p>
        </w:tc>
        <w:tc>
          <w:tcPr>
            <w:tcW w:w="4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9EB9C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Arial"/>
                <w:sz w:val="21"/>
                <w:szCs w:val="21"/>
                <w:lang w:val="en-US" w:eastAsia="zh-CN"/>
              </w:rPr>
            </w:pPr>
            <w:r>
              <w:rPr>
                <w:rFonts w:hint="eastAsia" w:ascii="宋体" w:hAnsi="宋体" w:eastAsia="宋体" w:cs="宋体"/>
                <w:i w:val="0"/>
                <w:iCs w:val="0"/>
                <w:color w:val="000000"/>
                <w:kern w:val="0"/>
                <w:sz w:val="21"/>
                <w:szCs w:val="21"/>
                <w:u w:val="none"/>
                <w:lang w:val="en-US" w:eastAsia="zh-CN" w:bidi="ar"/>
              </w:rPr>
              <w:t>75/1</w:t>
            </w:r>
          </w:p>
        </w:tc>
        <w:tc>
          <w:tcPr>
            <w:tcW w:w="259" w:type="pct"/>
            <w:vMerge w:val="continue"/>
            <w:tcBorders>
              <w:left w:val="single" w:color="000000" w:sz="4" w:space="0"/>
              <w:right w:val="single" w:color="000000" w:sz="4" w:space="0"/>
            </w:tcBorders>
            <w:shd w:val="clear" w:color="auto" w:fill="auto"/>
            <w:noWrap w:val="0"/>
            <w:vAlign w:val="center"/>
          </w:tcPr>
          <w:p w14:paraId="01B14EF7">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宋体"/>
                <w:color w:val="auto"/>
                <w:sz w:val="21"/>
                <w:szCs w:val="21"/>
              </w:rPr>
            </w:pPr>
          </w:p>
        </w:tc>
        <w:tc>
          <w:tcPr>
            <w:tcW w:w="3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33DC8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i w:val="0"/>
                <w:iCs w:val="0"/>
                <w:color w:val="000000"/>
                <w:kern w:val="0"/>
                <w:sz w:val="21"/>
                <w:szCs w:val="21"/>
                <w:u w:val="none"/>
                <w:lang w:val="en-US" w:eastAsia="zh-CN" w:bidi="ar"/>
              </w:rPr>
              <w:t>-38.04</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AB074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i w:val="0"/>
                <w:iCs w:val="0"/>
                <w:color w:val="000000"/>
                <w:kern w:val="0"/>
                <w:sz w:val="21"/>
                <w:szCs w:val="21"/>
                <w:u w:val="none"/>
                <w:lang w:val="en-US" w:eastAsia="zh-CN" w:bidi="ar"/>
              </w:rPr>
              <w:t>20.1</w:t>
            </w:r>
          </w:p>
        </w:tc>
        <w:tc>
          <w:tcPr>
            <w:tcW w:w="1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F02CC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i w:val="0"/>
                <w:iCs w:val="0"/>
                <w:color w:val="000000"/>
                <w:kern w:val="0"/>
                <w:sz w:val="21"/>
                <w:szCs w:val="21"/>
                <w:u w:val="none"/>
                <w:lang w:val="en-US" w:eastAsia="zh-CN" w:bidi="ar"/>
              </w:rPr>
              <w:t>1</w:t>
            </w:r>
          </w:p>
        </w:tc>
        <w:tc>
          <w:tcPr>
            <w:tcW w:w="3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BB6C7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4.30</w:t>
            </w:r>
          </w:p>
        </w:tc>
        <w:tc>
          <w:tcPr>
            <w:tcW w:w="48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DCFE3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65.22</w:t>
            </w:r>
          </w:p>
        </w:tc>
        <w:tc>
          <w:tcPr>
            <w:tcW w:w="3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E7B63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1"/>
                <w:szCs w:val="21"/>
                <w:lang w:bidi="ar"/>
              </w:rPr>
            </w:pPr>
            <w:r>
              <w:rPr>
                <w:rFonts w:hint="eastAsia"/>
                <w:sz w:val="21"/>
                <w:szCs w:val="21"/>
              </w:rPr>
              <w:t>昼间</w:t>
            </w: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22C94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1"/>
                <w:szCs w:val="21"/>
                <w:lang w:bidi="ar"/>
              </w:rPr>
            </w:pPr>
            <w:r>
              <w:rPr>
                <w:rFonts w:hint="eastAsia"/>
                <w:sz w:val="21"/>
                <w:szCs w:val="21"/>
              </w:rPr>
              <w:t>25</w:t>
            </w:r>
          </w:p>
        </w:tc>
        <w:tc>
          <w:tcPr>
            <w:tcW w:w="38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D96E3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34.22</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0B4B8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1"/>
                <w:szCs w:val="21"/>
                <w:lang w:bidi="ar"/>
              </w:rPr>
            </w:pPr>
            <w:r>
              <w:rPr>
                <w:rFonts w:hint="eastAsia" w:ascii="宋体" w:hAnsi="宋体" w:eastAsia="宋体" w:cs="宋体"/>
                <w:i w:val="0"/>
                <w:iCs w:val="0"/>
                <w:color w:val="000000"/>
                <w:kern w:val="0"/>
                <w:sz w:val="21"/>
                <w:szCs w:val="21"/>
                <w:u w:val="none"/>
                <w:lang w:val="en-US" w:eastAsia="zh-CN" w:bidi="ar"/>
              </w:rPr>
              <w:t>1</w:t>
            </w:r>
          </w:p>
        </w:tc>
      </w:tr>
      <w:tr w14:paraId="6EE99A2C">
        <w:tblPrEx>
          <w:tblCellMar>
            <w:top w:w="0" w:type="dxa"/>
            <w:left w:w="108" w:type="dxa"/>
            <w:bottom w:w="0" w:type="dxa"/>
            <w:right w:w="108" w:type="dxa"/>
          </w:tblCellMar>
        </w:tblPrEx>
        <w:trPr>
          <w:trHeight w:val="450" w:hRule="atLeast"/>
        </w:trPr>
        <w:tc>
          <w:tcPr>
            <w:tcW w:w="1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E2C97">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宋体"/>
                <w:color w:val="auto"/>
                <w:kern w:val="0"/>
                <w:sz w:val="21"/>
                <w:szCs w:val="21"/>
                <w:lang w:val="en-US" w:eastAsia="zh-CN" w:bidi="ar"/>
              </w:rPr>
            </w:pPr>
            <w:r>
              <w:rPr>
                <w:rFonts w:hint="eastAsia" w:ascii="Times New Roman" w:hAnsi="Times New Roman" w:eastAsia="宋体" w:cs="宋体"/>
                <w:color w:val="auto"/>
                <w:kern w:val="0"/>
                <w:sz w:val="21"/>
                <w:szCs w:val="21"/>
                <w:lang w:val="en-US" w:eastAsia="zh-CN" w:bidi="ar"/>
              </w:rPr>
              <w:t>1</w:t>
            </w:r>
            <w:r>
              <w:rPr>
                <w:rFonts w:hint="eastAsia" w:cs="宋体"/>
                <w:color w:val="auto"/>
                <w:kern w:val="0"/>
                <w:sz w:val="21"/>
                <w:szCs w:val="21"/>
                <w:lang w:val="en-US" w:eastAsia="zh-CN" w:bidi="ar"/>
              </w:rPr>
              <w:t>2</w:t>
            </w:r>
          </w:p>
        </w:tc>
        <w:tc>
          <w:tcPr>
            <w:tcW w:w="28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53FD4A">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宋体"/>
                <w:color w:val="auto"/>
                <w:sz w:val="21"/>
                <w:szCs w:val="21"/>
              </w:rPr>
            </w:pPr>
            <w:r>
              <w:rPr>
                <w:rFonts w:hint="eastAsia" w:ascii="Times New Roman" w:hAnsi="Times New Roman" w:eastAsia="宋体" w:cs="Times New Roman"/>
                <w:color w:val="auto"/>
                <w:sz w:val="21"/>
                <w:szCs w:val="21"/>
              </w:rPr>
              <w:t>厂房</w:t>
            </w:r>
          </w:p>
        </w:tc>
        <w:tc>
          <w:tcPr>
            <w:tcW w:w="4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10284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宋体"/>
                <w:color w:val="auto"/>
                <w:sz w:val="21"/>
                <w:szCs w:val="21"/>
              </w:rPr>
            </w:pPr>
            <w:r>
              <w:rPr>
                <w:rFonts w:hint="eastAsia" w:cs="Times New Roman"/>
                <w:sz w:val="21"/>
                <w:szCs w:val="21"/>
                <w:lang w:val="en-US" w:eastAsia="zh-CN"/>
              </w:rPr>
              <w:t>水泵</w:t>
            </w:r>
          </w:p>
        </w:tc>
        <w:tc>
          <w:tcPr>
            <w:tcW w:w="18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18D77C">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宋体"/>
                <w:color w:val="auto"/>
                <w:sz w:val="21"/>
                <w:szCs w:val="21"/>
              </w:rPr>
            </w:pPr>
            <w:r>
              <w:rPr>
                <w:rFonts w:hint="eastAsia" w:ascii="Times New Roman" w:hAnsi="Times New Roman" w:eastAsia="宋体" w:cs="宋体"/>
                <w:color w:val="auto"/>
                <w:sz w:val="21"/>
                <w:szCs w:val="21"/>
              </w:rPr>
              <w:t>/</w:t>
            </w:r>
          </w:p>
        </w:tc>
        <w:tc>
          <w:tcPr>
            <w:tcW w:w="4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DBE78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lang w:val="en-US" w:eastAsia="zh-CN"/>
              </w:rPr>
            </w:pPr>
            <w:r>
              <w:rPr>
                <w:rFonts w:hint="eastAsia" w:ascii="宋体" w:hAnsi="宋体" w:cs="宋体"/>
                <w:i w:val="0"/>
                <w:iCs w:val="0"/>
                <w:color w:val="000000"/>
                <w:kern w:val="0"/>
                <w:sz w:val="21"/>
                <w:szCs w:val="21"/>
                <w:u w:val="none"/>
                <w:lang w:val="en-US" w:eastAsia="zh-CN" w:bidi="ar"/>
              </w:rPr>
              <w:t>70</w:t>
            </w:r>
            <w:r>
              <w:rPr>
                <w:rFonts w:hint="eastAsia" w:ascii="宋体" w:hAnsi="宋体" w:eastAsia="宋体" w:cs="宋体"/>
                <w:i w:val="0"/>
                <w:iCs w:val="0"/>
                <w:color w:val="000000"/>
                <w:kern w:val="0"/>
                <w:sz w:val="21"/>
                <w:szCs w:val="21"/>
                <w:u w:val="none"/>
                <w:lang w:val="en-US" w:eastAsia="zh-CN" w:bidi="ar"/>
              </w:rPr>
              <w:t>/1</w:t>
            </w:r>
          </w:p>
        </w:tc>
        <w:tc>
          <w:tcPr>
            <w:tcW w:w="259" w:type="pct"/>
            <w:vMerge w:val="continue"/>
            <w:tcBorders>
              <w:left w:val="single" w:color="000000" w:sz="4" w:space="0"/>
              <w:right w:val="single" w:color="000000" w:sz="4" w:space="0"/>
            </w:tcBorders>
            <w:shd w:val="clear" w:color="auto" w:fill="auto"/>
            <w:noWrap w:val="0"/>
            <w:vAlign w:val="center"/>
          </w:tcPr>
          <w:p w14:paraId="742D74E6">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宋体"/>
                <w:color w:val="auto"/>
                <w:sz w:val="21"/>
                <w:szCs w:val="21"/>
              </w:rPr>
            </w:pPr>
          </w:p>
        </w:tc>
        <w:tc>
          <w:tcPr>
            <w:tcW w:w="3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54318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rPr>
            </w:pPr>
            <w:r>
              <w:rPr>
                <w:rFonts w:hint="eastAsia" w:ascii="宋体" w:hAnsi="宋体" w:eastAsia="宋体" w:cs="宋体"/>
                <w:i w:val="0"/>
                <w:iCs w:val="0"/>
                <w:color w:val="000000"/>
                <w:kern w:val="0"/>
                <w:sz w:val="21"/>
                <w:szCs w:val="21"/>
                <w:u w:val="none"/>
                <w:lang w:val="en-US" w:eastAsia="zh-CN" w:bidi="ar"/>
              </w:rPr>
              <w:t>-44.44</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54F8A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rPr>
            </w:pPr>
            <w:r>
              <w:rPr>
                <w:rFonts w:hint="eastAsia" w:ascii="宋体" w:hAnsi="宋体" w:eastAsia="宋体" w:cs="宋体"/>
                <w:i w:val="0"/>
                <w:iCs w:val="0"/>
                <w:color w:val="000000"/>
                <w:kern w:val="0"/>
                <w:sz w:val="21"/>
                <w:szCs w:val="21"/>
                <w:u w:val="none"/>
                <w:lang w:val="en-US" w:eastAsia="zh-CN" w:bidi="ar"/>
              </w:rPr>
              <w:t>32.14</w:t>
            </w:r>
          </w:p>
        </w:tc>
        <w:tc>
          <w:tcPr>
            <w:tcW w:w="1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8F873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rPr>
            </w:pPr>
            <w:r>
              <w:rPr>
                <w:rFonts w:hint="eastAsia" w:ascii="宋体" w:hAnsi="宋体" w:eastAsia="宋体" w:cs="宋体"/>
                <w:i w:val="0"/>
                <w:iCs w:val="0"/>
                <w:color w:val="000000"/>
                <w:kern w:val="0"/>
                <w:sz w:val="21"/>
                <w:szCs w:val="21"/>
                <w:u w:val="none"/>
                <w:lang w:val="en-US" w:eastAsia="zh-CN" w:bidi="ar"/>
              </w:rPr>
              <w:t>1</w:t>
            </w:r>
          </w:p>
        </w:tc>
        <w:tc>
          <w:tcPr>
            <w:tcW w:w="3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AFAEC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lang w:val="en-US" w:eastAsia="zh-CN"/>
              </w:rPr>
            </w:pPr>
            <w:r>
              <w:rPr>
                <w:rFonts w:hint="eastAsia" w:ascii="宋体" w:hAnsi="宋体" w:eastAsia="宋体" w:cs="宋体"/>
                <w:i w:val="0"/>
                <w:iCs w:val="0"/>
                <w:color w:val="000000"/>
                <w:kern w:val="0"/>
                <w:sz w:val="18"/>
                <w:szCs w:val="18"/>
                <w:u w:val="none"/>
                <w:lang w:val="en-US" w:eastAsia="zh-CN" w:bidi="ar"/>
              </w:rPr>
              <w:t>6.10</w:t>
            </w:r>
          </w:p>
        </w:tc>
        <w:tc>
          <w:tcPr>
            <w:tcW w:w="48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7E807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lang w:val="en-US" w:eastAsia="zh-CN"/>
              </w:rPr>
            </w:pPr>
            <w:r>
              <w:rPr>
                <w:rFonts w:hint="eastAsia" w:ascii="宋体" w:hAnsi="宋体" w:eastAsia="宋体" w:cs="宋体"/>
                <w:i w:val="0"/>
                <w:iCs w:val="0"/>
                <w:color w:val="000000"/>
                <w:kern w:val="0"/>
                <w:sz w:val="18"/>
                <w:szCs w:val="18"/>
                <w:u w:val="none"/>
                <w:lang w:val="en-US" w:eastAsia="zh-CN" w:bidi="ar"/>
              </w:rPr>
              <w:t>60.13</w:t>
            </w:r>
          </w:p>
        </w:tc>
        <w:tc>
          <w:tcPr>
            <w:tcW w:w="3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11BB4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rPr>
            </w:pPr>
            <w:r>
              <w:rPr>
                <w:rFonts w:hint="eastAsia"/>
                <w:sz w:val="21"/>
                <w:szCs w:val="21"/>
              </w:rPr>
              <w:t>昼间</w:t>
            </w: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DD093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rPr>
            </w:pPr>
            <w:r>
              <w:rPr>
                <w:rFonts w:hint="eastAsia"/>
                <w:sz w:val="21"/>
                <w:szCs w:val="21"/>
              </w:rPr>
              <w:t>25</w:t>
            </w:r>
          </w:p>
        </w:tc>
        <w:tc>
          <w:tcPr>
            <w:tcW w:w="38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690A3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rPr>
            </w:pPr>
            <w:r>
              <w:rPr>
                <w:rFonts w:hint="eastAsia" w:ascii="宋体" w:hAnsi="宋体" w:eastAsia="宋体" w:cs="宋体"/>
                <w:i w:val="0"/>
                <w:iCs w:val="0"/>
                <w:color w:val="000000"/>
                <w:kern w:val="0"/>
                <w:sz w:val="18"/>
                <w:szCs w:val="18"/>
                <w:u w:val="none"/>
                <w:lang w:val="en-US" w:eastAsia="zh-CN" w:bidi="ar"/>
              </w:rPr>
              <w:t>29.13</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D59D1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rPr>
            </w:pPr>
            <w:r>
              <w:rPr>
                <w:rFonts w:hint="eastAsia" w:ascii="宋体" w:hAnsi="宋体" w:eastAsia="宋体" w:cs="宋体"/>
                <w:i w:val="0"/>
                <w:iCs w:val="0"/>
                <w:color w:val="000000"/>
                <w:kern w:val="0"/>
                <w:sz w:val="21"/>
                <w:szCs w:val="21"/>
                <w:u w:val="none"/>
                <w:lang w:val="en-US" w:eastAsia="zh-CN" w:bidi="ar"/>
              </w:rPr>
              <w:t>1</w:t>
            </w:r>
          </w:p>
        </w:tc>
      </w:tr>
      <w:tr w14:paraId="378C56CE">
        <w:tblPrEx>
          <w:tblCellMar>
            <w:top w:w="0" w:type="dxa"/>
            <w:left w:w="108" w:type="dxa"/>
            <w:bottom w:w="0" w:type="dxa"/>
            <w:right w:w="108" w:type="dxa"/>
          </w:tblCellMar>
        </w:tblPrEx>
        <w:trPr>
          <w:trHeight w:val="450" w:hRule="atLeast"/>
        </w:trPr>
        <w:tc>
          <w:tcPr>
            <w:tcW w:w="1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9DF9E">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宋体"/>
                <w:color w:val="auto"/>
                <w:kern w:val="0"/>
                <w:sz w:val="21"/>
                <w:szCs w:val="21"/>
                <w:lang w:val="en-US" w:eastAsia="zh-CN" w:bidi="ar"/>
              </w:rPr>
            </w:pPr>
            <w:r>
              <w:rPr>
                <w:rFonts w:hint="eastAsia" w:cs="宋体"/>
                <w:color w:val="auto"/>
                <w:kern w:val="0"/>
                <w:sz w:val="21"/>
                <w:szCs w:val="21"/>
                <w:lang w:val="en-US" w:eastAsia="zh-CN" w:bidi="ar"/>
              </w:rPr>
              <w:t>13</w:t>
            </w:r>
          </w:p>
        </w:tc>
        <w:tc>
          <w:tcPr>
            <w:tcW w:w="28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969BCC">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厂房</w:t>
            </w:r>
          </w:p>
        </w:tc>
        <w:tc>
          <w:tcPr>
            <w:tcW w:w="4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193915">
            <w:pPr>
              <w:keepNext w:val="0"/>
              <w:keepLines w:val="0"/>
              <w:suppressLineNumbers w:val="0"/>
              <w:spacing w:before="0" w:beforeAutospacing="0" w:after="0" w:afterAutospacing="0"/>
              <w:ind w:left="0" w:leftChars="0" w:right="0" w:rightChars="0"/>
              <w:jc w:val="center"/>
              <w:rPr>
                <w:rFonts w:hint="default" w:cs="Times New Roman"/>
                <w:sz w:val="21"/>
                <w:szCs w:val="21"/>
                <w:lang w:val="en-US" w:eastAsia="zh-CN"/>
              </w:rPr>
            </w:pPr>
            <w:r>
              <w:rPr>
                <w:rFonts w:hint="eastAsia" w:cs="Times New Roman"/>
                <w:sz w:val="21"/>
                <w:szCs w:val="21"/>
                <w:lang w:val="en-US" w:eastAsia="zh-CN"/>
              </w:rPr>
              <w:t>水泵</w:t>
            </w:r>
          </w:p>
        </w:tc>
        <w:tc>
          <w:tcPr>
            <w:tcW w:w="18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105B78">
            <w:pPr>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宋体"/>
                <w:color w:val="auto"/>
                <w:sz w:val="21"/>
                <w:szCs w:val="21"/>
              </w:rPr>
            </w:pPr>
          </w:p>
        </w:tc>
        <w:tc>
          <w:tcPr>
            <w:tcW w:w="4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9A7664">
            <w:pPr>
              <w:keepNext w:val="0"/>
              <w:keepLines w:val="0"/>
              <w:widowControl/>
              <w:suppressLineNumbers w:val="0"/>
              <w:spacing w:before="0" w:beforeAutospacing="0" w:after="0" w:afterAutospacing="0"/>
              <w:ind w:left="0" w:right="0"/>
              <w:jc w:val="center"/>
              <w:textAlignment w:val="center"/>
              <w:rPr>
                <w:rFonts w:hint="default" w:cs="Arial"/>
                <w:sz w:val="21"/>
                <w:szCs w:val="21"/>
                <w:lang w:val="en-US" w:eastAsia="zh-CN"/>
              </w:rPr>
            </w:pPr>
            <w:r>
              <w:rPr>
                <w:rFonts w:hint="eastAsia" w:ascii="宋体" w:hAnsi="宋体" w:cs="宋体"/>
                <w:i w:val="0"/>
                <w:iCs w:val="0"/>
                <w:color w:val="000000"/>
                <w:kern w:val="0"/>
                <w:sz w:val="21"/>
                <w:szCs w:val="21"/>
                <w:u w:val="none"/>
                <w:lang w:val="en-US" w:eastAsia="zh-CN" w:bidi="ar"/>
              </w:rPr>
              <w:t>70</w:t>
            </w:r>
            <w:r>
              <w:rPr>
                <w:rFonts w:hint="eastAsia" w:ascii="宋体" w:hAnsi="宋体" w:eastAsia="宋体" w:cs="宋体"/>
                <w:i w:val="0"/>
                <w:iCs w:val="0"/>
                <w:color w:val="000000"/>
                <w:kern w:val="0"/>
                <w:sz w:val="21"/>
                <w:szCs w:val="21"/>
                <w:u w:val="none"/>
                <w:lang w:val="en-US" w:eastAsia="zh-CN" w:bidi="ar"/>
              </w:rPr>
              <w:t>/1</w:t>
            </w:r>
          </w:p>
        </w:tc>
        <w:tc>
          <w:tcPr>
            <w:tcW w:w="259" w:type="pct"/>
            <w:vMerge w:val="continue"/>
            <w:tcBorders>
              <w:left w:val="single" w:color="000000" w:sz="4" w:space="0"/>
              <w:right w:val="single" w:color="000000" w:sz="4" w:space="0"/>
            </w:tcBorders>
            <w:shd w:val="clear" w:color="auto" w:fill="auto"/>
            <w:noWrap w:val="0"/>
            <w:vAlign w:val="center"/>
          </w:tcPr>
          <w:p w14:paraId="0CD9A571">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宋体"/>
                <w:color w:val="auto"/>
                <w:sz w:val="21"/>
                <w:szCs w:val="21"/>
              </w:rPr>
            </w:pPr>
          </w:p>
        </w:tc>
        <w:tc>
          <w:tcPr>
            <w:tcW w:w="3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339F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-41.76</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BB56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29.6</w:t>
            </w:r>
          </w:p>
        </w:tc>
        <w:tc>
          <w:tcPr>
            <w:tcW w:w="1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B339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3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FA55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18"/>
                <w:szCs w:val="18"/>
                <w:u w:val="none"/>
                <w:lang w:val="en-US" w:eastAsia="zh-CN" w:bidi="ar"/>
              </w:rPr>
              <w:t>7.94</w:t>
            </w:r>
          </w:p>
        </w:tc>
        <w:tc>
          <w:tcPr>
            <w:tcW w:w="48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6C07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18"/>
                <w:szCs w:val="18"/>
                <w:u w:val="none"/>
                <w:lang w:val="en-US" w:eastAsia="zh-CN" w:bidi="ar"/>
              </w:rPr>
              <w:t>60.09</w:t>
            </w:r>
          </w:p>
        </w:tc>
        <w:tc>
          <w:tcPr>
            <w:tcW w:w="3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EEC2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sz w:val="21"/>
                <w:szCs w:val="21"/>
              </w:rPr>
              <w:t>昼间</w:t>
            </w: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A5B2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sz w:val="21"/>
                <w:szCs w:val="21"/>
              </w:rPr>
              <w:t>25</w:t>
            </w:r>
          </w:p>
        </w:tc>
        <w:tc>
          <w:tcPr>
            <w:tcW w:w="38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84F6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18"/>
                <w:szCs w:val="18"/>
                <w:u w:val="none"/>
                <w:lang w:val="en-US" w:eastAsia="zh-CN" w:bidi="ar"/>
              </w:rPr>
              <w:t>29.09</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0C44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r>
      <w:tr w14:paraId="0224B9A7">
        <w:tblPrEx>
          <w:tblCellMar>
            <w:top w:w="0" w:type="dxa"/>
            <w:left w:w="108" w:type="dxa"/>
            <w:bottom w:w="0" w:type="dxa"/>
            <w:right w:w="108" w:type="dxa"/>
          </w:tblCellMar>
        </w:tblPrEx>
        <w:trPr>
          <w:trHeight w:val="450" w:hRule="atLeast"/>
        </w:trPr>
        <w:tc>
          <w:tcPr>
            <w:tcW w:w="1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7C570">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0"/>
                <w:sz w:val="21"/>
                <w:szCs w:val="21"/>
                <w:lang w:val="en-US" w:eastAsia="zh-CN" w:bidi="ar"/>
              </w:rPr>
              <w:t>14</w:t>
            </w:r>
          </w:p>
        </w:tc>
        <w:tc>
          <w:tcPr>
            <w:tcW w:w="28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78543B">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宋体"/>
                <w:color w:val="auto"/>
                <w:sz w:val="21"/>
                <w:szCs w:val="21"/>
              </w:rPr>
            </w:pPr>
            <w:r>
              <w:rPr>
                <w:rFonts w:hint="eastAsia" w:ascii="Times New Roman" w:hAnsi="Times New Roman" w:eastAsia="宋体" w:cs="Times New Roman"/>
                <w:color w:val="auto"/>
                <w:sz w:val="21"/>
                <w:szCs w:val="21"/>
              </w:rPr>
              <w:t>厂房</w:t>
            </w:r>
          </w:p>
        </w:tc>
        <w:tc>
          <w:tcPr>
            <w:tcW w:w="4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D8FBD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宋体"/>
                <w:color w:val="auto"/>
                <w:sz w:val="21"/>
                <w:szCs w:val="21"/>
              </w:rPr>
            </w:pPr>
            <w:r>
              <w:rPr>
                <w:rFonts w:hint="eastAsia" w:cs="Times New Roman"/>
                <w:sz w:val="21"/>
                <w:szCs w:val="21"/>
                <w:lang w:val="en-US" w:eastAsia="zh-CN"/>
              </w:rPr>
              <w:t>污泥泵</w:t>
            </w:r>
          </w:p>
        </w:tc>
        <w:tc>
          <w:tcPr>
            <w:tcW w:w="18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84E7C4">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宋体"/>
                <w:color w:val="auto"/>
                <w:sz w:val="21"/>
                <w:szCs w:val="21"/>
              </w:rPr>
            </w:pPr>
            <w:r>
              <w:rPr>
                <w:rFonts w:hint="eastAsia" w:ascii="Times New Roman" w:hAnsi="Times New Roman" w:eastAsia="宋体" w:cs="宋体"/>
                <w:color w:val="auto"/>
                <w:sz w:val="21"/>
                <w:szCs w:val="21"/>
              </w:rPr>
              <w:t>/</w:t>
            </w:r>
          </w:p>
        </w:tc>
        <w:tc>
          <w:tcPr>
            <w:tcW w:w="4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5E5A7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lang w:val="en-US" w:eastAsia="zh-CN"/>
              </w:rPr>
            </w:pPr>
            <w:r>
              <w:rPr>
                <w:rFonts w:hint="eastAsia" w:ascii="宋体" w:hAnsi="宋体" w:cs="宋体"/>
                <w:i w:val="0"/>
                <w:iCs w:val="0"/>
                <w:color w:val="000000"/>
                <w:kern w:val="0"/>
                <w:sz w:val="21"/>
                <w:szCs w:val="21"/>
                <w:u w:val="none"/>
                <w:lang w:val="en-US" w:eastAsia="zh-CN" w:bidi="ar"/>
              </w:rPr>
              <w:t>70</w:t>
            </w:r>
            <w:r>
              <w:rPr>
                <w:rFonts w:hint="eastAsia" w:ascii="宋体" w:hAnsi="宋体" w:eastAsia="宋体" w:cs="宋体"/>
                <w:i w:val="0"/>
                <w:iCs w:val="0"/>
                <w:color w:val="000000"/>
                <w:kern w:val="0"/>
                <w:sz w:val="21"/>
                <w:szCs w:val="21"/>
                <w:u w:val="none"/>
                <w:lang w:val="en-US" w:eastAsia="zh-CN" w:bidi="ar"/>
              </w:rPr>
              <w:t>/1</w:t>
            </w:r>
          </w:p>
        </w:tc>
        <w:tc>
          <w:tcPr>
            <w:tcW w:w="259" w:type="pct"/>
            <w:vMerge w:val="continue"/>
            <w:tcBorders>
              <w:left w:val="single" w:color="000000" w:sz="4" w:space="0"/>
              <w:right w:val="single" w:color="000000" w:sz="4" w:space="0"/>
            </w:tcBorders>
            <w:shd w:val="clear" w:color="auto" w:fill="auto"/>
            <w:noWrap w:val="0"/>
            <w:vAlign w:val="center"/>
          </w:tcPr>
          <w:p w14:paraId="38C4A354">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宋体"/>
                <w:color w:val="auto"/>
                <w:sz w:val="21"/>
                <w:szCs w:val="21"/>
              </w:rPr>
            </w:pPr>
          </w:p>
        </w:tc>
        <w:tc>
          <w:tcPr>
            <w:tcW w:w="3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E6AAA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rPr>
            </w:pPr>
            <w:r>
              <w:rPr>
                <w:rFonts w:hint="eastAsia" w:ascii="宋体" w:hAnsi="宋体" w:eastAsia="宋体" w:cs="宋体"/>
                <w:i w:val="0"/>
                <w:iCs w:val="0"/>
                <w:color w:val="000000"/>
                <w:kern w:val="0"/>
                <w:sz w:val="21"/>
                <w:szCs w:val="21"/>
                <w:u w:val="none"/>
                <w:lang w:val="en-US" w:eastAsia="zh-CN" w:bidi="ar"/>
              </w:rPr>
              <w:t>-34.61</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8196A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rPr>
            </w:pPr>
            <w:r>
              <w:rPr>
                <w:rFonts w:hint="eastAsia" w:ascii="宋体" w:hAnsi="宋体" w:eastAsia="宋体" w:cs="宋体"/>
                <w:i w:val="0"/>
                <w:iCs w:val="0"/>
                <w:color w:val="000000"/>
                <w:kern w:val="0"/>
                <w:sz w:val="21"/>
                <w:szCs w:val="21"/>
                <w:u w:val="none"/>
                <w:lang w:val="en-US" w:eastAsia="zh-CN" w:bidi="ar"/>
              </w:rPr>
              <w:t>21.86</w:t>
            </w:r>
          </w:p>
        </w:tc>
        <w:tc>
          <w:tcPr>
            <w:tcW w:w="1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8E846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rPr>
            </w:pPr>
            <w:r>
              <w:rPr>
                <w:rFonts w:hint="eastAsia" w:ascii="宋体" w:hAnsi="宋体" w:eastAsia="宋体" w:cs="宋体"/>
                <w:i w:val="0"/>
                <w:iCs w:val="0"/>
                <w:color w:val="000000"/>
                <w:kern w:val="0"/>
                <w:sz w:val="21"/>
                <w:szCs w:val="21"/>
                <w:u w:val="none"/>
                <w:lang w:val="en-US" w:eastAsia="zh-CN" w:bidi="ar"/>
              </w:rPr>
              <w:t>1</w:t>
            </w:r>
          </w:p>
        </w:tc>
        <w:tc>
          <w:tcPr>
            <w:tcW w:w="3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DE3C8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lang w:val="en-US" w:eastAsia="zh-CN"/>
              </w:rPr>
            </w:pPr>
            <w:r>
              <w:rPr>
                <w:rFonts w:hint="eastAsia" w:ascii="宋体" w:hAnsi="宋体" w:eastAsia="宋体" w:cs="宋体"/>
                <w:i w:val="0"/>
                <w:iCs w:val="0"/>
                <w:color w:val="000000"/>
                <w:kern w:val="0"/>
                <w:sz w:val="18"/>
                <w:szCs w:val="18"/>
                <w:u w:val="none"/>
                <w:lang w:val="en-US" w:eastAsia="zh-CN" w:bidi="ar"/>
              </w:rPr>
              <w:t>6.33</w:t>
            </w:r>
          </w:p>
        </w:tc>
        <w:tc>
          <w:tcPr>
            <w:tcW w:w="48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F9A6B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lang w:val="en-US" w:eastAsia="zh-CN"/>
              </w:rPr>
            </w:pPr>
            <w:r>
              <w:rPr>
                <w:rFonts w:hint="eastAsia" w:ascii="宋体" w:hAnsi="宋体" w:eastAsia="宋体" w:cs="宋体"/>
                <w:i w:val="0"/>
                <w:iCs w:val="0"/>
                <w:color w:val="000000"/>
                <w:kern w:val="0"/>
                <w:sz w:val="18"/>
                <w:szCs w:val="18"/>
                <w:u w:val="none"/>
                <w:lang w:val="en-US" w:eastAsia="zh-CN" w:bidi="ar"/>
              </w:rPr>
              <w:t>60.12</w:t>
            </w:r>
          </w:p>
        </w:tc>
        <w:tc>
          <w:tcPr>
            <w:tcW w:w="3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FCFAB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rPr>
            </w:pPr>
            <w:r>
              <w:rPr>
                <w:rFonts w:hint="eastAsia"/>
                <w:sz w:val="21"/>
                <w:szCs w:val="21"/>
              </w:rPr>
              <w:t>昼间</w:t>
            </w: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440BA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rPr>
            </w:pPr>
            <w:r>
              <w:rPr>
                <w:rFonts w:hint="eastAsia"/>
                <w:sz w:val="21"/>
                <w:szCs w:val="21"/>
              </w:rPr>
              <w:t>25</w:t>
            </w:r>
          </w:p>
        </w:tc>
        <w:tc>
          <w:tcPr>
            <w:tcW w:w="38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4F1B2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rPr>
            </w:pPr>
            <w:r>
              <w:rPr>
                <w:rFonts w:hint="eastAsia" w:ascii="宋体" w:hAnsi="宋体" w:eastAsia="宋体" w:cs="宋体"/>
                <w:i w:val="0"/>
                <w:iCs w:val="0"/>
                <w:color w:val="000000"/>
                <w:kern w:val="0"/>
                <w:sz w:val="18"/>
                <w:szCs w:val="18"/>
                <w:u w:val="none"/>
                <w:lang w:val="en-US" w:eastAsia="zh-CN" w:bidi="ar"/>
              </w:rPr>
              <w:t>29.12</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13308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color w:val="auto"/>
                <w:sz w:val="21"/>
                <w:szCs w:val="21"/>
              </w:rPr>
            </w:pPr>
            <w:r>
              <w:rPr>
                <w:rFonts w:hint="eastAsia" w:ascii="宋体" w:hAnsi="宋体" w:eastAsia="宋体" w:cs="宋体"/>
                <w:i w:val="0"/>
                <w:iCs w:val="0"/>
                <w:color w:val="000000"/>
                <w:kern w:val="0"/>
                <w:sz w:val="21"/>
                <w:szCs w:val="21"/>
                <w:u w:val="none"/>
                <w:lang w:val="en-US" w:eastAsia="zh-CN" w:bidi="ar"/>
              </w:rPr>
              <w:t>1</w:t>
            </w:r>
          </w:p>
        </w:tc>
      </w:tr>
      <w:tr w14:paraId="70272462">
        <w:tblPrEx>
          <w:tblCellMar>
            <w:top w:w="0" w:type="dxa"/>
            <w:left w:w="108" w:type="dxa"/>
            <w:bottom w:w="0" w:type="dxa"/>
            <w:right w:w="108" w:type="dxa"/>
          </w:tblCellMar>
        </w:tblPrEx>
        <w:trPr>
          <w:trHeight w:val="450" w:hRule="atLeast"/>
        </w:trPr>
        <w:tc>
          <w:tcPr>
            <w:tcW w:w="5000" w:type="pct"/>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2C64F">
            <w:pPr>
              <w:keepNext w:val="0"/>
              <w:keepLines w:val="0"/>
              <w:suppressLineNumbers w:val="0"/>
              <w:spacing w:before="0" w:beforeAutospacing="0" w:after="0" w:afterAutospacing="0"/>
              <w:ind w:left="0" w:right="0"/>
              <w:rPr>
                <w:rFonts w:hint="eastAsia" w:ascii="宋体" w:hAnsi="宋体" w:eastAsia="宋体" w:cs="宋体"/>
                <w:i w:val="0"/>
                <w:iCs w:val="0"/>
                <w:color w:val="000000"/>
                <w:kern w:val="0"/>
                <w:sz w:val="21"/>
                <w:szCs w:val="21"/>
                <w:u w:val="none"/>
                <w:lang w:val="en-US" w:eastAsia="zh-CN" w:bidi="ar"/>
              </w:rPr>
            </w:pPr>
            <w:r>
              <w:rPr>
                <w:rFonts w:hint="eastAsia" w:ascii="Times New Roman" w:hAnsi="Times New Roman" w:eastAsia="宋体" w:cs="宋体"/>
                <w:b w:val="0"/>
                <w:bCs/>
                <w:sz w:val="21"/>
                <w:szCs w:val="21"/>
                <w:lang w:val="en-US" w:eastAsia="zh-CN"/>
              </w:rPr>
              <w:t>注：表中坐标以厂</w:t>
            </w:r>
            <w:r>
              <w:rPr>
                <w:rFonts w:hint="eastAsia" w:cs="宋体"/>
                <w:b w:val="0"/>
                <w:bCs/>
                <w:sz w:val="21"/>
                <w:szCs w:val="21"/>
                <w:lang w:val="en-US" w:eastAsia="zh-CN"/>
              </w:rPr>
              <w:t>区</w:t>
            </w:r>
            <w:r>
              <w:rPr>
                <w:rFonts w:hint="eastAsia" w:ascii="Times New Roman" w:hAnsi="Times New Roman" w:eastAsia="宋体" w:cs="宋体"/>
                <w:b w:val="0"/>
                <w:bCs/>
                <w:sz w:val="21"/>
                <w:szCs w:val="21"/>
                <w:lang w:val="en-US" w:eastAsia="zh-CN"/>
              </w:rPr>
              <w:t>中心（107.181121</w:t>
            </w:r>
            <w:r>
              <w:rPr>
                <w:rFonts w:hint="eastAsia" w:cs="宋体"/>
                <w:b w:val="0"/>
                <w:bCs/>
                <w:sz w:val="21"/>
                <w:szCs w:val="21"/>
                <w:lang w:val="en-US" w:eastAsia="zh-CN"/>
              </w:rPr>
              <w:t>°</w:t>
            </w:r>
            <w:r>
              <w:rPr>
                <w:rFonts w:hint="eastAsia" w:ascii="Times New Roman" w:hAnsi="Times New Roman" w:eastAsia="宋体" w:cs="宋体"/>
                <w:b w:val="0"/>
                <w:bCs/>
                <w:sz w:val="21"/>
                <w:szCs w:val="21"/>
                <w:lang w:val="en-US" w:eastAsia="zh-CN"/>
              </w:rPr>
              <w:t>,30.288489</w:t>
            </w:r>
            <w:r>
              <w:rPr>
                <w:rFonts w:hint="eastAsia" w:cs="宋体"/>
                <w:b w:val="0"/>
                <w:bCs/>
                <w:sz w:val="21"/>
                <w:szCs w:val="21"/>
                <w:lang w:val="en-US" w:eastAsia="zh-CN"/>
              </w:rPr>
              <w:t>°</w:t>
            </w:r>
            <w:r>
              <w:rPr>
                <w:rFonts w:hint="eastAsia" w:ascii="Times New Roman" w:hAnsi="Times New Roman" w:eastAsia="宋体" w:cs="宋体"/>
                <w:b w:val="0"/>
                <w:bCs/>
                <w:sz w:val="21"/>
                <w:szCs w:val="21"/>
                <w:lang w:val="en-US" w:eastAsia="zh-CN"/>
              </w:rPr>
              <w:t>）为坐标原点，正东向为X轴正方向，正北向为Y轴正方向</w:t>
            </w:r>
          </w:p>
        </w:tc>
      </w:tr>
    </w:tbl>
    <w:p w14:paraId="1EF0FF8E">
      <w:pPr>
        <w:jc w:val="left"/>
        <w:rPr>
          <w:rFonts w:hint="eastAsia" w:ascii="Times New Roman" w:hAnsi="Times New Roman" w:eastAsia="宋体"/>
        </w:rPr>
        <w:sectPr>
          <w:pgSz w:w="16840" w:h="11907" w:orient="landscape"/>
          <w:pgMar w:top="1304" w:right="1701" w:bottom="1304" w:left="1729" w:header="851" w:footer="851" w:gutter="0"/>
          <w:pgBorders>
            <w:top w:val="none" w:sz="0" w:space="0"/>
            <w:left w:val="none" w:sz="0" w:space="0"/>
            <w:bottom w:val="none" w:sz="0" w:space="0"/>
            <w:right w:val="none" w:sz="0" w:space="0"/>
          </w:pgBorders>
          <w:cols w:space="720" w:num="1"/>
          <w:docGrid w:linePitch="312" w:charSpace="0"/>
        </w:sectPr>
      </w:pPr>
    </w:p>
    <w:tbl>
      <w:tblPr>
        <w:tblStyle w:val="25"/>
        <w:tblW w:w="0" w:type="auto"/>
        <w:tblInd w:w="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8175"/>
      </w:tblGrid>
      <w:tr w14:paraId="13084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64" w:hRule="atLeast"/>
        </w:trPr>
        <w:tc>
          <w:tcPr>
            <w:tcW w:w="750" w:type="dxa"/>
            <w:noWrap w:val="0"/>
            <w:vAlign w:val="center"/>
          </w:tcPr>
          <w:p w14:paraId="3E5FFD49">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bCs/>
                <w:sz w:val="24"/>
              </w:rPr>
            </w:pPr>
            <w:r>
              <w:rPr>
                <w:rFonts w:hint="eastAsia" w:ascii="Times New Roman" w:hAnsi="Times New Roman" w:eastAsia="宋体" w:cs="宋体"/>
                <w:bCs/>
                <w:sz w:val="24"/>
              </w:rPr>
              <w:t>运营</w:t>
            </w:r>
          </w:p>
          <w:p w14:paraId="4827A0D6">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bCs/>
                <w:sz w:val="24"/>
              </w:rPr>
            </w:pPr>
            <w:r>
              <w:rPr>
                <w:rFonts w:hint="eastAsia" w:ascii="Times New Roman" w:hAnsi="Times New Roman" w:eastAsia="宋体" w:cs="宋体"/>
                <w:bCs/>
                <w:sz w:val="24"/>
              </w:rPr>
              <w:t>期环</w:t>
            </w:r>
          </w:p>
          <w:p w14:paraId="524A9291">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bCs/>
                <w:sz w:val="24"/>
              </w:rPr>
            </w:pPr>
            <w:r>
              <w:rPr>
                <w:rFonts w:hint="eastAsia" w:ascii="Times New Roman" w:hAnsi="Times New Roman" w:eastAsia="宋体" w:cs="宋体"/>
                <w:bCs/>
                <w:sz w:val="24"/>
              </w:rPr>
              <w:t>境影</w:t>
            </w:r>
          </w:p>
          <w:p w14:paraId="21CF3772">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bCs/>
                <w:sz w:val="24"/>
              </w:rPr>
            </w:pPr>
            <w:r>
              <w:rPr>
                <w:rFonts w:hint="eastAsia" w:ascii="Times New Roman" w:hAnsi="Times New Roman" w:eastAsia="宋体" w:cs="宋体"/>
                <w:bCs/>
                <w:sz w:val="24"/>
              </w:rPr>
              <w:t>响和</w:t>
            </w:r>
          </w:p>
          <w:p w14:paraId="517D8015">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bCs/>
                <w:sz w:val="24"/>
              </w:rPr>
            </w:pPr>
            <w:r>
              <w:rPr>
                <w:rFonts w:hint="eastAsia" w:ascii="Times New Roman" w:hAnsi="Times New Roman" w:eastAsia="宋体" w:cs="宋体"/>
                <w:bCs/>
                <w:sz w:val="24"/>
              </w:rPr>
              <w:t>保护</w:t>
            </w:r>
          </w:p>
          <w:p w14:paraId="743BD8D1">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rPr>
            </w:pPr>
            <w:r>
              <w:rPr>
                <w:rFonts w:hint="eastAsia" w:ascii="Times New Roman" w:hAnsi="Times New Roman" w:eastAsia="宋体" w:cs="宋体"/>
                <w:bCs/>
                <w:sz w:val="24"/>
              </w:rPr>
              <w:t>措施</w:t>
            </w:r>
          </w:p>
        </w:tc>
        <w:tc>
          <w:tcPr>
            <w:tcW w:w="8175" w:type="dxa"/>
            <w:noWrap w:val="0"/>
            <w:vAlign w:val="top"/>
          </w:tcPr>
          <w:p w14:paraId="36E5EFC2">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sz w:val="24"/>
              </w:rPr>
            </w:pPr>
            <w:r>
              <w:rPr>
                <w:rFonts w:hint="eastAsia" w:ascii="Times New Roman" w:hAnsi="Times New Roman" w:eastAsia="宋体" w:cs="Times New Roman"/>
                <w:b/>
                <w:bCs/>
                <w:sz w:val="24"/>
              </w:rPr>
              <w:t>2、治理措施</w:t>
            </w:r>
          </w:p>
          <w:p w14:paraId="3E2C8680">
            <w:pPr>
              <w:keepNext w:val="0"/>
              <w:keepLines w:val="0"/>
              <w:suppressLineNumbers w:val="0"/>
              <w:adjustRightInd w:val="0"/>
              <w:snapToGrid w:val="0"/>
              <w:spacing w:before="0" w:beforeAutospacing="0" w:after="0" w:afterAutospacing="0" w:line="360" w:lineRule="auto"/>
              <w:ind w:left="0" w:right="0" w:firstLine="480" w:firstLineChars="200"/>
              <w:rPr>
                <w:rFonts w:hint="eastAsia" w:cs="Times New Roman"/>
                <w:sz w:val="24"/>
                <w:lang w:eastAsia="zh-CN"/>
              </w:rPr>
            </w:pPr>
            <w:r>
              <w:rPr>
                <w:rFonts w:hint="eastAsia" w:ascii="Times New Roman" w:hAnsi="Times New Roman" w:eastAsia="宋体" w:cs="Times New Roman"/>
                <w:sz w:val="24"/>
              </w:rPr>
              <w:t>项目</w:t>
            </w:r>
            <w:r>
              <w:rPr>
                <w:rFonts w:hint="eastAsia" w:cs="Times New Roman"/>
                <w:sz w:val="24"/>
                <w:lang w:val="en-US" w:eastAsia="zh-CN"/>
              </w:rPr>
              <w:t>运营期</w:t>
            </w:r>
            <w:r>
              <w:rPr>
                <w:rFonts w:hint="eastAsia" w:ascii="Times New Roman" w:hAnsi="Times New Roman" w:eastAsia="宋体" w:cs="Times New Roman"/>
                <w:sz w:val="24"/>
              </w:rPr>
              <w:t>拟采取以下措施进行噪声治理</w:t>
            </w:r>
            <w:r>
              <w:rPr>
                <w:rFonts w:hint="eastAsia" w:cs="Times New Roman"/>
                <w:sz w:val="24"/>
                <w:lang w:eastAsia="zh-CN"/>
              </w:rPr>
              <w:t>。</w:t>
            </w:r>
          </w:p>
          <w:p w14:paraId="4B2AE46C">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eastAsia" w:cs="Times New Roman"/>
                <w:b/>
                <w:bCs/>
                <w:kern w:val="0"/>
                <w:sz w:val="21"/>
                <w:szCs w:val="21"/>
                <w:lang w:val="en-US" w:eastAsia="zh-CN" w:bidi="ar"/>
              </w:rPr>
            </w:pPr>
            <w:r>
              <w:rPr>
                <w:rFonts w:hint="eastAsia" w:cs="Times New Roman"/>
                <w:b/>
                <w:bCs/>
                <w:kern w:val="0"/>
                <w:sz w:val="21"/>
                <w:szCs w:val="21"/>
                <w:lang w:val="en-US" w:eastAsia="zh-CN" w:bidi="ar"/>
              </w:rPr>
              <w:t>表4-8  项目运营期噪声治理措施一览表</w:t>
            </w:r>
          </w:p>
          <w:tbl>
            <w:tblPr>
              <w:tblStyle w:val="26"/>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98"/>
              <w:gridCol w:w="2184"/>
              <w:gridCol w:w="4777"/>
            </w:tblGrid>
            <w:tr w14:paraId="092131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7" w:type="pct"/>
                  <w:tcBorders>
                    <w:tl2br w:val="nil"/>
                    <w:tr2bl w:val="nil"/>
                  </w:tcBorders>
                  <w:vAlign w:val="center"/>
                </w:tcPr>
                <w:p w14:paraId="16D42EB4">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序号</w:t>
                  </w:r>
                </w:p>
              </w:tc>
              <w:tc>
                <w:tcPr>
                  <w:tcW w:w="1372" w:type="pct"/>
                  <w:tcBorders>
                    <w:tl2br w:val="nil"/>
                    <w:tr2bl w:val="nil"/>
                  </w:tcBorders>
                  <w:vAlign w:val="center"/>
                </w:tcPr>
                <w:p w14:paraId="6A9B8EDA">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对象</w:t>
                  </w:r>
                </w:p>
              </w:tc>
              <w:tc>
                <w:tcPr>
                  <w:tcW w:w="3000" w:type="pct"/>
                  <w:tcBorders>
                    <w:tl2br w:val="nil"/>
                    <w:tr2bl w:val="nil"/>
                  </w:tcBorders>
                  <w:vAlign w:val="center"/>
                </w:tcPr>
                <w:p w14:paraId="764395A4">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治理措施</w:t>
                  </w:r>
                </w:p>
              </w:tc>
            </w:tr>
            <w:tr w14:paraId="5CEA26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7" w:type="pct"/>
                  <w:tcBorders>
                    <w:tl2br w:val="nil"/>
                    <w:tr2bl w:val="nil"/>
                  </w:tcBorders>
                  <w:vAlign w:val="center"/>
                </w:tcPr>
                <w:p w14:paraId="5CEAAF4D">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w:t>
                  </w:r>
                </w:p>
              </w:tc>
              <w:tc>
                <w:tcPr>
                  <w:tcW w:w="1372" w:type="pct"/>
                  <w:vMerge w:val="restart"/>
                  <w:tcBorders>
                    <w:tl2br w:val="nil"/>
                    <w:tr2bl w:val="nil"/>
                  </w:tcBorders>
                  <w:vAlign w:val="center"/>
                </w:tcPr>
                <w:p w14:paraId="41E59D83">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机械设备</w:t>
                  </w:r>
                </w:p>
              </w:tc>
              <w:tc>
                <w:tcPr>
                  <w:tcW w:w="3000" w:type="pct"/>
                  <w:tcBorders>
                    <w:tl2br w:val="nil"/>
                    <w:tr2bl w:val="nil"/>
                  </w:tcBorders>
                  <w:vAlign w:val="center"/>
                </w:tcPr>
                <w:p w14:paraId="240168B0">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sz w:val="21"/>
                      <w:szCs w:val="21"/>
                      <w:vertAlign w:val="baseline"/>
                      <w:lang w:val="en-US" w:eastAsia="zh-CN"/>
                    </w:rPr>
                  </w:pPr>
                  <w:r>
                    <w:rPr>
                      <w:rFonts w:hint="default" w:ascii="Times New Roman" w:hAnsi="Times New Roman" w:eastAsia="宋体" w:cs="Times New Roman"/>
                      <w:kern w:val="0"/>
                      <w:sz w:val="21"/>
                      <w:szCs w:val="21"/>
                      <w:lang w:bidi="ar"/>
                    </w:rPr>
                    <w:t>选用先进的低噪声设备，并提高设备的安装质量和精度，从源头减轻设备的噪声量</w:t>
                  </w:r>
                </w:p>
              </w:tc>
            </w:tr>
            <w:tr w14:paraId="647299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7" w:type="pct"/>
                  <w:tcBorders>
                    <w:tl2br w:val="nil"/>
                    <w:tr2bl w:val="nil"/>
                  </w:tcBorders>
                  <w:vAlign w:val="center"/>
                </w:tcPr>
                <w:p w14:paraId="425F93C1">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2</w:t>
                  </w:r>
                </w:p>
              </w:tc>
              <w:tc>
                <w:tcPr>
                  <w:tcW w:w="1372" w:type="pct"/>
                  <w:vMerge w:val="continue"/>
                  <w:tcBorders>
                    <w:tl2br w:val="nil"/>
                    <w:tr2bl w:val="nil"/>
                  </w:tcBorders>
                  <w:vAlign w:val="center"/>
                </w:tcPr>
                <w:p w14:paraId="7C0E2C48">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sz w:val="21"/>
                      <w:szCs w:val="21"/>
                      <w:vertAlign w:val="baseline"/>
                      <w:lang w:val="en-US" w:eastAsia="zh-CN"/>
                    </w:rPr>
                  </w:pPr>
                </w:p>
              </w:tc>
              <w:tc>
                <w:tcPr>
                  <w:tcW w:w="3000" w:type="pct"/>
                  <w:tcBorders>
                    <w:tl2br w:val="nil"/>
                    <w:tr2bl w:val="nil"/>
                  </w:tcBorders>
                  <w:vAlign w:val="center"/>
                </w:tcPr>
                <w:p w14:paraId="5FB8601D">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sz w:val="21"/>
                      <w:szCs w:val="21"/>
                      <w:vertAlign w:val="baseline"/>
                      <w:lang w:val="en-US" w:eastAsia="zh-CN"/>
                    </w:rPr>
                  </w:pPr>
                  <w:r>
                    <w:rPr>
                      <w:rFonts w:hint="default" w:ascii="Times New Roman" w:hAnsi="Times New Roman" w:eastAsia="宋体" w:cs="Times New Roman"/>
                      <w:kern w:val="0"/>
                      <w:sz w:val="21"/>
                      <w:szCs w:val="21"/>
                      <w:lang w:bidi="ar"/>
                    </w:rPr>
                    <w:t>对于高噪声设备设置</w:t>
                  </w:r>
                  <w:r>
                    <w:rPr>
                      <w:rFonts w:hint="eastAsia" w:cs="Times New Roman"/>
                      <w:kern w:val="0"/>
                      <w:sz w:val="21"/>
                      <w:szCs w:val="21"/>
                      <w:lang w:eastAsia="zh-CN" w:bidi="ar"/>
                    </w:rPr>
                    <w:t>减振</w:t>
                  </w:r>
                  <w:r>
                    <w:rPr>
                      <w:rFonts w:hint="default" w:ascii="Times New Roman" w:hAnsi="Times New Roman" w:eastAsia="宋体" w:cs="Times New Roman"/>
                      <w:kern w:val="0"/>
                      <w:sz w:val="21"/>
                      <w:szCs w:val="21"/>
                      <w:lang w:bidi="ar"/>
                    </w:rPr>
                    <w:t>基础，可采取台基</w:t>
                  </w:r>
                  <w:r>
                    <w:rPr>
                      <w:rFonts w:hint="eastAsia" w:cs="Times New Roman"/>
                      <w:kern w:val="0"/>
                      <w:sz w:val="21"/>
                      <w:szCs w:val="21"/>
                      <w:lang w:eastAsia="zh-CN" w:bidi="ar"/>
                    </w:rPr>
                    <w:t>减振</w:t>
                  </w:r>
                  <w:r>
                    <w:rPr>
                      <w:rFonts w:hint="default" w:ascii="Times New Roman" w:hAnsi="Times New Roman" w:eastAsia="宋体" w:cs="Times New Roman"/>
                      <w:kern w:val="0"/>
                      <w:sz w:val="21"/>
                      <w:szCs w:val="21"/>
                      <w:lang w:bidi="ar"/>
                    </w:rPr>
                    <w:t>、橡胶</w:t>
                  </w:r>
                  <w:r>
                    <w:rPr>
                      <w:rFonts w:hint="eastAsia" w:cs="Times New Roman"/>
                      <w:kern w:val="0"/>
                      <w:sz w:val="21"/>
                      <w:szCs w:val="21"/>
                      <w:lang w:eastAsia="zh-CN" w:bidi="ar"/>
                    </w:rPr>
                    <w:t>减振</w:t>
                  </w:r>
                  <w:r>
                    <w:rPr>
                      <w:rFonts w:hint="default" w:ascii="Times New Roman" w:hAnsi="Times New Roman" w:eastAsia="宋体" w:cs="Times New Roman"/>
                      <w:kern w:val="0"/>
                      <w:sz w:val="21"/>
                      <w:szCs w:val="21"/>
                      <w:lang w:bidi="ar"/>
                    </w:rPr>
                    <w:t>接头以及</w:t>
                  </w:r>
                  <w:r>
                    <w:rPr>
                      <w:rFonts w:hint="eastAsia" w:cs="Times New Roman"/>
                      <w:kern w:val="0"/>
                      <w:sz w:val="21"/>
                      <w:szCs w:val="21"/>
                      <w:lang w:eastAsia="zh-CN" w:bidi="ar"/>
                    </w:rPr>
                    <w:t>减振</w:t>
                  </w:r>
                  <w:r>
                    <w:rPr>
                      <w:rFonts w:hint="default" w:ascii="Times New Roman" w:hAnsi="Times New Roman" w:eastAsia="宋体" w:cs="Times New Roman"/>
                      <w:kern w:val="0"/>
                      <w:sz w:val="21"/>
                      <w:szCs w:val="21"/>
                      <w:lang w:bidi="ar"/>
                    </w:rPr>
                    <w:t>垫等措施，进行柔性</w:t>
                  </w:r>
                  <w:r>
                    <w:rPr>
                      <w:rFonts w:hint="eastAsia" w:ascii="Times New Roman" w:hAnsi="Times New Roman" w:eastAsia="宋体" w:cs="Times New Roman"/>
                      <w:kern w:val="0"/>
                      <w:sz w:val="21"/>
                      <w:szCs w:val="21"/>
                      <w:lang w:eastAsia="zh-CN" w:bidi="ar"/>
                    </w:rPr>
                    <w:t>连接</w:t>
                  </w:r>
                  <w:r>
                    <w:rPr>
                      <w:rFonts w:hint="default" w:ascii="Times New Roman" w:hAnsi="Times New Roman" w:eastAsia="宋体" w:cs="Times New Roman"/>
                      <w:kern w:val="0"/>
                      <w:sz w:val="21"/>
                      <w:szCs w:val="21"/>
                      <w:lang w:bidi="ar"/>
                    </w:rPr>
                    <w:t>，以减小其振动影响</w:t>
                  </w:r>
                </w:p>
              </w:tc>
            </w:tr>
            <w:tr w14:paraId="0398E9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7" w:type="pct"/>
                  <w:tcBorders>
                    <w:tl2br w:val="nil"/>
                    <w:tr2bl w:val="nil"/>
                  </w:tcBorders>
                  <w:vAlign w:val="center"/>
                </w:tcPr>
                <w:p w14:paraId="254833C0">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3</w:t>
                  </w:r>
                </w:p>
              </w:tc>
              <w:tc>
                <w:tcPr>
                  <w:tcW w:w="1372" w:type="pct"/>
                  <w:vMerge w:val="continue"/>
                  <w:tcBorders>
                    <w:tl2br w:val="nil"/>
                    <w:tr2bl w:val="nil"/>
                  </w:tcBorders>
                  <w:vAlign w:val="center"/>
                </w:tcPr>
                <w:p w14:paraId="2D32A606">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sz w:val="21"/>
                      <w:szCs w:val="21"/>
                      <w:vertAlign w:val="baseline"/>
                      <w:lang w:val="en-US" w:eastAsia="zh-CN"/>
                    </w:rPr>
                  </w:pPr>
                </w:p>
              </w:tc>
              <w:tc>
                <w:tcPr>
                  <w:tcW w:w="3000" w:type="pct"/>
                  <w:tcBorders>
                    <w:tl2br w:val="nil"/>
                    <w:tr2bl w:val="nil"/>
                  </w:tcBorders>
                  <w:vAlign w:val="center"/>
                </w:tcPr>
                <w:p w14:paraId="5633DD07">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sz w:val="21"/>
                      <w:szCs w:val="21"/>
                      <w:vertAlign w:val="baseline"/>
                      <w:lang w:val="en-US" w:eastAsia="zh-CN"/>
                    </w:rPr>
                  </w:pPr>
                  <w:r>
                    <w:rPr>
                      <w:rFonts w:hint="eastAsia" w:cs="Times New Roman"/>
                      <w:kern w:val="0"/>
                      <w:sz w:val="21"/>
                      <w:szCs w:val="21"/>
                      <w:lang w:val="en-US" w:eastAsia="zh-CN" w:bidi="ar"/>
                    </w:rPr>
                    <w:t>距离声环境敏感点较近的喂料机、颚式破碎机、振动筛</w:t>
                  </w:r>
                  <w:r>
                    <w:rPr>
                      <w:rFonts w:hint="default" w:cs="Times New Roman"/>
                      <w:kern w:val="0"/>
                      <w:sz w:val="21"/>
                      <w:szCs w:val="21"/>
                      <w:lang w:val="en-US" w:eastAsia="zh-CN" w:bidi="ar"/>
                    </w:rPr>
                    <w:t>采</w:t>
                  </w:r>
                  <w:r>
                    <w:rPr>
                      <w:rFonts w:hint="default" w:ascii="Times New Roman" w:hAnsi="Times New Roman" w:eastAsia="宋体" w:cs="Times New Roman"/>
                      <w:kern w:val="0"/>
                      <w:sz w:val="21"/>
                      <w:szCs w:val="21"/>
                      <w:lang w:bidi="ar"/>
                    </w:rPr>
                    <w:t>取下沉形式设置</w:t>
                  </w:r>
                  <w:r>
                    <w:rPr>
                      <w:rFonts w:hint="eastAsia" w:cs="Times New Roman"/>
                      <w:kern w:val="0"/>
                      <w:sz w:val="21"/>
                      <w:szCs w:val="21"/>
                      <w:lang w:eastAsia="zh-CN" w:bidi="ar"/>
                    </w:rPr>
                    <w:t>，</w:t>
                  </w:r>
                  <w:r>
                    <w:rPr>
                      <w:rFonts w:hint="eastAsia" w:cs="Times New Roman"/>
                      <w:kern w:val="0"/>
                      <w:sz w:val="21"/>
                      <w:szCs w:val="21"/>
                      <w:lang w:val="en-US" w:eastAsia="zh-CN" w:bidi="ar"/>
                    </w:rPr>
                    <w:t>尽可能降低噪声影响，必要时进行单独的密闭以减少其噪声影响</w:t>
                  </w:r>
                </w:p>
              </w:tc>
            </w:tr>
            <w:tr w14:paraId="52BC9F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7" w:type="pct"/>
                  <w:tcBorders>
                    <w:tl2br w:val="nil"/>
                    <w:tr2bl w:val="nil"/>
                  </w:tcBorders>
                  <w:vAlign w:val="center"/>
                </w:tcPr>
                <w:p w14:paraId="458F382A">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4</w:t>
                  </w:r>
                </w:p>
              </w:tc>
              <w:tc>
                <w:tcPr>
                  <w:tcW w:w="1372" w:type="pct"/>
                  <w:vMerge w:val="continue"/>
                  <w:tcBorders>
                    <w:tl2br w:val="nil"/>
                    <w:tr2bl w:val="nil"/>
                  </w:tcBorders>
                  <w:vAlign w:val="center"/>
                </w:tcPr>
                <w:p w14:paraId="1DC8472C">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sz w:val="21"/>
                      <w:szCs w:val="21"/>
                      <w:vertAlign w:val="baseline"/>
                      <w:lang w:val="en-US" w:eastAsia="zh-CN"/>
                    </w:rPr>
                  </w:pPr>
                </w:p>
              </w:tc>
              <w:tc>
                <w:tcPr>
                  <w:tcW w:w="3000" w:type="pct"/>
                  <w:tcBorders>
                    <w:tl2br w:val="nil"/>
                    <w:tr2bl w:val="nil"/>
                  </w:tcBorders>
                  <w:vAlign w:val="center"/>
                </w:tcPr>
                <w:p w14:paraId="4A6A8EC3">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cs="Times New Roman"/>
                      <w:kern w:val="0"/>
                      <w:sz w:val="21"/>
                      <w:szCs w:val="21"/>
                      <w:lang w:val="en-US" w:eastAsia="zh-CN" w:bidi="ar"/>
                    </w:rPr>
                  </w:pPr>
                  <w:r>
                    <w:rPr>
                      <w:rFonts w:hint="eastAsia" w:cs="Times New Roman"/>
                      <w:kern w:val="0"/>
                      <w:sz w:val="21"/>
                      <w:szCs w:val="21"/>
                      <w:lang w:val="en-US" w:eastAsia="zh-CN" w:bidi="ar"/>
                    </w:rPr>
                    <w:t>各设备设置固定基座，水泵进出口设金属软管接头，加强润滑保养</w:t>
                  </w:r>
                </w:p>
              </w:tc>
            </w:tr>
            <w:tr w14:paraId="15A2E4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7" w:type="pct"/>
                  <w:tcBorders>
                    <w:tl2br w:val="nil"/>
                    <w:tr2bl w:val="nil"/>
                  </w:tcBorders>
                  <w:vAlign w:val="center"/>
                </w:tcPr>
                <w:p w14:paraId="391E2C00">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5</w:t>
                  </w:r>
                </w:p>
              </w:tc>
              <w:tc>
                <w:tcPr>
                  <w:tcW w:w="1372" w:type="pct"/>
                  <w:vMerge w:val="restart"/>
                  <w:tcBorders>
                    <w:tl2br w:val="nil"/>
                    <w:tr2bl w:val="nil"/>
                  </w:tcBorders>
                  <w:vAlign w:val="center"/>
                </w:tcPr>
                <w:p w14:paraId="6294C718">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工作制度</w:t>
                  </w:r>
                </w:p>
              </w:tc>
              <w:tc>
                <w:tcPr>
                  <w:tcW w:w="3000" w:type="pct"/>
                  <w:tcBorders>
                    <w:tl2br w:val="nil"/>
                    <w:tr2bl w:val="nil"/>
                  </w:tcBorders>
                  <w:vAlign w:val="center"/>
                </w:tcPr>
                <w:p w14:paraId="6BBB322C">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cs="Times New Roman"/>
                      <w:kern w:val="0"/>
                      <w:sz w:val="21"/>
                      <w:szCs w:val="21"/>
                      <w:lang w:val="en-US" w:eastAsia="zh-CN" w:bidi="ar"/>
                    </w:rPr>
                  </w:pPr>
                  <w:r>
                    <w:rPr>
                      <w:rFonts w:hint="eastAsia" w:cs="Times New Roman"/>
                      <w:kern w:val="0"/>
                      <w:sz w:val="21"/>
                      <w:szCs w:val="21"/>
                      <w:lang w:val="en-US" w:eastAsia="zh-CN" w:bidi="ar"/>
                    </w:rPr>
                    <w:t>项目夜间不进行生产</w:t>
                  </w:r>
                </w:p>
              </w:tc>
            </w:tr>
            <w:tr w14:paraId="2E8A25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7" w:type="pct"/>
                  <w:tcBorders>
                    <w:tl2br w:val="nil"/>
                    <w:tr2bl w:val="nil"/>
                  </w:tcBorders>
                  <w:vAlign w:val="center"/>
                </w:tcPr>
                <w:p w14:paraId="52D53676">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6</w:t>
                  </w:r>
                </w:p>
              </w:tc>
              <w:tc>
                <w:tcPr>
                  <w:tcW w:w="1372" w:type="pct"/>
                  <w:vMerge w:val="continue"/>
                  <w:tcBorders>
                    <w:tl2br w:val="nil"/>
                    <w:tr2bl w:val="nil"/>
                  </w:tcBorders>
                  <w:vAlign w:val="center"/>
                </w:tcPr>
                <w:p w14:paraId="6696C62F">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sz w:val="21"/>
                      <w:szCs w:val="21"/>
                      <w:vertAlign w:val="baseline"/>
                      <w:lang w:val="en-US" w:eastAsia="zh-CN"/>
                    </w:rPr>
                  </w:pPr>
                </w:p>
              </w:tc>
              <w:tc>
                <w:tcPr>
                  <w:tcW w:w="3000" w:type="pct"/>
                  <w:tcBorders>
                    <w:tl2br w:val="nil"/>
                    <w:tr2bl w:val="nil"/>
                  </w:tcBorders>
                  <w:vAlign w:val="center"/>
                </w:tcPr>
                <w:p w14:paraId="6412BE9B">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cs="Times New Roman"/>
                      <w:kern w:val="0"/>
                      <w:sz w:val="21"/>
                      <w:szCs w:val="21"/>
                      <w:lang w:val="en-US" w:eastAsia="zh-CN" w:bidi="ar"/>
                    </w:rPr>
                  </w:pPr>
                  <w:r>
                    <w:rPr>
                      <w:rFonts w:hint="default" w:cs="Times New Roman"/>
                      <w:kern w:val="0"/>
                      <w:sz w:val="21"/>
                      <w:szCs w:val="21"/>
                      <w:lang w:val="en-US" w:eastAsia="zh-CN" w:bidi="ar"/>
                    </w:rPr>
                    <w:t>项目在装卸原材料和产品时会产生撞击噪声，该噪声属于偶发性噪声，时间较短，但其瞬时产生的噪声值较大。因此，要求厂方合理安排原料及产品的装卸时间，装卸时应做到轻拿轻放，严禁抛、扔，做到文明装卸，尽可能减轻装卸噪声对外环境的影响</w:t>
                  </w:r>
                  <w:r>
                    <w:rPr>
                      <w:rFonts w:hint="eastAsia" w:cs="Times New Roman"/>
                      <w:kern w:val="0"/>
                      <w:sz w:val="21"/>
                      <w:szCs w:val="21"/>
                      <w:lang w:val="en-US" w:eastAsia="zh-CN" w:bidi="ar"/>
                    </w:rPr>
                    <w:t>，昼间休息时段（12:00-14:00）不进行卸料作业</w:t>
                  </w:r>
                </w:p>
              </w:tc>
            </w:tr>
            <w:tr w14:paraId="1EF9B4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7" w:type="pct"/>
                  <w:tcBorders>
                    <w:tl2br w:val="nil"/>
                    <w:tr2bl w:val="nil"/>
                  </w:tcBorders>
                  <w:vAlign w:val="center"/>
                </w:tcPr>
                <w:p w14:paraId="3E47E53B">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7</w:t>
                  </w:r>
                </w:p>
              </w:tc>
              <w:tc>
                <w:tcPr>
                  <w:tcW w:w="1372" w:type="pct"/>
                  <w:vMerge w:val="restart"/>
                  <w:tcBorders>
                    <w:tl2br w:val="nil"/>
                    <w:tr2bl w:val="nil"/>
                  </w:tcBorders>
                  <w:vAlign w:val="center"/>
                </w:tcPr>
                <w:p w14:paraId="70F15D0A">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厂区边界和布局</w:t>
                  </w:r>
                </w:p>
              </w:tc>
              <w:tc>
                <w:tcPr>
                  <w:tcW w:w="3000" w:type="pct"/>
                  <w:tcBorders>
                    <w:tl2br w:val="nil"/>
                    <w:tr2bl w:val="nil"/>
                  </w:tcBorders>
                  <w:vAlign w:val="center"/>
                </w:tcPr>
                <w:p w14:paraId="1CAC24D3">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cs="Times New Roman"/>
                      <w:kern w:val="0"/>
                      <w:sz w:val="21"/>
                      <w:szCs w:val="21"/>
                      <w:lang w:val="en-US" w:eastAsia="zh-CN" w:bidi="ar"/>
                    </w:rPr>
                  </w:pPr>
                  <w:r>
                    <w:rPr>
                      <w:rFonts w:hint="default" w:cs="Times New Roman"/>
                      <w:kern w:val="0"/>
                      <w:sz w:val="21"/>
                      <w:szCs w:val="21"/>
                      <w:lang w:val="en-US" w:eastAsia="zh-CN" w:bidi="ar"/>
                    </w:rPr>
                    <w:t>对</w:t>
                  </w:r>
                  <w:r>
                    <w:rPr>
                      <w:rFonts w:hint="eastAsia" w:cs="Times New Roman"/>
                      <w:kern w:val="0"/>
                      <w:sz w:val="21"/>
                      <w:szCs w:val="21"/>
                      <w:lang w:val="en-US" w:eastAsia="zh-CN" w:bidi="ar"/>
                    </w:rPr>
                    <w:t>生产车间</w:t>
                  </w:r>
                  <w:r>
                    <w:rPr>
                      <w:rFonts w:hint="default" w:cs="Times New Roman"/>
                      <w:kern w:val="0"/>
                      <w:sz w:val="21"/>
                      <w:szCs w:val="21"/>
                      <w:lang w:val="en-US" w:eastAsia="zh-CN" w:bidi="ar"/>
                    </w:rPr>
                    <w:t>厂房实行全封闭，同时在钢架棚厂房内（围墙内）安装吸声板材</w:t>
                  </w:r>
                </w:p>
              </w:tc>
            </w:tr>
            <w:tr w14:paraId="413F80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7" w:type="pct"/>
                  <w:tcBorders>
                    <w:tl2br w:val="nil"/>
                    <w:tr2bl w:val="nil"/>
                  </w:tcBorders>
                  <w:vAlign w:val="center"/>
                </w:tcPr>
                <w:p w14:paraId="33F97DD9">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8</w:t>
                  </w:r>
                </w:p>
              </w:tc>
              <w:tc>
                <w:tcPr>
                  <w:tcW w:w="1372" w:type="pct"/>
                  <w:vMerge w:val="continue"/>
                  <w:tcBorders>
                    <w:tl2br w:val="nil"/>
                    <w:tr2bl w:val="nil"/>
                  </w:tcBorders>
                  <w:vAlign w:val="center"/>
                </w:tcPr>
                <w:p w14:paraId="0C8141F1">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sz w:val="21"/>
                      <w:szCs w:val="21"/>
                      <w:vertAlign w:val="baseline"/>
                      <w:lang w:val="en-US" w:eastAsia="zh-CN"/>
                    </w:rPr>
                  </w:pPr>
                </w:p>
              </w:tc>
              <w:tc>
                <w:tcPr>
                  <w:tcW w:w="3000" w:type="pct"/>
                  <w:tcBorders>
                    <w:tl2br w:val="nil"/>
                    <w:tr2bl w:val="nil"/>
                  </w:tcBorders>
                  <w:vAlign w:val="center"/>
                </w:tcPr>
                <w:p w14:paraId="51F789DF">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both"/>
                    <w:textAlignment w:val="auto"/>
                    <w:rPr>
                      <w:rFonts w:hint="default" w:cs="Times New Roman"/>
                      <w:kern w:val="0"/>
                      <w:sz w:val="21"/>
                      <w:szCs w:val="21"/>
                      <w:lang w:val="en-US" w:eastAsia="zh-CN" w:bidi="ar"/>
                    </w:rPr>
                  </w:pPr>
                  <w:r>
                    <w:rPr>
                      <w:rFonts w:hint="default" w:cs="Times New Roman"/>
                      <w:kern w:val="0"/>
                      <w:sz w:val="21"/>
                      <w:szCs w:val="21"/>
                      <w:lang w:val="en-US" w:eastAsia="zh-CN" w:bidi="ar"/>
                    </w:rPr>
                    <w:t>总图布置尽量将噪声大的噪声源远离厂界和敏感点，通过距离衰减降噪，降低噪声对周围环境的影响。</w:t>
                  </w:r>
                </w:p>
              </w:tc>
            </w:tr>
            <w:tr w14:paraId="466CBE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7" w:type="pct"/>
                  <w:tcBorders>
                    <w:tl2br w:val="nil"/>
                    <w:tr2bl w:val="nil"/>
                  </w:tcBorders>
                  <w:vAlign w:val="center"/>
                </w:tcPr>
                <w:p w14:paraId="42631E29">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9</w:t>
                  </w:r>
                </w:p>
              </w:tc>
              <w:tc>
                <w:tcPr>
                  <w:tcW w:w="1372" w:type="pct"/>
                  <w:vMerge w:val="restart"/>
                  <w:tcBorders>
                    <w:tl2br w:val="nil"/>
                    <w:tr2bl w:val="nil"/>
                  </w:tcBorders>
                  <w:vAlign w:val="center"/>
                </w:tcPr>
                <w:p w14:paraId="6426E583">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厂区管理</w:t>
                  </w:r>
                </w:p>
              </w:tc>
              <w:tc>
                <w:tcPr>
                  <w:tcW w:w="3000" w:type="pct"/>
                  <w:tcBorders>
                    <w:tl2br w:val="nil"/>
                    <w:tr2bl w:val="nil"/>
                  </w:tcBorders>
                  <w:vAlign w:val="center"/>
                </w:tcPr>
                <w:p w14:paraId="2241F1EF">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both"/>
                    <w:textAlignment w:val="auto"/>
                    <w:rPr>
                      <w:rFonts w:hint="default" w:cs="Times New Roman"/>
                      <w:kern w:val="0"/>
                      <w:sz w:val="21"/>
                      <w:szCs w:val="21"/>
                      <w:lang w:val="en-US" w:eastAsia="zh-CN" w:bidi="ar"/>
                    </w:rPr>
                  </w:pPr>
                  <w:r>
                    <w:rPr>
                      <w:rFonts w:hint="default" w:ascii="Times New Roman" w:hAnsi="Times New Roman" w:eastAsia="宋体" w:cs="Times New Roman"/>
                      <w:b w:val="0"/>
                      <w:bCs w:val="0"/>
                      <w:color w:val="auto"/>
                      <w:kern w:val="0"/>
                      <w:sz w:val="21"/>
                      <w:szCs w:val="21"/>
                      <w:lang w:bidi="ar"/>
                    </w:rPr>
                    <w:t>加强设备日常维护与保养，对设备的运作需定期检查，使设备处于最佳工作状态，杜绝因设备不正常运转时产生的高噪声现象</w:t>
                  </w:r>
                </w:p>
              </w:tc>
            </w:tr>
            <w:tr w14:paraId="77E1E5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7" w:type="pct"/>
                  <w:tcBorders>
                    <w:tl2br w:val="nil"/>
                    <w:tr2bl w:val="nil"/>
                  </w:tcBorders>
                  <w:vAlign w:val="center"/>
                </w:tcPr>
                <w:p w14:paraId="5577E838">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10</w:t>
                  </w:r>
                </w:p>
              </w:tc>
              <w:tc>
                <w:tcPr>
                  <w:tcW w:w="1372" w:type="pct"/>
                  <w:vMerge w:val="continue"/>
                  <w:tcBorders>
                    <w:tl2br w:val="nil"/>
                    <w:tr2bl w:val="nil"/>
                  </w:tcBorders>
                  <w:vAlign w:val="center"/>
                </w:tcPr>
                <w:p w14:paraId="19D1AF32">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sz w:val="21"/>
                      <w:szCs w:val="21"/>
                      <w:vertAlign w:val="baseline"/>
                      <w:lang w:val="en-US" w:eastAsia="zh-CN"/>
                    </w:rPr>
                  </w:pPr>
                </w:p>
              </w:tc>
              <w:tc>
                <w:tcPr>
                  <w:tcW w:w="3000" w:type="pct"/>
                  <w:tcBorders>
                    <w:tl2br w:val="nil"/>
                    <w:tr2bl w:val="nil"/>
                  </w:tcBorders>
                  <w:vAlign w:val="center"/>
                </w:tcPr>
                <w:p w14:paraId="56768E68">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both"/>
                    <w:textAlignment w:val="auto"/>
                    <w:rPr>
                      <w:rFonts w:hint="default" w:cs="Times New Roman"/>
                      <w:kern w:val="0"/>
                      <w:sz w:val="21"/>
                      <w:szCs w:val="21"/>
                      <w:lang w:val="en-US" w:eastAsia="zh-CN" w:bidi="ar"/>
                    </w:rPr>
                  </w:pPr>
                  <w:r>
                    <w:rPr>
                      <w:rFonts w:hint="default" w:cs="Times New Roman"/>
                      <w:kern w:val="0"/>
                      <w:sz w:val="21"/>
                      <w:szCs w:val="21"/>
                      <w:lang w:val="en-US" w:eastAsia="zh-CN" w:bidi="ar"/>
                    </w:rPr>
                    <w:t>运输车辆在厂区内禁止鸣笛，且车速控制在 20km/h 内，在厂区出入口、厂区道</w:t>
                  </w:r>
                </w:p>
                <w:p w14:paraId="02B8DFC1">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both"/>
                    <w:textAlignment w:val="auto"/>
                    <w:rPr>
                      <w:rFonts w:hint="default" w:cs="Times New Roman"/>
                      <w:kern w:val="0"/>
                      <w:sz w:val="21"/>
                      <w:szCs w:val="21"/>
                      <w:lang w:val="en-US" w:eastAsia="zh-CN" w:bidi="ar"/>
                    </w:rPr>
                  </w:pPr>
                  <w:r>
                    <w:rPr>
                      <w:rFonts w:hint="default" w:cs="Times New Roman"/>
                      <w:kern w:val="0"/>
                      <w:sz w:val="21"/>
                      <w:szCs w:val="21"/>
                      <w:lang w:val="en-US" w:eastAsia="zh-CN" w:bidi="ar"/>
                    </w:rPr>
                    <w:t>路两旁及生产区域设置合理生产，降低噪声的提示牌</w:t>
                  </w:r>
                </w:p>
              </w:tc>
            </w:tr>
            <w:tr w14:paraId="4FBD25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7" w:type="pct"/>
                  <w:tcBorders>
                    <w:tl2br w:val="nil"/>
                    <w:tr2bl w:val="nil"/>
                  </w:tcBorders>
                  <w:vAlign w:val="center"/>
                </w:tcPr>
                <w:p w14:paraId="056144E0">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11</w:t>
                  </w:r>
                </w:p>
              </w:tc>
              <w:tc>
                <w:tcPr>
                  <w:tcW w:w="1372" w:type="pct"/>
                  <w:vMerge w:val="continue"/>
                  <w:tcBorders>
                    <w:tl2br w:val="nil"/>
                    <w:tr2bl w:val="nil"/>
                  </w:tcBorders>
                  <w:vAlign w:val="center"/>
                </w:tcPr>
                <w:p w14:paraId="5FA5B3CB">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sz w:val="21"/>
                      <w:szCs w:val="21"/>
                      <w:vertAlign w:val="baseline"/>
                      <w:lang w:val="en-US" w:eastAsia="zh-CN"/>
                    </w:rPr>
                  </w:pPr>
                </w:p>
              </w:tc>
              <w:tc>
                <w:tcPr>
                  <w:tcW w:w="3000" w:type="pct"/>
                  <w:tcBorders>
                    <w:tl2br w:val="nil"/>
                    <w:tr2bl w:val="nil"/>
                  </w:tcBorders>
                  <w:vAlign w:val="center"/>
                </w:tcPr>
                <w:p w14:paraId="5AEB6CDF">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both"/>
                    <w:textAlignment w:val="auto"/>
                    <w:rPr>
                      <w:rFonts w:hint="default" w:cs="Times New Roman"/>
                      <w:kern w:val="0"/>
                      <w:sz w:val="21"/>
                      <w:szCs w:val="21"/>
                      <w:lang w:val="en-US" w:eastAsia="zh-CN" w:bidi="ar"/>
                    </w:rPr>
                  </w:pPr>
                  <w:r>
                    <w:rPr>
                      <w:rFonts w:hint="default" w:cs="Times New Roman"/>
                      <w:kern w:val="0"/>
                      <w:sz w:val="21"/>
                      <w:szCs w:val="21"/>
                      <w:lang w:val="en-US" w:eastAsia="zh-CN" w:bidi="ar"/>
                    </w:rPr>
                    <w:t>安排专人对厂区定期进行巡查，严禁违规操作，增加生产期间噪声值</w:t>
                  </w:r>
                </w:p>
              </w:tc>
            </w:tr>
          </w:tbl>
          <w:p w14:paraId="357BE50E">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sz w:val="24"/>
              </w:rPr>
            </w:pPr>
            <w:r>
              <w:rPr>
                <w:rFonts w:hint="eastAsia" w:ascii="Times New Roman" w:hAnsi="Times New Roman" w:eastAsia="宋体" w:cs="Times New Roman"/>
                <w:b/>
                <w:bCs/>
                <w:sz w:val="24"/>
              </w:rPr>
              <w:t>3、</w:t>
            </w:r>
            <w:r>
              <w:rPr>
                <w:rFonts w:hint="default" w:ascii="Times New Roman" w:hAnsi="Times New Roman" w:eastAsia="宋体" w:cs="Times New Roman"/>
                <w:b/>
                <w:bCs/>
                <w:kern w:val="0"/>
                <w:sz w:val="24"/>
                <w:lang w:bidi="ar"/>
              </w:rPr>
              <w:t>噪声</w:t>
            </w:r>
            <w:r>
              <w:rPr>
                <w:rFonts w:hint="eastAsia" w:ascii="Times New Roman" w:hAnsi="Times New Roman" w:eastAsia="宋体" w:cs="Times New Roman"/>
                <w:b/>
                <w:bCs/>
                <w:kern w:val="0"/>
                <w:sz w:val="24"/>
                <w:lang w:bidi="ar"/>
              </w:rPr>
              <w:t>预测</w:t>
            </w:r>
            <w:r>
              <w:rPr>
                <w:rFonts w:hint="default" w:ascii="Times New Roman" w:hAnsi="Times New Roman" w:eastAsia="宋体" w:cs="Times New Roman"/>
                <w:b/>
                <w:bCs/>
                <w:kern w:val="0"/>
                <w:sz w:val="24"/>
                <w:lang w:bidi="ar"/>
              </w:rPr>
              <w:t>情况</w:t>
            </w:r>
          </w:p>
          <w:p w14:paraId="770BE9C6">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rPr>
            </w:pPr>
            <w:r>
              <w:rPr>
                <w:rFonts w:hint="eastAsia" w:ascii="Times New Roman" w:hAnsi="Times New Roman" w:eastAsia="宋体" w:cs="Times New Roman"/>
                <w:sz w:val="24"/>
              </w:rPr>
              <w:t>本环评按照</w:t>
            </w:r>
            <w:r>
              <w:rPr>
                <w:rFonts w:hint="default" w:ascii="Times New Roman" w:hAnsi="Times New Roman" w:eastAsia="宋体" w:cs="Times New Roman"/>
                <w:sz w:val="24"/>
              </w:rPr>
              <w:t>《环境影响评价技术导则—声环境》（HJ 2.4-20</w:t>
            </w:r>
            <w:r>
              <w:rPr>
                <w:rFonts w:hint="eastAsia" w:ascii="Times New Roman" w:hAnsi="Times New Roman" w:eastAsia="宋体" w:cs="Times New Roman"/>
                <w:sz w:val="24"/>
              </w:rPr>
              <w:t>21</w:t>
            </w:r>
            <w:r>
              <w:rPr>
                <w:rFonts w:hint="default" w:ascii="Times New Roman" w:hAnsi="Times New Roman" w:eastAsia="宋体" w:cs="Times New Roman"/>
                <w:sz w:val="24"/>
              </w:rPr>
              <w:t>）中推荐的模型。</w:t>
            </w:r>
            <w:r>
              <w:rPr>
                <w:rFonts w:hint="eastAsia" w:ascii="Times New Roman" w:hAnsi="Times New Roman" w:eastAsia="宋体" w:cs="Times New Roman"/>
                <w:sz w:val="24"/>
              </w:rPr>
              <w:t>本次环评把声源简化成点声源，采用工业噪声预测计算模式，具体</w:t>
            </w:r>
            <w:r>
              <w:rPr>
                <w:rFonts w:hint="default" w:ascii="Times New Roman" w:hAnsi="Times New Roman" w:eastAsia="宋体" w:cs="Times New Roman"/>
                <w:sz w:val="24"/>
              </w:rPr>
              <w:t>预测模式如下：</w:t>
            </w:r>
          </w:p>
          <w:p w14:paraId="64E47888">
            <w:pPr>
              <w:keepNext w:val="0"/>
              <w:keepLines w:val="0"/>
              <w:suppressLineNumbers w:val="0"/>
              <w:spacing w:before="0" w:beforeAutospacing="0" w:after="0" w:afterAutospacing="0"/>
              <w:ind w:left="0" w:right="0" w:firstLine="480"/>
              <w:jc w:val="center"/>
              <w:rPr>
                <w:rFonts w:hint="default" w:ascii="Times New Roman" w:hAnsi="Times New Roman" w:eastAsia="宋体" w:cs="Times New Roman"/>
              </w:rPr>
            </w:pPr>
            <w:r>
              <w:rPr>
                <w:rFonts w:hint="default" w:ascii="Times New Roman" w:hAnsi="Times New Roman" w:eastAsia="宋体" w:cs="Times New Roman"/>
              </w:rPr>
              <w:drawing>
                <wp:inline distT="0" distB="0" distL="114300" distR="114300">
                  <wp:extent cx="1600200" cy="504825"/>
                  <wp:effectExtent l="0" t="0" r="0" b="8890"/>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24"/>
                          <a:stretch>
                            <a:fillRect/>
                          </a:stretch>
                        </pic:blipFill>
                        <pic:spPr>
                          <a:xfrm>
                            <a:off x="0" y="0"/>
                            <a:ext cx="1600200" cy="504825"/>
                          </a:xfrm>
                          <a:prstGeom prst="rect">
                            <a:avLst/>
                          </a:prstGeom>
                          <a:noFill/>
                          <a:ln>
                            <a:noFill/>
                          </a:ln>
                        </pic:spPr>
                      </pic:pic>
                    </a:graphicData>
                  </a:graphic>
                </wp:inline>
              </w:drawing>
            </w:r>
          </w:p>
          <w:p w14:paraId="2D7B1DCF">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sz w:val="24"/>
              </w:rPr>
            </w:pPr>
            <w:r>
              <w:rPr>
                <w:rFonts w:hint="default" w:ascii="Times New Roman" w:hAnsi="Times New Roman" w:eastAsia="宋体" w:cs="Times New Roman"/>
                <w:sz w:val="24"/>
              </w:rPr>
              <w:t>式中：</w:t>
            </w:r>
            <w:r>
              <w:rPr>
                <w:rFonts w:hint="default" w:ascii="Times New Roman" w:hAnsi="Times New Roman" w:eastAsia="宋体" w:cs="Times New Roman"/>
                <w:sz w:val="24"/>
              </w:rPr>
              <w:drawing>
                <wp:inline distT="0" distB="0" distL="114300" distR="114300">
                  <wp:extent cx="466725" cy="257175"/>
                  <wp:effectExtent l="0" t="0" r="8890" b="7620"/>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25"/>
                          <a:stretch>
                            <a:fillRect/>
                          </a:stretch>
                        </pic:blipFill>
                        <pic:spPr>
                          <a:xfrm>
                            <a:off x="0" y="0"/>
                            <a:ext cx="466725" cy="257175"/>
                          </a:xfrm>
                          <a:prstGeom prst="rect">
                            <a:avLst/>
                          </a:prstGeom>
                          <a:noFill/>
                          <a:ln>
                            <a:noFill/>
                          </a:ln>
                        </pic:spPr>
                      </pic:pic>
                    </a:graphicData>
                  </a:graphic>
                </wp:inline>
              </w:drawing>
            </w:r>
            <w:r>
              <w:rPr>
                <w:rFonts w:hint="default" w:ascii="Times New Roman" w:hAnsi="Times New Roman" w:eastAsia="宋体" w:cs="Times New Roman"/>
                <w:sz w:val="24"/>
              </w:rPr>
              <w:t>——点声源在预测点产生的声压级，dB（A）；</w:t>
            </w:r>
          </w:p>
          <w:p w14:paraId="25536FF9">
            <w:pPr>
              <w:keepNext w:val="0"/>
              <w:keepLines w:val="0"/>
              <w:suppressLineNumbers w:val="0"/>
              <w:spacing w:before="0" w:beforeAutospacing="0" w:after="0" w:afterAutospacing="0" w:line="360" w:lineRule="auto"/>
              <w:ind w:left="0" w:right="0" w:firstLine="1200" w:firstLineChars="500"/>
              <w:rPr>
                <w:rFonts w:hint="default" w:ascii="Times New Roman" w:hAnsi="Times New Roman" w:eastAsia="宋体" w:cs="Times New Roman"/>
                <w:sz w:val="24"/>
              </w:rPr>
            </w:pPr>
            <w:r>
              <w:rPr>
                <w:rFonts w:hint="default" w:ascii="Times New Roman" w:hAnsi="Times New Roman" w:eastAsia="宋体" w:cs="Times New Roman"/>
                <w:sz w:val="24"/>
              </w:rPr>
              <w:drawing>
                <wp:inline distT="0" distB="0" distL="114300" distR="114300">
                  <wp:extent cx="495300" cy="247650"/>
                  <wp:effectExtent l="0" t="0" r="0" b="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26"/>
                          <a:stretch>
                            <a:fillRect/>
                          </a:stretch>
                        </pic:blipFill>
                        <pic:spPr>
                          <a:xfrm>
                            <a:off x="0" y="0"/>
                            <a:ext cx="495300" cy="247650"/>
                          </a:xfrm>
                          <a:prstGeom prst="rect">
                            <a:avLst/>
                          </a:prstGeom>
                          <a:noFill/>
                          <a:ln>
                            <a:noFill/>
                          </a:ln>
                        </pic:spPr>
                      </pic:pic>
                    </a:graphicData>
                  </a:graphic>
                </wp:inline>
              </w:drawing>
            </w:r>
            <w:r>
              <w:rPr>
                <w:rFonts w:hint="default" w:ascii="Times New Roman" w:hAnsi="Times New Roman" w:eastAsia="宋体" w:cs="Times New Roman"/>
                <w:sz w:val="24"/>
              </w:rPr>
              <w:t>——参考位置</w:t>
            </w:r>
            <w:r>
              <w:rPr>
                <w:rFonts w:hint="default" w:ascii="Times New Roman" w:hAnsi="Times New Roman" w:eastAsia="宋体" w:cs="Times New Roman"/>
                <w:sz w:val="24"/>
              </w:rPr>
              <w:drawing>
                <wp:inline distT="0" distB="0" distL="114300" distR="114300">
                  <wp:extent cx="142875" cy="228600"/>
                  <wp:effectExtent l="0" t="0" r="9525" b="0"/>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27"/>
                          <a:stretch>
                            <a:fillRect/>
                          </a:stretch>
                        </pic:blipFill>
                        <pic:spPr>
                          <a:xfrm>
                            <a:off x="0" y="0"/>
                            <a:ext cx="142875" cy="228600"/>
                          </a:xfrm>
                          <a:prstGeom prst="rect">
                            <a:avLst/>
                          </a:prstGeom>
                          <a:noFill/>
                          <a:ln>
                            <a:noFill/>
                          </a:ln>
                        </pic:spPr>
                      </pic:pic>
                    </a:graphicData>
                  </a:graphic>
                </wp:inline>
              </w:drawing>
            </w:r>
            <w:r>
              <w:rPr>
                <w:rFonts w:hint="default" w:ascii="Times New Roman" w:hAnsi="Times New Roman" w:eastAsia="宋体" w:cs="Times New Roman"/>
                <w:sz w:val="24"/>
              </w:rPr>
              <w:t>处的声压级，dB（A）；</w:t>
            </w:r>
          </w:p>
          <w:p w14:paraId="68A738DC">
            <w:pPr>
              <w:keepNext w:val="0"/>
              <w:keepLines w:val="0"/>
              <w:suppressLineNumbers w:val="0"/>
              <w:spacing w:before="0" w:beforeAutospacing="0" w:after="0" w:afterAutospacing="0" w:line="360" w:lineRule="auto"/>
              <w:ind w:left="0" w:right="0" w:firstLine="1680" w:firstLineChars="700"/>
              <w:rPr>
                <w:rFonts w:hint="default" w:ascii="Times New Roman" w:hAnsi="Times New Roman" w:eastAsia="宋体" w:cs="Times New Roman"/>
                <w:sz w:val="24"/>
              </w:rPr>
            </w:pPr>
            <w:r>
              <w:rPr>
                <w:rFonts w:hint="default" w:ascii="Times New Roman" w:hAnsi="Times New Roman" w:eastAsia="宋体" w:cs="Times New Roman"/>
                <w:sz w:val="24"/>
              </w:rPr>
              <w:drawing>
                <wp:inline distT="0" distB="0" distL="114300" distR="114300">
                  <wp:extent cx="114300" cy="123825"/>
                  <wp:effectExtent l="0" t="0" r="0" b="5715"/>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28"/>
                          <a:stretch>
                            <a:fillRect/>
                          </a:stretch>
                        </pic:blipFill>
                        <pic:spPr>
                          <a:xfrm>
                            <a:off x="0" y="0"/>
                            <a:ext cx="114300" cy="123825"/>
                          </a:xfrm>
                          <a:prstGeom prst="rect">
                            <a:avLst/>
                          </a:prstGeom>
                          <a:noFill/>
                          <a:ln>
                            <a:noFill/>
                          </a:ln>
                        </pic:spPr>
                      </pic:pic>
                    </a:graphicData>
                  </a:graphic>
                </wp:inline>
              </w:drawing>
            </w:r>
            <w:r>
              <w:rPr>
                <w:rFonts w:hint="default" w:ascii="Times New Roman" w:hAnsi="Times New Roman" w:eastAsia="宋体" w:cs="Times New Roman"/>
                <w:sz w:val="24"/>
              </w:rPr>
              <w:t>——预测点距声源距离，m；</w:t>
            </w:r>
          </w:p>
          <w:p w14:paraId="4455930B">
            <w:pPr>
              <w:keepNext w:val="0"/>
              <w:keepLines w:val="0"/>
              <w:suppressLineNumbers w:val="0"/>
              <w:spacing w:before="0" w:beforeAutospacing="0" w:after="0" w:afterAutospacing="0" w:line="360" w:lineRule="auto"/>
              <w:ind w:left="0" w:right="0" w:firstLine="1680" w:firstLineChars="700"/>
              <w:rPr>
                <w:rFonts w:hint="default" w:ascii="Times New Roman" w:hAnsi="Times New Roman" w:eastAsia="宋体" w:cs="Times New Roman"/>
                <w:sz w:val="24"/>
              </w:rPr>
            </w:pPr>
            <w:r>
              <w:rPr>
                <w:rFonts w:hint="default" w:ascii="Times New Roman" w:hAnsi="Times New Roman" w:eastAsia="宋体" w:cs="Times New Roman"/>
                <w:sz w:val="24"/>
              </w:rPr>
              <w:drawing>
                <wp:inline distT="0" distB="0" distL="114300" distR="114300">
                  <wp:extent cx="142875" cy="228600"/>
                  <wp:effectExtent l="0" t="0" r="9525" b="0"/>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29"/>
                          <a:stretch>
                            <a:fillRect/>
                          </a:stretch>
                        </pic:blipFill>
                        <pic:spPr>
                          <a:xfrm>
                            <a:off x="0" y="0"/>
                            <a:ext cx="142875" cy="228600"/>
                          </a:xfrm>
                          <a:prstGeom prst="rect">
                            <a:avLst/>
                          </a:prstGeom>
                          <a:noFill/>
                          <a:ln>
                            <a:noFill/>
                          </a:ln>
                        </pic:spPr>
                      </pic:pic>
                    </a:graphicData>
                  </a:graphic>
                </wp:inline>
              </w:drawing>
            </w:r>
            <w:r>
              <w:rPr>
                <w:rFonts w:hint="default" w:ascii="Times New Roman" w:hAnsi="Times New Roman" w:eastAsia="宋体" w:cs="Times New Roman"/>
                <w:sz w:val="24"/>
              </w:rPr>
              <w:t>——参考位置距声源的距离，m；</w:t>
            </w:r>
          </w:p>
          <w:p w14:paraId="4154C36A">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rPr>
            </w:pPr>
            <w:r>
              <w:rPr>
                <w:rFonts w:hint="eastAsia" w:ascii="Times New Roman" w:hAnsi="Times New Roman" w:eastAsia="宋体" w:cs="Times New Roman"/>
                <w:sz w:val="24"/>
              </w:rPr>
              <w:t>多源叠加</w:t>
            </w:r>
            <w:r>
              <w:rPr>
                <w:rFonts w:hint="default" w:ascii="Times New Roman" w:hAnsi="Times New Roman" w:eastAsia="宋体" w:cs="Times New Roman"/>
                <w:sz w:val="24"/>
              </w:rPr>
              <w:t>模式：</w:t>
            </w:r>
          </w:p>
          <w:p w14:paraId="60488406">
            <w:pPr>
              <w:keepNext w:val="0"/>
              <w:keepLines w:val="0"/>
              <w:suppressLineNumbers w:val="0"/>
              <w:spacing w:before="0" w:beforeAutospacing="0" w:after="0" w:afterAutospacing="0"/>
              <w:ind w:left="0" w:right="0" w:firstLine="480"/>
              <w:jc w:val="center"/>
              <w:rPr>
                <w:rFonts w:hint="default" w:ascii="Times New Roman" w:hAnsi="Times New Roman" w:eastAsia="宋体" w:cs="Times New Roman"/>
              </w:rPr>
            </w:pPr>
            <w:r>
              <w:rPr>
                <w:rFonts w:hint="default" w:ascii="Times New Roman" w:hAnsi="Times New Roman" w:eastAsia="宋体" w:cs="Times New Roman"/>
              </w:rPr>
              <w:drawing>
                <wp:inline distT="0" distB="0" distL="114300" distR="114300">
                  <wp:extent cx="1619250" cy="552450"/>
                  <wp:effectExtent l="0" t="0" r="0" b="0"/>
                  <wp:docPr id="3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pic:cNvPicPr>
                            <a:picLocks noChangeAspect="1"/>
                          </pic:cNvPicPr>
                        </pic:nvPicPr>
                        <pic:blipFill>
                          <a:blip r:embed="rId30"/>
                          <a:stretch>
                            <a:fillRect/>
                          </a:stretch>
                        </pic:blipFill>
                        <pic:spPr>
                          <a:xfrm>
                            <a:off x="0" y="0"/>
                            <a:ext cx="1619250" cy="552450"/>
                          </a:xfrm>
                          <a:prstGeom prst="rect">
                            <a:avLst/>
                          </a:prstGeom>
                          <a:noFill/>
                          <a:ln>
                            <a:noFill/>
                          </a:ln>
                        </pic:spPr>
                      </pic:pic>
                    </a:graphicData>
                  </a:graphic>
                </wp:inline>
              </w:drawing>
            </w:r>
          </w:p>
          <w:p w14:paraId="0488EE77">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sz w:val="24"/>
              </w:rPr>
            </w:pPr>
            <w:r>
              <w:rPr>
                <w:rFonts w:hint="default" w:ascii="Times New Roman" w:hAnsi="Times New Roman" w:eastAsia="宋体" w:cs="Times New Roman"/>
                <w:sz w:val="24"/>
              </w:rPr>
              <w:t>式中：</w:t>
            </w:r>
            <w:r>
              <w:rPr>
                <w:rFonts w:hint="default" w:ascii="Times New Roman" w:hAnsi="Times New Roman" w:eastAsia="宋体" w:cs="Times New Roman"/>
                <w:sz w:val="24"/>
              </w:rPr>
              <w:drawing>
                <wp:inline distT="0" distB="0" distL="114300" distR="114300">
                  <wp:extent cx="285750" cy="304800"/>
                  <wp:effectExtent l="0" t="0" r="0" b="0"/>
                  <wp:docPr id="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
                          <pic:cNvPicPr>
                            <a:picLocks noChangeAspect="1"/>
                          </pic:cNvPicPr>
                        </pic:nvPicPr>
                        <pic:blipFill>
                          <a:blip r:embed="rId31"/>
                          <a:stretch>
                            <a:fillRect/>
                          </a:stretch>
                        </pic:blipFill>
                        <pic:spPr>
                          <a:xfrm>
                            <a:off x="0" y="0"/>
                            <a:ext cx="285750" cy="304800"/>
                          </a:xfrm>
                          <a:prstGeom prst="rect">
                            <a:avLst/>
                          </a:prstGeom>
                          <a:noFill/>
                          <a:ln>
                            <a:noFill/>
                          </a:ln>
                        </pic:spPr>
                      </pic:pic>
                    </a:graphicData>
                  </a:graphic>
                </wp:inline>
              </w:drawing>
            </w:r>
            <w:r>
              <w:rPr>
                <w:rFonts w:hint="default" w:ascii="Times New Roman" w:hAnsi="Times New Roman" w:eastAsia="宋体" w:cs="Times New Roman"/>
                <w:sz w:val="24"/>
              </w:rPr>
              <w:t>——预测点总声压级，dB（A）；</w:t>
            </w:r>
          </w:p>
          <w:p w14:paraId="59A4EA31">
            <w:pPr>
              <w:keepNext w:val="0"/>
              <w:keepLines w:val="0"/>
              <w:suppressLineNumbers w:val="0"/>
              <w:spacing w:before="0" w:beforeAutospacing="0" w:after="0" w:afterAutospacing="0" w:line="360" w:lineRule="auto"/>
              <w:ind w:left="0" w:right="0" w:firstLine="1320" w:firstLineChars="550"/>
              <w:rPr>
                <w:rFonts w:hint="default" w:ascii="Times New Roman" w:hAnsi="Times New Roman" w:eastAsia="宋体" w:cs="Times New Roman"/>
                <w:sz w:val="24"/>
              </w:rPr>
            </w:pPr>
            <w:r>
              <w:rPr>
                <w:rFonts w:hint="default" w:ascii="Times New Roman" w:hAnsi="Times New Roman" w:eastAsia="宋体" w:cs="Times New Roman"/>
                <w:sz w:val="24"/>
              </w:rPr>
              <w:drawing>
                <wp:inline distT="0" distB="0" distL="114300" distR="114300">
                  <wp:extent cx="171450" cy="276225"/>
                  <wp:effectExtent l="0" t="0" r="0" b="7620"/>
                  <wp:docPr id="3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
                          <pic:cNvPicPr>
                            <a:picLocks noChangeAspect="1"/>
                          </pic:cNvPicPr>
                        </pic:nvPicPr>
                        <pic:blipFill>
                          <a:blip r:embed="rId32"/>
                          <a:stretch>
                            <a:fillRect/>
                          </a:stretch>
                        </pic:blipFill>
                        <pic:spPr>
                          <a:xfrm>
                            <a:off x="0" y="0"/>
                            <a:ext cx="171450" cy="276225"/>
                          </a:xfrm>
                          <a:prstGeom prst="rect">
                            <a:avLst/>
                          </a:prstGeom>
                          <a:noFill/>
                          <a:ln>
                            <a:noFill/>
                          </a:ln>
                        </pic:spPr>
                      </pic:pic>
                    </a:graphicData>
                  </a:graphic>
                </wp:inline>
              </w:drawing>
            </w:r>
            <w:r>
              <w:rPr>
                <w:rFonts w:hint="default" w:ascii="Times New Roman" w:hAnsi="Times New Roman" w:eastAsia="宋体" w:cs="Times New Roman"/>
                <w:sz w:val="24"/>
              </w:rPr>
              <w:t>——第i个点声源在预测点产生的A声压级，dB（A）；</w:t>
            </w:r>
          </w:p>
          <w:p w14:paraId="4EB7D773">
            <w:pPr>
              <w:keepNext w:val="0"/>
              <w:keepLines w:val="0"/>
              <w:suppressLineNumbers w:val="0"/>
              <w:spacing w:before="0" w:beforeAutospacing="0" w:after="0" w:afterAutospacing="0" w:line="360" w:lineRule="auto"/>
              <w:ind w:left="0" w:right="0" w:firstLine="1440" w:firstLineChars="600"/>
              <w:rPr>
                <w:rFonts w:hint="default" w:ascii="Times New Roman" w:hAnsi="Times New Roman" w:eastAsia="宋体" w:cs="Times New Roman"/>
                <w:sz w:val="24"/>
              </w:rPr>
            </w:pPr>
            <w:r>
              <w:rPr>
                <w:rFonts w:hint="default" w:ascii="Times New Roman" w:hAnsi="Times New Roman" w:eastAsia="宋体" w:cs="Times New Roman"/>
                <w:sz w:val="24"/>
              </w:rPr>
              <w:t>N——声源个数。</w:t>
            </w:r>
          </w:p>
          <w:p w14:paraId="1A4EB7E0">
            <w:pPr>
              <w:pStyle w:val="32"/>
              <w:keepNext w:val="0"/>
              <w:keepLines w:val="0"/>
              <w:suppressLineNumbers w:val="0"/>
              <w:spacing w:before="0" w:beforeAutospacing="0" w:after="0" w:afterAutospacing="0"/>
              <w:ind w:left="0" w:leftChars="0" w:right="0" w:firstLine="480"/>
              <w:rPr>
                <w:rFonts w:hint="default" w:ascii="Times New Roman" w:hAnsi="Times New Roman" w:eastAsia="宋体" w:cs="Times New Roman"/>
                <w:color w:val="auto"/>
              </w:rPr>
            </w:pPr>
            <w:r>
              <w:rPr>
                <w:rFonts w:hint="eastAsia" w:ascii="Times New Roman" w:hAnsi="Times New Roman" w:eastAsia="宋体" w:cs="Times New Roman"/>
                <w:color w:val="auto"/>
              </w:rPr>
              <w:t>室内声源等效室外声源声功率级计算方法：</w:t>
            </w:r>
          </w:p>
          <w:p w14:paraId="5412689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drawing>
                <wp:inline distT="0" distB="0" distL="114300" distR="114300">
                  <wp:extent cx="2061845" cy="471170"/>
                  <wp:effectExtent l="0" t="0" r="14605" b="5080"/>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pic:cNvPicPr>
                        </pic:nvPicPr>
                        <pic:blipFill>
                          <a:blip r:embed="rId33"/>
                          <a:stretch>
                            <a:fillRect/>
                          </a:stretch>
                        </pic:blipFill>
                        <pic:spPr>
                          <a:xfrm>
                            <a:off x="0" y="0"/>
                            <a:ext cx="2061845" cy="471170"/>
                          </a:xfrm>
                          <a:prstGeom prst="rect">
                            <a:avLst/>
                          </a:prstGeom>
                          <a:noFill/>
                          <a:ln>
                            <a:noFill/>
                          </a:ln>
                        </pic:spPr>
                      </pic:pic>
                    </a:graphicData>
                  </a:graphic>
                </wp:inline>
              </w:drawing>
            </w:r>
          </w:p>
          <w:p w14:paraId="3B5F50ED">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式中：</w:t>
            </w:r>
            <w:r>
              <w:rPr>
                <w:rFonts w:hint="default" w:ascii="Times New Roman" w:hAnsi="Times New Roman" w:eastAsia="宋体" w:cs="Times New Roman"/>
                <w:color w:val="auto"/>
              </w:rPr>
              <w:drawing>
                <wp:inline distT="0" distB="0" distL="114300" distR="114300">
                  <wp:extent cx="254000" cy="179705"/>
                  <wp:effectExtent l="0" t="0" r="12700" b="13335"/>
                  <wp:docPr id="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
                          <pic:cNvPicPr>
                            <a:picLocks noChangeAspect="1"/>
                          </pic:cNvPicPr>
                        </pic:nvPicPr>
                        <pic:blipFill>
                          <a:blip r:embed="rId34"/>
                          <a:stretch>
                            <a:fillRect/>
                          </a:stretch>
                        </pic:blipFill>
                        <pic:spPr>
                          <a:xfrm>
                            <a:off x="0" y="0"/>
                            <a:ext cx="254000" cy="179705"/>
                          </a:xfrm>
                          <a:prstGeom prst="rect">
                            <a:avLst/>
                          </a:prstGeom>
                          <a:noFill/>
                          <a:ln>
                            <a:noFill/>
                          </a:ln>
                        </pic:spPr>
                      </pic:pic>
                    </a:graphicData>
                  </a:graphic>
                </wp:inline>
              </w:drawing>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rPr>
              <w:t>靠近开口处（或窗户）室内某倍频带的声压级或A声级，dB</w:t>
            </w:r>
            <w:r>
              <w:rPr>
                <w:rFonts w:hint="default" w:ascii="Times New Roman" w:hAnsi="Times New Roman" w:eastAsia="宋体" w:cs="Times New Roman"/>
                <w:color w:val="auto"/>
                <w:sz w:val="24"/>
              </w:rPr>
              <w:t>；</w:t>
            </w:r>
          </w:p>
          <w:p w14:paraId="379A0AE0">
            <w:pPr>
              <w:keepNext w:val="0"/>
              <w:keepLines w:val="0"/>
              <w:suppressLineNumbers w:val="0"/>
              <w:spacing w:before="0" w:beforeAutospacing="0" w:after="0" w:afterAutospacing="0" w:line="360" w:lineRule="auto"/>
              <w:ind w:left="0" w:right="0" w:firstLine="1320" w:firstLineChars="55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szCs w:val="32"/>
              </w:rPr>
              <w:drawing>
                <wp:inline distT="0" distB="0" distL="114300" distR="114300">
                  <wp:extent cx="274955" cy="179705"/>
                  <wp:effectExtent l="0" t="0" r="10795" b="13335"/>
                  <wp:docPr id="3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
                          <pic:cNvPicPr>
                            <a:picLocks noChangeAspect="1"/>
                          </pic:cNvPicPr>
                        </pic:nvPicPr>
                        <pic:blipFill>
                          <a:blip r:embed="rId35"/>
                          <a:stretch>
                            <a:fillRect/>
                          </a:stretch>
                        </pic:blipFill>
                        <pic:spPr>
                          <a:xfrm>
                            <a:off x="0" y="0"/>
                            <a:ext cx="274955" cy="179705"/>
                          </a:xfrm>
                          <a:prstGeom prst="rect">
                            <a:avLst/>
                          </a:prstGeom>
                          <a:noFill/>
                          <a:ln>
                            <a:noFill/>
                          </a:ln>
                        </pic:spPr>
                      </pic:pic>
                    </a:graphicData>
                  </a:graphic>
                </wp:inline>
              </w:drawing>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rPr>
              <w:t>靠近开口处（或窗户）室外某倍频带的声压级或A声级，dB</w:t>
            </w:r>
            <w:r>
              <w:rPr>
                <w:rFonts w:hint="default" w:ascii="Times New Roman" w:hAnsi="Times New Roman" w:eastAsia="宋体" w:cs="Times New Roman"/>
                <w:color w:val="auto"/>
                <w:sz w:val="24"/>
              </w:rPr>
              <w:t>；</w:t>
            </w:r>
          </w:p>
          <w:p w14:paraId="62BF290F">
            <w:pPr>
              <w:keepNext w:val="0"/>
              <w:keepLines w:val="0"/>
              <w:suppressLineNumbers w:val="0"/>
              <w:spacing w:before="0" w:beforeAutospacing="0" w:after="0" w:afterAutospacing="0" w:line="360" w:lineRule="auto"/>
              <w:ind w:left="0" w:right="0" w:firstLine="1440" w:firstLineChars="600"/>
              <w:rPr>
                <w:rFonts w:hint="default" w:ascii="Times New Roman" w:hAnsi="Times New Roman" w:eastAsia="宋体" w:cs="Times New Roman"/>
                <w:color w:val="auto"/>
              </w:rPr>
            </w:pPr>
            <w:r>
              <w:rPr>
                <w:rFonts w:hint="eastAsia" w:ascii="Times New Roman" w:hAnsi="Times New Roman" w:eastAsia="宋体" w:cs="Times New Roman"/>
                <w:color w:val="auto"/>
                <w:sz w:val="24"/>
              </w:rPr>
              <w:t>TL</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rPr>
              <w:t>隔墙（或窗户）倍频带或 A 声级的隔声量，dB。</w:t>
            </w:r>
          </w:p>
          <w:p w14:paraId="2B078D58">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sz w:val="24"/>
                <w:lang w:val="en-US" w:eastAsia="zh-CN"/>
              </w:rPr>
            </w:pPr>
            <w:r>
              <w:rPr>
                <w:rFonts w:hint="default" w:ascii="Times New Roman" w:hAnsi="Times New Roman" w:eastAsia="宋体" w:cs="Times New Roman"/>
                <w:color w:val="auto"/>
                <w:sz w:val="24"/>
              </w:rPr>
              <w:t>根据《环境影响评价技术导则—声环境》（HJ 2.4-20</w:t>
            </w:r>
            <w:r>
              <w:rPr>
                <w:rFonts w:hint="eastAsia" w:ascii="Times New Roman" w:hAnsi="Times New Roman" w:eastAsia="宋体" w:cs="Times New Roman"/>
                <w:color w:val="auto"/>
                <w:sz w:val="24"/>
              </w:rPr>
              <w:t>21</w:t>
            </w:r>
            <w:r>
              <w:rPr>
                <w:rFonts w:hint="default" w:ascii="Times New Roman" w:hAnsi="Times New Roman" w:eastAsia="宋体" w:cs="Times New Roman"/>
                <w:color w:val="auto"/>
                <w:sz w:val="24"/>
              </w:rPr>
              <w:t>）进行边界（厂界）噪声评价时，新建项目以工程噪声贡献值作为评价量。</w:t>
            </w:r>
            <w:r>
              <w:rPr>
                <w:rFonts w:hint="eastAsia" w:ascii="Times New Roman" w:hAnsi="Times New Roman" w:eastAsia="宋体" w:cs="Times New Roman"/>
                <w:color w:val="auto"/>
                <w:sz w:val="24"/>
              </w:rPr>
              <w:t>通过预测模型计算，项目厂界噪声预测结果与达标分析见下表</w:t>
            </w:r>
            <w:r>
              <w:rPr>
                <w:rFonts w:hint="eastAsia" w:ascii="Times New Roman" w:hAnsi="Times New Roman" w:eastAsia="宋体" w:cs="Times New Roman"/>
                <w:color w:val="auto"/>
                <w:sz w:val="24"/>
                <w:lang w:eastAsia="zh-CN"/>
              </w:rPr>
              <w:t>。</w:t>
            </w:r>
          </w:p>
          <w:p w14:paraId="7AAE670F">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表4-</w:t>
            </w:r>
            <w:r>
              <w:rPr>
                <w:rFonts w:hint="eastAsia" w:cs="Times New Roman"/>
                <w:b/>
                <w:bCs/>
                <w:szCs w:val="21"/>
                <w:lang w:val="en-US" w:eastAsia="zh-CN"/>
              </w:rPr>
              <w:t>9</w:t>
            </w:r>
            <w:r>
              <w:rPr>
                <w:rFonts w:hint="default" w:ascii="Times New Roman" w:hAnsi="Times New Roman" w:eastAsia="宋体" w:cs="Times New Roman"/>
                <w:b/>
                <w:bCs/>
                <w:szCs w:val="21"/>
              </w:rPr>
              <w:t xml:space="preserve">  </w:t>
            </w:r>
            <w:r>
              <w:rPr>
                <w:rFonts w:hint="eastAsia" w:ascii="Times New Roman" w:hAnsi="Times New Roman" w:eastAsia="宋体" w:cs="Times New Roman"/>
                <w:b/>
                <w:bCs/>
                <w:szCs w:val="21"/>
              </w:rPr>
              <w:t>项目厂界噪声预测结果与达标分析</w:t>
            </w:r>
            <w:r>
              <w:rPr>
                <w:rFonts w:hint="default" w:ascii="Times New Roman" w:hAnsi="Times New Roman" w:eastAsia="宋体" w:cs="Times New Roman"/>
                <w:b/>
                <w:bCs/>
                <w:szCs w:val="21"/>
              </w:rPr>
              <w:t xml:space="preserve">   单位：dB(A)</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05"/>
              <w:gridCol w:w="767"/>
              <w:gridCol w:w="759"/>
              <w:gridCol w:w="748"/>
              <w:gridCol w:w="909"/>
              <w:gridCol w:w="1340"/>
              <w:gridCol w:w="1340"/>
              <w:gridCol w:w="1088"/>
            </w:tblGrid>
            <w:tr w14:paraId="355116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632" w:type="pct"/>
                  <w:vMerge w:val="restart"/>
                  <w:tcBorders>
                    <w:tl2br w:val="nil"/>
                    <w:tr2bl w:val="nil"/>
                  </w:tcBorders>
                  <w:noWrap w:val="0"/>
                  <w:vAlign w:val="center"/>
                </w:tcPr>
                <w:p w14:paraId="526593E3">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b/>
                      <w:sz w:val="21"/>
                      <w:szCs w:val="21"/>
                    </w:rPr>
                    <w:t>预测方位</w:t>
                  </w:r>
                </w:p>
              </w:tc>
              <w:tc>
                <w:tcPr>
                  <w:tcW w:w="1429" w:type="pct"/>
                  <w:gridSpan w:val="3"/>
                  <w:tcBorders>
                    <w:tl2br w:val="nil"/>
                    <w:tr2bl w:val="nil"/>
                  </w:tcBorders>
                  <w:noWrap w:val="0"/>
                  <w:vAlign w:val="center"/>
                </w:tcPr>
                <w:p w14:paraId="4308BD23">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eastAsia" w:ascii="Times New Roman" w:hAnsi="Times New Roman" w:eastAsia="宋体" w:cs="Times New Roman"/>
                      <w:b/>
                      <w:sz w:val="21"/>
                      <w:szCs w:val="21"/>
                      <w:lang w:val="en-US" w:eastAsia="zh-CN"/>
                    </w:rPr>
                    <w:t>最大值点</w:t>
                  </w:r>
                  <w:r>
                    <w:rPr>
                      <w:rFonts w:hint="default" w:ascii="Times New Roman" w:hAnsi="Times New Roman" w:eastAsia="宋体" w:cs="Times New Roman"/>
                      <w:b/>
                      <w:sz w:val="21"/>
                      <w:szCs w:val="21"/>
                    </w:rPr>
                    <w:t>空间相对位置/m</w:t>
                  </w:r>
                </w:p>
              </w:tc>
              <w:tc>
                <w:tcPr>
                  <w:tcW w:w="571" w:type="pct"/>
                  <w:vMerge w:val="restart"/>
                  <w:tcBorders>
                    <w:tl2br w:val="nil"/>
                    <w:tr2bl w:val="nil"/>
                  </w:tcBorders>
                  <w:noWrap w:val="0"/>
                  <w:vAlign w:val="center"/>
                </w:tcPr>
                <w:p w14:paraId="049D6BB3">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b/>
                      <w:sz w:val="21"/>
                      <w:szCs w:val="21"/>
                    </w:rPr>
                    <w:t>时段</w:t>
                  </w:r>
                </w:p>
              </w:tc>
              <w:tc>
                <w:tcPr>
                  <w:tcW w:w="842" w:type="pct"/>
                  <w:vMerge w:val="restart"/>
                  <w:tcBorders>
                    <w:tl2br w:val="nil"/>
                    <w:tr2bl w:val="nil"/>
                  </w:tcBorders>
                  <w:noWrap w:val="0"/>
                  <w:vAlign w:val="center"/>
                </w:tcPr>
                <w:p w14:paraId="751E5B9E">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eastAsia" w:ascii="Times New Roman" w:hAnsi="Times New Roman" w:eastAsia="宋体" w:cs="Times New Roman"/>
                      <w:b/>
                      <w:sz w:val="21"/>
                      <w:szCs w:val="21"/>
                    </w:rPr>
                    <w:t>贡献值</w:t>
                  </w:r>
                  <w:r>
                    <w:rPr>
                      <w:rFonts w:hint="default" w:ascii="Times New Roman" w:hAnsi="Times New Roman" w:eastAsia="宋体" w:cs="Times New Roman"/>
                      <w:b/>
                      <w:sz w:val="21"/>
                      <w:szCs w:val="21"/>
                    </w:rPr>
                    <w:t>（dB(A)）</w:t>
                  </w:r>
                </w:p>
              </w:tc>
              <w:tc>
                <w:tcPr>
                  <w:tcW w:w="842" w:type="pct"/>
                  <w:vMerge w:val="restart"/>
                  <w:tcBorders>
                    <w:tl2br w:val="nil"/>
                    <w:tr2bl w:val="nil"/>
                  </w:tcBorders>
                  <w:noWrap w:val="0"/>
                  <w:vAlign w:val="center"/>
                </w:tcPr>
                <w:p w14:paraId="002FF275">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b/>
                      <w:sz w:val="21"/>
                      <w:szCs w:val="21"/>
                    </w:rPr>
                    <w:t>标准限值（dB(A)）</w:t>
                  </w:r>
                </w:p>
              </w:tc>
              <w:tc>
                <w:tcPr>
                  <w:tcW w:w="680" w:type="pct"/>
                  <w:vMerge w:val="restart"/>
                  <w:tcBorders>
                    <w:tl2br w:val="nil"/>
                    <w:tr2bl w:val="nil"/>
                  </w:tcBorders>
                  <w:noWrap w:val="0"/>
                  <w:vAlign w:val="center"/>
                </w:tcPr>
                <w:p w14:paraId="795F6A11">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b/>
                      <w:sz w:val="21"/>
                      <w:szCs w:val="21"/>
                    </w:rPr>
                    <w:t>达标情况</w:t>
                  </w:r>
                </w:p>
              </w:tc>
            </w:tr>
            <w:tr w14:paraId="472BC3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32" w:type="pct"/>
                  <w:vMerge w:val="continue"/>
                  <w:tcBorders>
                    <w:tl2br w:val="nil"/>
                    <w:tr2bl w:val="nil"/>
                  </w:tcBorders>
                  <w:shd w:val="clear" w:color="auto" w:fill="FFFFFF"/>
                  <w:noWrap w:val="0"/>
                  <w:vAlign w:val="center"/>
                </w:tcPr>
                <w:p w14:paraId="1811CC3C">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c>
                <w:tcPr>
                  <w:tcW w:w="482" w:type="pct"/>
                  <w:tcBorders>
                    <w:tl2br w:val="nil"/>
                    <w:tr2bl w:val="nil"/>
                  </w:tcBorders>
                  <w:shd w:val="clear" w:color="auto" w:fill="FFFFFF"/>
                  <w:noWrap w:val="0"/>
                  <w:vAlign w:val="center"/>
                </w:tcPr>
                <w:p w14:paraId="03426445">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X</w:t>
                  </w:r>
                </w:p>
              </w:tc>
              <w:tc>
                <w:tcPr>
                  <w:tcW w:w="477" w:type="pct"/>
                  <w:tcBorders>
                    <w:tl2br w:val="nil"/>
                    <w:tr2bl w:val="nil"/>
                  </w:tcBorders>
                  <w:shd w:val="clear" w:color="auto" w:fill="FFFFFF"/>
                  <w:noWrap w:val="0"/>
                  <w:vAlign w:val="center"/>
                </w:tcPr>
                <w:p w14:paraId="110A4670">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Y</w:t>
                  </w:r>
                </w:p>
              </w:tc>
              <w:tc>
                <w:tcPr>
                  <w:tcW w:w="469" w:type="pct"/>
                  <w:tcBorders>
                    <w:tl2br w:val="nil"/>
                    <w:tr2bl w:val="nil"/>
                  </w:tcBorders>
                  <w:shd w:val="clear" w:color="auto" w:fill="FFFFFF"/>
                  <w:noWrap w:val="0"/>
                  <w:vAlign w:val="center"/>
                </w:tcPr>
                <w:p w14:paraId="1FCD8BEE">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Z</w:t>
                  </w:r>
                </w:p>
              </w:tc>
              <w:tc>
                <w:tcPr>
                  <w:tcW w:w="571" w:type="pct"/>
                  <w:vMerge w:val="continue"/>
                  <w:tcBorders>
                    <w:tl2br w:val="nil"/>
                    <w:tr2bl w:val="nil"/>
                  </w:tcBorders>
                  <w:shd w:val="clear" w:color="auto" w:fill="FFFFFF"/>
                  <w:noWrap w:val="0"/>
                  <w:vAlign w:val="center"/>
                </w:tcPr>
                <w:p w14:paraId="055B2D21">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c>
                <w:tcPr>
                  <w:tcW w:w="842" w:type="pct"/>
                  <w:vMerge w:val="continue"/>
                  <w:tcBorders>
                    <w:tl2br w:val="nil"/>
                    <w:tr2bl w:val="nil"/>
                  </w:tcBorders>
                  <w:shd w:val="clear" w:color="auto" w:fill="FFFFFF"/>
                  <w:noWrap w:val="0"/>
                  <w:vAlign w:val="center"/>
                </w:tcPr>
                <w:p w14:paraId="4C557B4C">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c>
                <w:tcPr>
                  <w:tcW w:w="842" w:type="pct"/>
                  <w:vMerge w:val="continue"/>
                  <w:tcBorders>
                    <w:tl2br w:val="nil"/>
                    <w:tr2bl w:val="nil"/>
                  </w:tcBorders>
                  <w:shd w:val="clear" w:color="auto" w:fill="FFFFFF"/>
                  <w:noWrap w:val="0"/>
                  <w:vAlign w:val="center"/>
                </w:tcPr>
                <w:p w14:paraId="5F5FE9F7">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c>
                <w:tcPr>
                  <w:tcW w:w="680" w:type="pct"/>
                  <w:vMerge w:val="continue"/>
                  <w:tcBorders>
                    <w:tl2br w:val="nil"/>
                    <w:tr2bl w:val="nil"/>
                  </w:tcBorders>
                  <w:shd w:val="clear" w:color="auto" w:fill="FFFFFF"/>
                  <w:noWrap w:val="0"/>
                  <w:vAlign w:val="center"/>
                </w:tcPr>
                <w:p w14:paraId="6AF4C62F">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r>
            <w:tr w14:paraId="482B72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632" w:type="pct"/>
                  <w:tcBorders>
                    <w:tl2br w:val="nil"/>
                    <w:tr2bl w:val="nil"/>
                  </w:tcBorders>
                  <w:shd w:val="clear" w:color="auto" w:fill="FFFFFF"/>
                  <w:noWrap w:val="0"/>
                  <w:vAlign w:val="center"/>
                </w:tcPr>
                <w:p w14:paraId="2136AE7E">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Arial"/>
                      <w:sz w:val="21"/>
                      <w:szCs w:val="21"/>
                    </w:rPr>
                    <w:t>东侧</w:t>
                  </w:r>
                </w:p>
              </w:tc>
              <w:tc>
                <w:tcPr>
                  <w:tcW w:w="482" w:type="pct"/>
                  <w:tcBorders>
                    <w:tl2br w:val="nil"/>
                    <w:tr2bl w:val="nil"/>
                  </w:tcBorders>
                  <w:shd w:val="clear" w:color="auto" w:fill="FFFFFF"/>
                  <w:noWrap w:val="0"/>
                  <w:vAlign w:val="center"/>
                </w:tcPr>
                <w:p w14:paraId="39F4B6B2">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sz w:val="21"/>
                      <w:szCs w:val="21"/>
                    </w:rPr>
                  </w:pPr>
                  <w:r>
                    <w:rPr>
                      <w:rFonts w:hint="eastAsia"/>
                    </w:rPr>
                    <w:t>-22.25</w:t>
                  </w:r>
                </w:p>
              </w:tc>
              <w:tc>
                <w:tcPr>
                  <w:tcW w:w="477" w:type="pct"/>
                  <w:tcBorders>
                    <w:tl2br w:val="nil"/>
                    <w:tr2bl w:val="nil"/>
                  </w:tcBorders>
                  <w:shd w:val="clear" w:color="auto" w:fill="FFFFFF"/>
                  <w:noWrap w:val="0"/>
                  <w:vAlign w:val="center"/>
                </w:tcPr>
                <w:p w14:paraId="48381BB4">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sz w:val="21"/>
                      <w:szCs w:val="21"/>
                    </w:rPr>
                  </w:pPr>
                  <w:r>
                    <w:rPr>
                      <w:rFonts w:hint="eastAsia"/>
                    </w:rPr>
                    <w:t>39.43</w:t>
                  </w:r>
                </w:p>
              </w:tc>
              <w:tc>
                <w:tcPr>
                  <w:tcW w:w="469" w:type="pct"/>
                  <w:tcBorders>
                    <w:tl2br w:val="nil"/>
                    <w:tr2bl w:val="nil"/>
                  </w:tcBorders>
                  <w:shd w:val="clear" w:color="auto" w:fill="FFFFFF"/>
                  <w:noWrap w:val="0"/>
                  <w:vAlign w:val="center"/>
                </w:tcPr>
                <w:p w14:paraId="18559440">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Arial"/>
                      <w:sz w:val="21"/>
                      <w:szCs w:val="21"/>
                    </w:rPr>
                    <w:t>1.2</w:t>
                  </w:r>
                </w:p>
              </w:tc>
              <w:tc>
                <w:tcPr>
                  <w:tcW w:w="571" w:type="pct"/>
                  <w:tcBorders>
                    <w:tl2br w:val="nil"/>
                    <w:tr2bl w:val="nil"/>
                  </w:tcBorders>
                  <w:shd w:val="clear" w:color="auto" w:fill="FFFFFF"/>
                  <w:noWrap w:val="0"/>
                  <w:vAlign w:val="center"/>
                </w:tcPr>
                <w:p w14:paraId="68F85D0C">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Arial"/>
                      <w:sz w:val="21"/>
                      <w:szCs w:val="21"/>
                    </w:rPr>
                    <w:t>昼间</w:t>
                  </w:r>
                </w:p>
              </w:tc>
              <w:tc>
                <w:tcPr>
                  <w:tcW w:w="842" w:type="pct"/>
                  <w:tcBorders>
                    <w:tl2br w:val="nil"/>
                    <w:tr2bl w:val="nil"/>
                  </w:tcBorders>
                  <w:shd w:val="clear" w:color="auto" w:fill="FFFFFF"/>
                  <w:noWrap w:val="0"/>
                  <w:vAlign w:val="center"/>
                </w:tcPr>
                <w:p w14:paraId="162E0E12">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sz w:val="21"/>
                      <w:szCs w:val="21"/>
                      <w:lang w:val="en-US" w:eastAsia="zh-CN"/>
                    </w:rPr>
                  </w:pPr>
                  <w:r>
                    <w:rPr>
                      <w:rFonts w:hint="eastAsia" w:cs="Arial"/>
                      <w:sz w:val="21"/>
                      <w:szCs w:val="21"/>
                      <w:lang w:val="en-US" w:eastAsia="zh-CN"/>
                    </w:rPr>
                    <w:t>58.75</w:t>
                  </w:r>
                </w:p>
              </w:tc>
              <w:tc>
                <w:tcPr>
                  <w:tcW w:w="842" w:type="pct"/>
                  <w:tcBorders>
                    <w:tl2br w:val="nil"/>
                    <w:tr2bl w:val="nil"/>
                  </w:tcBorders>
                  <w:shd w:val="clear" w:color="auto" w:fill="FFFFFF"/>
                  <w:noWrap w:val="0"/>
                  <w:vAlign w:val="center"/>
                </w:tcPr>
                <w:p w14:paraId="1955D366">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sz w:val="21"/>
                      <w:szCs w:val="21"/>
                      <w:lang w:val="en-US" w:eastAsia="zh-CN"/>
                    </w:rPr>
                  </w:pPr>
                  <w:r>
                    <w:rPr>
                      <w:rFonts w:hint="eastAsia" w:cs="Arial"/>
                      <w:sz w:val="21"/>
                      <w:szCs w:val="21"/>
                      <w:lang w:val="en-US" w:eastAsia="zh-CN"/>
                    </w:rPr>
                    <w:t>60</w:t>
                  </w:r>
                </w:p>
              </w:tc>
              <w:tc>
                <w:tcPr>
                  <w:tcW w:w="680" w:type="pct"/>
                  <w:tcBorders>
                    <w:tl2br w:val="nil"/>
                    <w:tr2bl w:val="nil"/>
                  </w:tcBorders>
                  <w:shd w:val="clear" w:color="auto" w:fill="FFFFFF"/>
                  <w:noWrap w:val="0"/>
                  <w:vAlign w:val="center"/>
                </w:tcPr>
                <w:p w14:paraId="4E080A68">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Arial"/>
                      <w:sz w:val="21"/>
                      <w:szCs w:val="21"/>
                    </w:rPr>
                    <w:t>达标</w:t>
                  </w:r>
                </w:p>
              </w:tc>
            </w:tr>
            <w:tr w14:paraId="48CA33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632" w:type="pct"/>
                  <w:tcBorders>
                    <w:tl2br w:val="nil"/>
                    <w:tr2bl w:val="nil"/>
                  </w:tcBorders>
                  <w:shd w:val="clear" w:color="auto" w:fill="FFFFFF"/>
                  <w:noWrap w:val="0"/>
                  <w:vAlign w:val="center"/>
                </w:tcPr>
                <w:p w14:paraId="24A7D757">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Arial"/>
                      <w:sz w:val="21"/>
                      <w:szCs w:val="21"/>
                    </w:rPr>
                    <w:t>南侧</w:t>
                  </w:r>
                </w:p>
              </w:tc>
              <w:tc>
                <w:tcPr>
                  <w:tcW w:w="482" w:type="pct"/>
                  <w:tcBorders>
                    <w:tl2br w:val="nil"/>
                    <w:tr2bl w:val="nil"/>
                  </w:tcBorders>
                  <w:shd w:val="clear" w:color="auto" w:fill="FFFFFF"/>
                  <w:noWrap w:val="0"/>
                  <w:vAlign w:val="center"/>
                </w:tcPr>
                <w:p w14:paraId="1023637F">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sz w:val="21"/>
                      <w:szCs w:val="21"/>
                    </w:rPr>
                  </w:pPr>
                  <w:r>
                    <w:rPr>
                      <w:rFonts w:hint="eastAsia"/>
                    </w:rPr>
                    <w:t>-8.28</w:t>
                  </w:r>
                </w:p>
              </w:tc>
              <w:tc>
                <w:tcPr>
                  <w:tcW w:w="477" w:type="pct"/>
                  <w:tcBorders>
                    <w:tl2br w:val="nil"/>
                    <w:tr2bl w:val="nil"/>
                  </w:tcBorders>
                  <w:shd w:val="clear" w:color="auto" w:fill="FFFFFF"/>
                  <w:noWrap w:val="0"/>
                  <w:vAlign w:val="center"/>
                </w:tcPr>
                <w:p w14:paraId="1307B9EC">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sz w:val="21"/>
                      <w:szCs w:val="21"/>
                    </w:rPr>
                  </w:pPr>
                  <w:r>
                    <w:rPr>
                      <w:rFonts w:hint="eastAsia"/>
                    </w:rPr>
                    <w:t>-21.07</w:t>
                  </w:r>
                </w:p>
              </w:tc>
              <w:tc>
                <w:tcPr>
                  <w:tcW w:w="469" w:type="pct"/>
                  <w:tcBorders>
                    <w:tl2br w:val="nil"/>
                    <w:tr2bl w:val="nil"/>
                  </w:tcBorders>
                  <w:shd w:val="clear" w:color="auto" w:fill="FFFFFF"/>
                  <w:noWrap w:val="0"/>
                  <w:vAlign w:val="center"/>
                </w:tcPr>
                <w:p w14:paraId="61497520">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Arial"/>
                      <w:sz w:val="21"/>
                      <w:szCs w:val="21"/>
                    </w:rPr>
                    <w:t>1.2</w:t>
                  </w:r>
                </w:p>
              </w:tc>
              <w:tc>
                <w:tcPr>
                  <w:tcW w:w="571" w:type="pct"/>
                  <w:tcBorders>
                    <w:tl2br w:val="nil"/>
                    <w:tr2bl w:val="nil"/>
                  </w:tcBorders>
                  <w:shd w:val="clear" w:color="auto" w:fill="FFFFFF"/>
                  <w:noWrap w:val="0"/>
                  <w:vAlign w:val="center"/>
                </w:tcPr>
                <w:p w14:paraId="27BBA759">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Arial"/>
                      <w:sz w:val="21"/>
                      <w:szCs w:val="21"/>
                    </w:rPr>
                    <w:t>昼间</w:t>
                  </w:r>
                </w:p>
              </w:tc>
              <w:tc>
                <w:tcPr>
                  <w:tcW w:w="842" w:type="pct"/>
                  <w:tcBorders>
                    <w:tl2br w:val="nil"/>
                    <w:tr2bl w:val="nil"/>
                  </w:tcBorders>
                  <w:shd w:val="clear" w:color="auto" w:fill="FFFFFF"/>
                  <w:noWrap w:val="0"/>
                  <w:vAlign w:val="center"/>
                </w:tcPr>
                <w:p w14:paraId="0500B738">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sz w:val="21"/>
                      <w:szCs w:val="21"/>
                      <w:lang w:val="en-US" w:eastAsia="zh-CN"/>
                    </w:rPr>
                  </w:pPr>
                  <w:r>
                    <w:rPr>
                      <w:rFonts w:hint="eastAsia" w:cs="Arial"/>
                      <w:sz w:val="21"/>
                      <w:szCs w:val="21"/>
                      <w:lang w:val="en-US" w:eastAsia="zh-CN"/>
                    </w:rPr>
                    <w:t>49.84</w:t>
                  </w:r>
                </w:p>
              </w:tc>
              <w:tc>
                <w:tcPr>
                  <w:tcW w:w="842" w:type="pct"/>
                  <w:tcBorders>
                    <w:tl2br w:val="nil"/>
                    <w:tr2bl w:val="nil"/>
                  </w:tcBorders>
                  <w:shd w:val="clear" w:color="auto" w:fill="FFFFFF"/>
                  <w:noWrap w:val="0"/>
                  <w:vAlign w:val="center"/>
                </w:tcPr>
                <w:p w14:paraId="62DC3FFB">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sz w:val="21"/>
                      <w:szCs w:val="21"/>
                    </w:rPr>
                  </w:pPr>
                  <w:r>
                    <w:rPr>
                      <w:rFonts w:hint="eastAsia" w:cs="Arial"/>
                      <w:sz w:val="21"/>
                      <w:szCs w:val="21"/>
                      <w:lang w:val="en-US" w:eastAsia="zh-CN"/>
                    </w:rPr>
                    <w:t>60</w:t>
                  </w:r>
                </w:p>
              </w:tc>
              <w:tc>
                <w:tcPr>
                  <w:tcW w:w="680" w:type="pct"/>
                  <w:tcBorders>
                    <w:tl2br w:val="nil"/>
                    <w:tr2bl w:val="nil"/>
                  </w:tcBorders>
                  <w:shd w:val="clear" w:color="auto" w:fill="FFFFFF"/>
                  <w:noWrap w:val="0"/>
                  <w:vAlign w:val="center"/>
                </w:tcPr>
                <w:p w14:paraId="6598AA9E">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Arial"/>
                      <w:sz w:val="21"/>
                      <w:szCs w:val="21"/>
                    </w:rPr>
                    <w:t>达标</w:t>
                  </w:r>
                </w:p>
              </w:tc>
            </w:tr>
            <w:tr w14:paraId="4EC8F0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632" w:type="pct"/>
                  <w:tcBorders>
                    <w:tl2br w:val="nil"/>
                    <w:tr2bl w:val="nil"/>
                  </w:tcBorders>
                  <w:shd w:val="clear" w:color="auto" w:fill="FFFFFF"/>
                  <w:noWrap w:val="0"/>
                  <w:vAlign w:val="center"/>
                </w:tcPr>
                <w:p w14:paraId="5331F668">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Arial"/>
                      <w:sz w:val="21"/>
                      <w:szCs w:val="21"/>
                    </w:rPr>
                    <w:t>西侧</w:t>
                  </w:r>
                </w:p>
              </w:tc>
              <w:tc>
                <w:tcPr>
                  <w:tcW w:w="482" w:type="pct"/>
                  <w:tcBorders>
                    <w:tl2br w:val="nil"/>
                    <w:tr2bl w:val="nil"/>
                  </w:tcBorders>
                  <w:shd w:val="clear" w:color="auto" w:fill="FFFFFF"/>
                  <w:noWrap w:val="0"/>
                  <w:vAlign w:val="center"/>
                </w:tcPr>
                <w:p w14:paraId="730BAFD8">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sz w:val="21"/>
                      <w:szCs w:val="21"/>
                    </w:rPr>
                  </w:pPr>
                  <w:r>
                    <w:rPr>
                      <w:rFonts w:hint="eastAsia"/>
                    </w:rPr>
                    <w:t>-37.48</w:t>
                  </w:r>
                </w:p>
              </w:tc>
              <w:tc>
                <w:tcPr>
                  <w:tcW w:w="477" w:type="pct"/>
                  <w:tcBorders>
                    <w:tl2br w:val="nil"/>
                    <w:tr2bl w:val="nil"/>
                  </w:tcBorders>
                  <w:shd w:val="clear" w:color="auto" w:fill="FFFFFF"/>
                  <w:noWrap w:val="0"/>
                  <w:vAlign w:val="center"/>
                </w:tcPr>
                <w:p w14:paraId="25FABB81">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sz w:val="21"/>
                      <w:szCs w:val="21"/>
                    </w:rPr>
                  </w:pPr>
                  <w:r>
                    <w:rPr>
                      <w:rFonts w:hint="eastAsia"/>
                    </w:rPr>
                    <w:t>6.47</w:t>
                  </w:r>
                </w:p>
              </w:tc>
              <w:tc>
                <w:tcPr>
                  <w:tcW w:w="469" w:type="pct"/>
                  <w:tcBorders>
                    <w:tl2br w:val="nil"/>
                    <w:tr2bl w:val="nil"/>
                  </w:tcBorders>
                  <w:shd w:val="clear" w:color="auto" w:fill="FFFFFF"/>
                  <w:noWrap w:val="0"/>
                  <w:vAlign w:val="center"/>
                </w:tcPr>
                <w:p w14:paraId="22EE67FD">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Arial"/>
                      <w:sz w:val="21"/>
                      <w:szCs w:val="21"/>
                    </w:rPr>
                    <w:t>1.2</w:t>
                  </w:r>
                </w:p>
              </w:tc>
              <w:tc>
                <w:tcPr>
                  <w:tcW w:w="571" w:type="pct"/>
                  <w:tcBorders>
                    <w:tl2br w:val="nil"/>
                    <w:tr2bl w:val="nil"/>
                  </w:tcBorders>
                  <w:shd w:val="clear" w:color="auto" w:fill="FFFFFF"/>
                  <w:noWrap w:val="0"/>
                  <w:vAlign w:val="center"/>
                </w:tcPr>
                <w:p w14:paraId="58C93D0A">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Arial"/>
                      <w:sz w:val="21"/>
                      <w:szCs w:val="21"/>
                    </w:rPr>
                    <w:t>昼间</w:t>
                  </w:r>
                </w:p>
              </w:tc>
              <w:tc>
                <w:tcPr>
                  <w:tcW w:w="842" w:type="pct"/>
                  <w:tcBorders>
                    <w:tl2br w:val="nil"/>
                    <w:tr2bl w:val="nil"/>
                  </w:tcBorders>
                  <w:shd w:val="clear" w:color="auto" w:fill="FFFFFF"/>
                  <w:noWrap w:val="0"/>
                  <w:vAlign w:val="center"/>
                </w:tcPr>
                <w:p w14:paraId="6E027ECF">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sz w:val="21"/>
                      <w:szCs w:val="21"/>
                      <w:lang w:val="en-US" w:eastAsia="zh-CN"/>
                    </w:rPr>
                  </w:pPr>
                  <w:r>
                    <w:rPr>
                      <w:rFonts w:hint="eastAsia" w:cs="Arial"/>
                      <w:sz w:val="21"/>
                      <w:szCs w:val="21"/>
                      <w:lang w:val="en-US" w:eastAsia="zh-CN"/>
                    </w:rPr>
                    <w:t>56.9</w:t>
                  </w:r>
                </w:p>
              </w:tc>
              <w:tc>
                <w:tcPr>
                  <w:tcW w:w="842" w:type="pct"/>
                  <w:tcBorders>
                    <w:tl2br w:val="nil"/>
                    <w:tr2bl w:val="nil"/>
                  </w:tcBorders>
                  <w:shd w:val="clear" w:color="auto" w:fill="FFFFFF"/>
                  <w:noWrap w:val="0"/>
                  <w:vAlign w:val="center"/>
                </w:tcPr>
                <w:p w14:paraId="1BB913EE">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sz w:val="21"/>
                      <w:szCs w:val="21"/>
                    </w:rPr>
                  </w:pPr>
                  <w:r>
                    <w:rPr>
                      <w:rFonts w:hint="eastAsia" w:cs="Arial"/>
                      <w:sz w:val="21"/>
                      <w:szCs w:val="21"/>
                      <w:lang w:val="en-US" w:eastAsia="zh-CN"/>
                    </w:rPr>
                    <w:t>60</w:t>
                  </w:r>
                </w:p>
              </w:tc>
              <w:tc>
                <w:tcPr>
                  <w:tcW w:w="680" w:type="pct"/>
                  <w:tcBorders>
                    <w:tl2br w:val="nil"/>
                    <w:tr2bl w:val="nil"/>
                  </w:tcBorders>
                  <w:shd w:val="clear" w:color="auto" w:fill="FFFFFF"/>
                  <w:noWrap w:val="0"/>
                  <w:vAlign w:val="center"/>
                </w:tcPr>
                <w:p w14:paraId="1650A4A2">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Arial"/>
                      <w:sz w:val="21"/>
                      <w:szCs w:val="21"/>
                    </w:rPr>
                    <w:t>达标</w:t>
                  </w:r>
                </w:p>
              </w:tc>
            </w:tr>
            <w:tr w14:paraId="06C22E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632" w:type="pct"/>
                  <w:tcBorders>
                    <w:tl2br w:val="nil"/>
                    <w:tr2bl w:val="nil"/>
                  </w:tcBorders>
                  <w:shd w:val="clear" w:color="auto" w:fill="FFFFFF"/>
                  <w:noWrap w:val="0"/>
                  <w:vAlign w:val="center"/>
                </w:tcPr>
                <w:p w14:paraId="5E6C7511">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Arial"/>
                      <w:sz w:val="21"/>
                      <w:szCs w:val="21"/>
                    </w:rPr>
                    <w:t>北侧</w:t>
                  </w:r>
                </w:p>
              </w:tc>
              <w:tc>
                <w:tcPr>
                  <w:tcW w:w="482" w:type="pct"/>
                  <w:tcBorders>
                    <w:tl2br w:val="nil"/>
                    <w:tr2bl w:val="nil"/>
                  </w:tcBorders>
                  <w:shd w:val="clear" w:color="auto" w:fill="FFFFFF"/>
                  <w:noWrap w:val="0"/>
                  <w:vAlign w:val="center"/>
                </w:tcPr>
                <w:p w14:paraId="42923658">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sz w:val="21"/>
                      <w:szCs w:val="21"/>
                    </w:rPr>
                  </w:pPr>
                  <w:r>
                    <w:rPr>
                      <w:rFonts w:hint="eastAsia"/>
                    </w:rPr>
                    <w:t>-51.79</w:t>
                  </w:r>
                </w:p>
              </w:tc>
              <w:tc>
                <w:tcPr>
                  <w:tcW w:w="477" w:type="pct"/>
                  <w:tcBorders>
                    <w:tl2br w:val="nil"/>
                    <w:tr2bl w:val="nil"/>
                  </w:tcBorders>
                  <w:shd w:val="clear" w:color="auto" w:fill="FFFFFF"/>
                  <w:noWrap w:val="0"/>
                  <w:vAlign w:val="center"/>
                </w:tcPr>
                <w:p w14:paraId="3C8F5EC0">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sz w:val="21"/>
                      <w:szCs w:val="21"/>
                    </w:rPr>
                  </w:pPr>
                  <w:r>
                    <w:rPr>
                      <w:rFonts w:hint="eastAsia"/>
                    </w:rPr>
                    <w:t>47.49</w:t>
                  </w:r>
                </w:p>
              </w:tc>
              <w:tc>
                <w:tcPr>
                  <w:tcW w:w="469" w:type="pct"/>
                  <w:tcBorders>
                    <w:tl2br w:val="nil"/>
                    <w:tr2bl w:val="nil"/>
                  </w:tcBorders>
                  <w:shd w:val="clear" w:color="auto" w:fill="FFFFFF"/>
                  <w:noWrap w:val="0"/>
                  <w:vAlign w:val="center"/>
                </w:tcPr>
                <w:p w14:paraId="587DC7C8">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Arial"/>
                      <w:sz w:val="21"/>
                      <w:szCs w:val="21"/>
                    </w:rPr>
                    <w:t>1.2</w:t>
                  </w:r>
                </w:p>
              </w:tc>
              <w:tc>
                <w:tcPr>
                  <w:tcW w:w="571" w:type="pct"/>
                  <w:tcBorders>
                    <w:tl2br w:val="nil"/>
                    <w:tr2bl w:val="nil"/>
                  </w:tcBorders>
                  <w:shd w:val="clear" w:color="auto" w:fill="FFFFFF"/>
                  <w:noWrap w:val="0"/>
                  <w:vAlign w:val="center"/>
                </w:tcPr>
                <w:p w14:paraId="14604F53">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Arial"/>
                      <w:sz w:val="21"/>
                      <w:szCs w:val="21"/>
                    </w:rPr>
                    <w:t>昼间</w:t>
                  </w:r>
                </w:p>
              </w:tc>
              <w:tc>
                <w:tcPr>
                  <w:tcW w:w="842" w:type="pct"/>
                  <w:tcBorders>
                    <w:tl2br w:val="nil"/>
                    <w:tr2bl w:val="nil"/>
                  </w:tcBorders>
                  <w:shd w:val="clear" w:color="auto" w:fill="FFFFFF"/>
                  <w:noWrap w:val="0"/>
                  <w:vAlign w:val="center"/>
                </w:tcPr>
                <w:p w14:paraId="0B77AD46">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sz w:val="21"/>
                      <w:szCs w:val="21"/>
                      <w:lang w:val="en-US" w:eastAsia="zh-CN"/>
                    </w:rPr>
                  </w:pPr>
                  <w:r>
                    <w:rPr>
                      <w:rFonts w:hint="eastAsia" w:cs="Arial"/>
                      <w:sz w:val="21"/>
                      <w:szCs w:val="21"/>
                      <w:lang w:val="en-US" w:eastAsia="zh-CN"/>
                    </w:rPr>
                    <w:t>58.17</w:t>
                  </w:r>
                </w:p>
              </w:tc>
              <w:tc>
                <w:tcPr>
                  <w:tcW w:w="842" w:type="pct"/>
                  <w:tcBorders>
                    <w:tl2br w:val="nil"/>
                    <w:tr2bl w:val="nil"/>
                  </w:tcBorders>
                  <w:shd w:val="clear" w:color="auto" w:fill="FFFFFF"/>
                  <w:noWrap w:val="0"/>
                  <w:vAlign w:val="center"/>
                </w:tcPr>
                <w:p w14:paraId="0C6C6308">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sz w:val="21"/>
                      <w:szCs w:val="21"/>
                    </w:rPr>
                  </w:pPr>
                  <w:r>
                    <w:rPr>
                      <w:rFonts w:hint="eastAsia" w:cs="Arial"/>
                      <w:sz w:val="21"/>
                      <w:szCs w:val="21"/>
                      <w:lang w:val="en-US" w:eastAsia="zh-CN"/>
                    </w:rPr>
                    <w:t>60</w:t>
                  </w:r>
                </w:p>
              </w:tc>
              <w:tc>
                <w:tcPr>
                  <w:tcW w:w="680" w:type="pct"/>
                  <w:tcBorders>
                    <w:tl2br w:val="nil"/>
                    <w:tr2bl w:val="nil"/>
                  </w:tcBorders>
                  <w:shd w:val="clear" w:color="auto" w:fill="FFFFFF"/>
                  <w:noWrap w:val="0"/>
                  <w:vAlign w:val="center"/>
                </w:tcPr>
                <w:p w14:paraId="4AC61A64">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Arial"/>
                      <w:sz w:val="21"/>
                      <w:szCs w:val="21"/>
                    </w:rPr>
                    <w:t>达标</w:t>
                  </w:r>
                </w:p>
              </w:tc>
            </w:tr>
            <w:tr w14:paraId="3C74C7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48" w:hRule="exact"/>
                <w:jc w:val="center"/>
              </w:trPr>
              <w:tc>
                <w:tcPr>
                  <w:tcW w:w="5000" w:type="pct"/>
                  <w:gridSpan w:val="8"/>
                  <w:tcBorders>
                    <w:tl2br w:val="nil"/>
                    <w:tr2bl w:val="nil"/>
                  </w:tcBorders>
                  <w:shd w:val="clear" w:color="auto" w:fill="FFFFFF"/>
                  <w:noWrap w:val="0"/>
                  <w:vAlign w:val="center"/>
                </w:tcPr>
                <w:p w14:paraId="7A643AB8">
                  <w:pPr>
                    <w:keepNext w:val="0"/>
                    <w:keepLines w:val="0"/>
                    <w:suppressLineNumbers w:val="0"/>
                    <w:spacing w:before="0" w:beforeAutospacing="0" w:after="0" w:afterAutospacing="0"/>
                    <w:ind w:left="0" w:right="0"/>
                    <w:rPr>
                      <w:rFonts w:hint="default" w:ascii="Times New Roman" w:hAnsi="Times New Roman" w:eastAsia="宋体" w:cs="Arial"/>
                      <w:sz w:val="21"/>
                      <w:szCs w:val="21"/>
                    </w:rPr>
                  </w:pPr>
                  <w:r>
                    <w:rPr>
                      <w:rFonts w:hint="eastAsia" w:ascii="Times New Roman" w:hAnsi="Times New Roman" w:eastAsia="宋体" w:cs="宋体"/>
                      <w:b w:val="0"/>
                      <w:bCs/>
                      <w:sz w:val="21"/>
                      <w:szCs w:val="21"/>
                      <w:lang w:val="en-US" w:eastAsia="zh-CN"/>
                    </w:rPr>
                    <w:t>注：表中坐标以厂</w:t>
                  </w:r>
                  <w:r>
                    <w:rPr>
                      <w:rFonts w:hint="eastAsia" w:cs="宋体"/>
                      <w:b w:val="0"/>
                      <w:bCs/>
                      <w:sz w:val="21"/>
                      <w:szCs w:val="21"/>
                      <w:lang w:val="en-US" w:eastAsia="zh-CN"/>
                    </w:rPr>
                    <w:t>区最南侧端点</w:t>
                  </w:r>
                  <w:r>
                    <w:rPr>
                      <w:rFonts w:hint="eastAsia" w:ascii="Times New Roman" w:hAnsi="Times New Roman" w:eastAsia="宋体" w:cs="宋体"/>
                      <w:b w:val="0"/>
                      <w:bCs/>
                      <w:sz w:val="21"/>
                      <w:szCs w:val="21"/>
                      <w:lang w:val="en-US" w:eastAsia="zh-CN"/>
                    </w:rPr>
                    <w:t>中心（107.181121</w:t>
                  </w:r>
                  <w:r>
                    <w:rPr>
                      <w:rFonts w:hint="eastAsia" w:cs="宋体"/>
                      <w:b w:val="0"/>
                      <w:bCs/>
                      <w:sz w:val="21"/>
                      <w:szCs w:val="21"/>
                      <w:lang w:val="en-US" w:eastAsia="zh-CN"/>
                    </w:rPr>
                    <w:t>°</w:t>
                  </w:r>
                  <w:r>
                    <w:rPr>
                      <w:rFonts w:hint="eastAsia" w:ascii="Times New Roman" w:hAnsi="Times New Roman" w:eastAsia="宋体" w:cs="宋体"/>
                      <w:b w:val="0"/>
                      <w:bCs/>
                      <w:sz w:val="21"/>
                      <w:szCs w:val="21"/>
                      <w:lang w:val="en-US" w:eastAsia="zh-CN"/>
                    </w:rPr>
                    <w:t>,30.288489</w:t>
                  </w:r>
                  <w:r>
                    <w:rPr>
                      <w:rFonts w:hint="eastAsia" w:cs="宋体"/>
                      <w:b w:val="0"/>
                      <w:bCs/>
                      <w:sz w:val="21"/>
                      <w:szCs w:val="21"/>
                      <w:lang w:val="en-US" w:eastAsia="zh-CN"/>
                    </w:rPr>
                    <w:t>°</w:t>
                  </w:r>
                  <w:r>
                    <w:rPr>
                      <w:rFonts w:hint="eastAsia" w:ascii="Times New Roman" w:hAnsi="Times New Roman" w:eastAsia="宋体" w:cs="宋体"/>
                      <w:b w:val="0"/>
                      <w:bCs/>
                      <w:sz w:val="21"/>
                      <w:szCs w:val="21"/>
                      <w:lang w:val="en-US" w:eastAsia="zh-CN"/>
                    </w:rPr>
                    <w:t>）为坐标原点，正东向为X轴正方向，正北向为Y轴正方向</w:t>
                  </w:r>
                </w:p>
              </w:tc>
            </w:tr>
          </w:tbl>
          <w:p w14:paraId="0E463D1E">
            <w:pPr>
              <w:keepNext w:val="0"/>
              <w:keepLines w:val="0"/>
              <w:suppressLineNumbers w:val="0"/>
              <w:spacing w:before="120" w:beforeLines="50" w:beforeAutospacing="0" w:after="0" w:afterAutospacing="0" w:line="360" w:lineRule="auto"/>
              <w:ind w:left="0" w:right="0" w:firstLine="480" w:firstLineChars="200"/>
              <w:rPr>
                <w:rFonts w:hint="default" w:ascii="Times New Roman" w:hAnsi="Times New Roman" w:eastAsia="宋体"/>
                <w:color w:val="auto"/>
                <w:sz w:val="24"/>
              </w:rPr>
            </w:pPr>
            <w:r>
              <w:rPr>
                <w:rFonts w:hint="eastAsia" w:ascii="Times New Roman" w:hAnsi="Times New Roman" w:eastAsia="宋体"/>
                <w:color w:val="auto"/>
                <w:sz w:val="24"/>
              </w:rPr>
              <w:t>根据项目外环境</w:t>
            </w:r>
            <w:r>
              <w:rPr>
                <w:rFonts w:hint="eastAsia"/>
                <w:color w:val="auto"/>
                <w:sz w:val="24"/>
                <w:lang w:val="en-US" w:eastAsia="zh-CN"/>
              </w:rPr>
              <w:t>关系图</w:t>
            </w:r>
            <w:r>
              <w:rPr>
                <w:rFonts w:hint="eastAsia" w:ascii="Times New Roman" w:hAnsi="Times New Roman" w:eastAsia="宋体"/>
                <w:color w:val="auto"/>
                <w:sz w:val="24"/>
              </w:rPr>
              <w:t>可知，本项目厂界外50m内声环境敏感点为</w:t>
            </w:r>
            <w:r>
              <w:rPr>
                <w:rFonts w:hint="eastAsia"/>
                <w:color w:val="auto"/>
                <w:sz w:val="24"/>
                <w:lang w:val="en-US" w:eastAsia="zh-CN"/>
              </w:rPr>
              <w:t>大鱼箭</w:t>
            </w:r>
            <w:r>
              <w:rPr>
                <w:rFonts w:hint="eastAsia" w:ascii="Times New Roman" w:hAnsi="Times New Roman" w:eastAsia="宋体"/>
                <w:color w:val="auto"/>
                <w:sz w:val="24"/>
              </w:rPr>
              <w:t>1#居民点、</w:t>
            </w:r>
            <w:r>
              <w:rPr>
                <w:rFonts w:hint="eastAsia"/>
                <w:color w:val="auto"/>
                <w:sz w:val="24"/>
                <w:lang w:val="en-US" w:eastAsia="zh-CN"/>
              </w:rPr>
              <w:t>大鱼箭2</w:t>
            </w:r>
            <w:r>
              <w:rPr>
                <w:rFonts w:hint="eastAsia" w:ascii="Times New Roman" w:hAnsi="Times New Roman" w:eastAsia="宋体"/>
                <w:color w:val="auto"/>
                <w:sz w:val="24"/>
              </w:rPr>
              <w:t>#居民点、</w:t>
            </w:r>
            <w:r>
              <w:rPr>
                <w:rFonts w:hint="eastAsia"/>
                <w:color w:val="auto"/>
                <w:sz w:val="24"/>
                <w:lang w:val="en-US" w:eastAsia="zh-CN"/>
              </w:rPr>
              <w:t>张家湾1#居民点</w:t>
            </w:r>
            <w:r>
              <w:rPr>
                <w:rFonts w:hint="eastAsia"/>
                <w:color w:val="auto"/>
                <w:sz w:val="24"/>
                <w:lang w:eastAsia="zh-CN"/>
              </w:rPr>
              <w:t>。</w:t>
            </w:r>
            <w:r>
              <w:rPr>
                <w:rFonts w:hint="eastAsia" w:ascii="Times New Roman" w:hAnsi="Times New Roman" w:eastAsia="宋体"/>
                <w:color w:val="auto"/>
                <w:sz w:val="24"/>
              </w:rPr>
              <w:t>本项目建成后厂界外</w:t>
            </w:r>
            <w:r>
              <w:rPr>
                <w:rFonts w:hint="eastAsia"/>
                <w:color w:val="auto"/>
                <w:sz w:val="24"/>
                <w:lang w:val="en-US" w:eastAsia="zh-CN"/>
              </w:rPr>
              <w:t>声环境敏感目标处噪声</w:t>
            </w:r>
            <w:r>
              <w:rPr>
                <w:rFonts w:hint="eastAsia" w:ascii="Times New Roman" w:hAnsi="Times New Roman" w:eastAsia="宋体"/>
                <w:color w:val="auto"/>
                <w:sz w:val="24"/>
              </w:rPr>
              <w:t>预测结果见下表。</w:t>
            </w:r>
          </w:p>
          <w:p w14:paraId="156D63ED">
            <w:pPr>
              <w:keepNext w:val="0"/>
              <w:keepLines w:val="0"/>
              <w:suppressLineNumbers w:val="0"/>
              <w:spacing w:before="120" w:beforeLines="5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b/>
                <w:bCs/>
                <w:color w:val="auto"/>
                <w:szCs w:val="21"/>
              </w:rPr>
              <w:t>表4-</w:t>
            </w:r>
            <w:r>
              <w:rPr>
                <w:rFonts w:hint="eastAsia"/>
                <w:b/>
                <w:bCs/>
                <w:color w:val="auto"/>
                <w:szCs w:val="21"/>
                <w:lang w:val="en-US" w:eastAsia="zh-CN"/>
              </w:rPr>
              <w:t>10</w:t>
            </w:r>
            <w:r>
              <w:rPr>
                <w:rFonts w:hint="eastAsia" w:ascii="Times New Roman" w:hAnsi="Times New Roman" w:eastAsia="宋体"/>
                <w:b/>
                <w:bCs/>
                <w:color w:val="auto"/>
                <w:szCs w:val="21"/>
              </w:rPr>
              <w:t xml:space="preserve">  工业企业声环境保护目标噪声预测结果与达标分析表</w:t>
            </w:r>
          </w:p>
          <w:tbl>
            <w:tblPr>
              <w:tblStyle w:val="25"/>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57"/>
              <w:gridCol w:w="1111"/>
              <w:gridCol w:w="1127"/>
              <w:gridCol w:w="1127"/>
              <w:gridCol w:w="1122"/>
              <w:gridCol w:w="5"/>
              <w:gridCol w:w="1114"/>
              <w:gridCol w:w="961"/>
              <w:gridCol w:w="5"/>
              <w:gridCol w:w="725"/>
            </w:tblGrid>
            <w:tr w14:paraId="3B58CC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81" w:hRule="exact"/>
                <w:jc w:val="center"/>
              </w:trPr>
              <w:tc>
                <w:tcPr>
                  <w:tcW w:w="413" w:type="pct"/>
                  <w:vMerge w:val="restart"/>
                  <w:vAlign w:val="center"/>
                </w:tcPr>
                <w:p w14:paraId="32683846">
                  <w:pPr>
                    <w:keepNext w:val="0"/>
                    <w:keepLines w:val="0"/>
                    <w:suppressLineNumbers w:val="0"/>
                    <w:spacing w:before="0" w:beforeAutospacing="0" w:after="0" w:afterAutospacing="0"/>
                    <w:ind w:left="0" w:right="0"/>
                    <w:jc w:val="left"/>
                    <w:rPr>
                      <w:rFonts w:hint="default" w:ascii="Times New Roman" w:hAnsi="Times New Roman" w:eastAsia="宋体"/>
                      <w:color w:val="auto"/>
                      <w:szCs w:val="21"/>
                    </w:rPr>
                  </w:pPr>
                  <w:r>
                    <w:rPr>
                      <w:rFonts w:hint="default" w:ascii="Times New Roman" w:hAnsi="Times New Roman" w:eastAsia="宋体"/>
                      <w:b/>
                      <w:color w:val="auto"/>
                      <w:szCs w:val="21"/>
                    </w:rPr>
                    <w:t>序号</w:t>
                  </w:r>
                </w:p>
              </w:tc>
              <w:tc>
                <w:tcPr>
                  <w:tcW w:w="698" w:type="pct"/>
                  <w:vMerge w:val="restart"/>
                  <w:vAlign w:val="center"/>
                </w:tcPr>
                <w:p w14:paraId="2BA643FE">
                  <w:pPr>
                    <w:keepNext w:val="0"/>
                    <w:keepLines w:val="0"/>
                    <w:suppressLineNumbers w:val="0"/>
                    <w:spacing w:before="0" w:beforeAutospacing="0" w:after="0" w:afterAutospacing="0" w:line="360" w:lineRule="auto"/>
                    <w:ind w:left="0" w:right="0"/>
                    <w:jc w:val="left"/>
                    <w:rPr>
                      <w:rFonts w:hint="default" w:ascii="Times New Roman" w:hAnsi="Times New Roman" w:eastAsia="宋体"/>
                      <w:color w:val="auto"/>
                      <w:szCs w:val="21"/>
                    </w:rPr>
                  </w:pPr>
                  <w:r>
                    <w:rPr>
                      <w:rFonts w:hint="default" w:ascii="Times New Roman" w:hAnsi="Times New Roman" w:eastAsia="宋体"/>
                      <w:b/>
                      <w:color w:val="auto"/>
                      <w:szCs w:val="21"/>
                    </w:rPr>
                    <w:t>声环境保护目标名称</w:t>
                  </w:r>
                </w:p>
              </w:tc>
              <w:tc>
                <w:tcPr>
                  <w:tcW w:w="708" w:type="pct"/>
                  <w:vAlign w:val="center"/>
                </w:tcPr>
                <w:p w14:paraId="09174686">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b/>
                      <w:color w:val="auto"/>
                      <w:szCs w:val="21"/>
                    </w:rPr>
                    <w:t>噪声现状值/dB(A)</w:t>
                  </w:r>
                </w:p>
              </w:tc>
              <w:tc>
                <w:tcPr>
                  <w:tcW w:w="708" w:type="pct"/>
                  <w:vAlign w:val="center"/>
                </w:tcPr>
                <w:p w14:paraId="0EF96B07">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b/>
                      <w:color w:val="auto"/>
                      <w:szCs w:val="21"/>
                    </w:rPr>
                    <w:t>噪声标准/dB(A)</w:t>
                  </w:r>
                </w:p>
              </w:tc>
              <w:tc>
                <w:tcPr>
                  <w:tcW w:w="708" w:type="pct"/>
                  <w:gridSpan w:val="2"/>
                  <w:vAlign w:val="center"/>
                </w:tcPr>
                <w:p w14:paraId="17CA1154">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b/>
                      <w:color w:val="auto"/>
                      <w:szCs w:val="21"/>
                    </w:rPr>
                    <w:t>噪声贡献值/dB(A)</w:t>
                  </w:r>
                </w:p>
              </w:tc>
              <w:tc>
                <w:tcPr>
                  <w:tcW w:w="700" w:type="pct"/>
                  <w:vAlign w:val="center"/>
                </w:tcPr>
                <w:p w14:paraId="4E8EC069">
                  <w:pPr>
                    <w:keepNext w:val="0"/>
                    <w:keepLines w:val="0"/>
                    <w:suppressLineNumbers w:val="0"/>
                    <w:spacing w:before="0" w:beforeAutospacing="0" w:after="0" w:afterAutospacing="0"/>
                    <w:ind w:left="0" w:right="0"/>
                    <w:jc w:val="left"/>
                    <w:rPr>
                      <w:rFonts w:hint="default" w:ascii="Times New Roman" w:hAnsi="Times New Roman" w:eastAsia="宋体"/>
                      <w:color w:val="auto"/>
                      <w:szCs w:val="21"/>
                    </w:rPr>
                  </w:pPr>
                  <w:r>
                    <w:rPr>
                      <w:rFonts w:hint="default" w:ascii="Times New Roman" w:hAnsi="Times New Roman" w:eastAsia="宋体"/>
                      <w:b/>
                      <w:color w:val="auto"/>
                      <w:szCs w:val="21"/>
                    </w:rPr>
                    <w:t>噪声预测值/dB(A)</w:t>
                  </w:r>
                </w:p>
              </w:tc>
              <w:tc>
                <w:tcPr>
                  <w:tcW w:w="607" w:type="pct"/>
                  <w:gridSpan w:val="2"/>
                  <w:vAlign w:val="center"/>
                </w:tcPr>
                <w:p w14:paraId="4EA79BC6">
                  <w:pPr>
                    <w:keepNext w:val="0"/>
                    <w:keepLines w:val="0"/>
                    <w:suppressLineNumbers w:val="0"/>
                    <w:spacing w:before="0" w:beforeAutospacing="0" w:after="0" w:afterAutospacing="0"/>
                    <w:ind w:left="0" w:right="0"/>
                    <w:jc w:val="left"/>
                    <w:rPr>
                      <w:rFonts w:hint="default" w:ascii="Times New Roman" w:hAnsi="Times New Roman" w:eastAsia="宋体"/>
                      <w:color w:val="auto"/>
                      <w:szCs w:val="21"/>
                    </w:rPr>
                  </w:pPr>
                  <w:r>
                    <w:rPr>
                      <w:rFonts w:hint="default" w:ascii="Times New Roman" w:hAnsi="Times New Roman" w:eastAsia="宋体"/>
                      <w:b/>
                      <w:color w:val="auto"/>
                      <w:szCs w:val="21"/>
                    </w:rPr>
                    <w:t>较现状增量/dB(A)</w:t>
                  </w:r>
                </w:p>
              </w:tc>
              <w:tc>
                <w:tcPr>
                  <w:tcW w:w="455" w:type="pct"/>
                  <w:vAlign w:val="center"/>
                </w:tcPr>
                <w:p w14:paraId="240C365D">
                  <w:pPr>
                    <w:keepNext w:val="0"/>
                    <w:keepLines w:val="0"/>
                    <w:suppressLineNumbers w:val="0"/>
                    <w:spacing w:before="0" w:beforeAutospacing="0" w:after="0" w:afterAutospacing="0"/>
                    <w:ind w:left="0" w:right="0"/>
                    <w:jc w:val="left"/>
                    <w:rPr>
                      <w:rFonts w:hint="default" w:ascii="Times New Roman" w:hAnsi="Times New Roman" w:eastAsia="宋体"/>
                      <w:color w:val="auto"/>
                      <w:szCs w:val="21"/>
                    </w:rPr>
                  </w:pPr>
                  <w:r>
                    <w:rPr>
                      <w:rFonts w:hint="default" w:ascii="Times New Roman" w:hAnsi="Times New Roman" w:eastAsia="宋体"/>
                      <w:b/>
                      <w:color w:val="auto"/>
                      <w:szCs w:val="21"/>
                    </w:rPr>
                    <w:t>超标和达标情况</w:t>
                  </w:r>
                </w:p>
              </w:tc>
            </w:tr>
            <w:tr w14:paraId="201782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3" w:type="pct"/>
                  <w:vMerge w:val="continue"/>
                  <w:shd w:val="clear" w:color="auto" w:fill="FFFFFF"/>
                  <w:vAlign w:val="center"/>
                </w:tcPr>
                <w:p w14:paraId="2AD7AB97">
                  <w:pPr>
                    <w:keepNext w:val="0"/>
                    <w:keepLines w:val="0"/>
                    <w:suppressLineNumbers w:val="0"/>
                    <w:spacing w:before="0" w:beforeAutospacing="0" w:after="0" w:afterAutospacing="0"/>
                    <w:ind w:left="0" w:right="0"/>
                    <w:jc w:val="left"/>
                    <w:rPr>
                      <w:rFonts w:hint="default" w:ascii="Times New Roman" w:hAnsi="Times New Roman" w:eastAsia="宋体"/>
                      <w:color w:val="auto"/>
                      <w:szCs w:val="21"/>
                    </w:rPr>
                  </w:pPr>
                </w:p>
              </w:tc>
              <w:tc>
                <w:tcPr>
                  <w:tcW w:w="698" w:type="pct"/>
                  <w:vMerge w:val="continue"/>
                  <w:shd w:val="clear" w:color="auto" w:fill="FFFFFF"/>
                  <w:vAlign w:val="center"/>
                </w:tcPr>
                <w:p w14:paraId="2A16D4DC">
                  <w:pPr>
                    <w:keepNext w:val="0"/>
                    <w:keepLines w:val="0"/>
                    <w:suppressLineNumbers w:val="0"/>
                    <w:spacing w:before="0" w:beforeAutospacing="0" w:after="0" w:afterAutospacing="0" w:line="360" w:lineRule="auto"/>
                    <w:ind w:left="0" w:right="0" w:firstLine="420" w:firstLineChars="200"/>
                    <w:jc w:val="left"/>
                    <w:rPr>
                      <w:rFonts w:hint="default" w:ascii="Times New Roman" w:hAnsi="Times New Roman" w:eastAsia="宋体"/>
                      <w:color w:val="auto"/>
                      <w:szCs w:val="21"/>
                    </w:rPr>
                  </w:pPr>
                </w:p>
              </w:tc>
              <w:tc>
                <w:tcPr>
                  <w:tcW w:w="708" w:type="pct"/>
                  <w:shd w:val="clear" w:color="auto" w:fill="FFFFFF"/>
                  <w:vAlign w:val="center"/>
                </w:tcPr>
                <w:p w14:paraId="2E04489A">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color w:val="auto"/>
                      <w:szCs w:val="21"/>
                    </w:rPr>
                    <w:t>昼间</w:t>
                  </w:r>
                </w:p>
              </w:tc>
              <w:tc>
                <w:tcPr>
                  <w:tcW w:w="708" w:type="pct"/>
                  <w:shd w:val="clear" w:color="auto" w:fill="FFFFFF"/>
                  <w:vAlign w:val="center"/>
                </w:tcPr>
                <w:p w14:paraId="14AA53E7">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color w:val="auto"/>
                      <w:szCs w:val="21"/>
                    </w:rPr>
                    <w:t>昼间</w:t>
                  </w:r>
                </w:p>
              </w:tc>
              <w:tc>
                <w:tcPr>
                  <w:tcW w:w="705" w:type="pct"/>
                  <w:shd w:val="clear" w:color="auto" w:fill="FFFFFF"/>
                  <w:vAlign w:val="center"/>
                </w:tcPr>
                <w:p w14:paraId="14449203">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color w:val="auto"/>
                      <w:szCs w:val="21"/>
                    </w:rPr>
                    <w:t>昼间</w:t>
                  </w:r>
                </w:p>
              </w:tc>
              <w:tc>
                <w:tcPr>
                  <w:tcW w:w="703" w:type="pct"/>
                  <w:gridSpan w:val="2"/>
                  <w:shd w:val="clear" w:color="auto" w:fill="FFFFFF"/>
                  <w:vAlign w:val="center"/>
                </w:tcPr>
                <w:p w14:paraId="2767B248">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color w:val="auto"/>
                      <w:szCs w:val="21"/>
                    </w:rPr>
                    <w:t>昼间</w:t>
                  </w:r>
                </w:p>
              </w:tc>
              <w:tc>
                <w:tcPr>
                  <w:tcW w:w="604" w:type="pct"/>
                  <w:shd w:val="clear" w:color="auto" w:fill="FFFFFF"/>
                  <w:vAlign w:val="center"/>
                </w:tcPr>
                <w:p w14:paraId="492D22F4">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color w:val="auto"/>
                      <w:szCs w:val="21"/>
                    </w:rPr>
                    <w:t>昼间</w:t>
                  </w:r>
                </w:p>
              </w:tc>
              <w:tc>
                <w:tcPr>
                  <w:tcW w:w="458" w:type="pct"/>
                  <w:gridSpan w:val="2"/>
                  <w:shd w:val="clear" w:color="auto" w:fill="FFFFFF"/>
                  <w:vAlign w:val="center"/>
                </w:tcPr>
                <w:p w14:paraId="2CAA545C">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color w:val="auto"/>
                      <w:szCs w:val="21"/>
                    </w:rPr>
                    <w:t>昼间</w:t>
                  </w:r>
                </w:p>
              </w:tc>
            </w:tr>
            <w:tr w14:paraId="0B7AA9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413" w:type="pct"/>
                  <w:shd w:val="clear" w:color="auto" w:fill="FFFFFF"/>
                  <w:vAlign w:val="center"/>
                </w:tcPr>
                <w:p w14:paraId="250D4464">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olor w:val="auto"/>
                      <w:szCs w:val="21"/>
                    </w:rPr>
                  </w:pPr>
                  <w:r>
                    <w:rPr>
                      <w:rFonts w:hint="default" w:ascii="Times New Roman" w:hAnsi="Times New Roman" w:eastAsia="宋体"/>
                      <w:color w:val="auto"/>
                      <w:szCs w:val="21"/>
                    </w:rPr>
                    <w:t>1</w:t>
                  </w:r>
                </w:p>
              </w:tc>
              <w:tc>
                <w:tcPr>
                  <w:tcW w:w="698" w:type="pct"/>
                  <w:shd w:val="clear" w:color="auto" w:fill="FFFFFF"/>
                  <w:vAlign w:val="center"/>
                </w:tcPr>
                <w:p w14:paraId="5575403D">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olor w:val="auto"/>
                      <w:szCs w:val="21"/>
                    </w:rPr>
                  </w:pPr>
                  <w:r>
                    <w:rPr>
                      <w:rFonts w:hint="eastAsia"/>
                      <w:color w:val="auto"/>
                      <w:szCs w:val="21"/>
                      <w:lang w:val="en-US" w:eastAsia="zh-CN"/>
                    </w:rPr>
                    <w:t>大鱼箭</w:t>
                  </w:r>
                  <w:r>
                    <w:rPr>
                      <w:rFonts w:hint="eastAsia" w:ascii="Times New Roman" w:hAnsi="Times New Roman" w:eastAsia="宋体"/>
                      <w:color w:val="auto"/>
                      <w:szCs w:val="21"/>
                    </w:rPr>
                    <w:t>1#居民点</w:t>
                  </w:r>
                </w:p>
              </w:tc>
              <w:tc>
                <w:tcPr>
                  <w:tcW w:w="708" w:type="pct"/>
                  <w:shd w:val="clear" w:color="auto" w:fill="FFFFFF"/>
                  <w:vAlign w:val="center"/>
                </w:tcPr>
                <w:p w14:paraId="7A948982">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olor w:val="auto"/>
                      <w:szCs w:val="21"/>
                      <w:lang w:val="en-US" w:eastAsia="zh-CN"/>
                    </w:rPr>
                  </w:pPr>
                  <w:r>
                    <w:rPr>
                      <w:rFonts w:hint="eastAsia"/>
                      <w:color w:val="auto"/>
                      <w:szCs w:val="21"/>
                      <w:lang w:val="en-US" w:eastAsia="zh-CN"/>
                    </w:rPr>
                    <w:t>55</w:t>
                  </w:r>
                </w:p>
              </w:tc>
              <w:tc>
                <w:tcPr>
                  <w:tcW w:w="708" w:type="pct"/>
                  <w:shd w:val="clear" w:color="auto" w:fill="FFFFFF"/>
                  <w:vAlign w:val="center"/>
                </w:tcPr>
                <w:p w14:paraId="03FC1676">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olor w:val="auto"/>
                      <w:szCs w:val="21"/>
                      <w:lang w:val="en-US" w:eastAsia="zh-CN"/>
                    </w:rPr>
                  </w:pPr>
                  <w:r>
                    <w:rPr>
                      <w:rFonts w:hint="eastAsia"/>
                      <w:color w:val="auto"/>
                      <w:szCs w:val="21"/>
                      <w:lang w:val="en-US" w:eastAsia="zh-CN"/>
                    </w:rPr>
                    <w:t>60</w:t>
                  </w:r>
                </w:p>
              </w:tc>
              <w:tc>
                <w:tcPr>
                  <w:tcW w:w="705" w:type="pct"/>
                  <w:shd w:val="clear" w:color="auto" w:fill="FFFFFF"/>
                  <w:vAlign w:val="center"/>
                </w:tcPr>
                <w:p w14:paraId="69136F13">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olor w:val="auto"/>
                      <w:szCs w:val="21"/>
                      <w:lang w:val="en-US" w:eastAsia="zh-CN"/>
                    </w:rPr>
                  </w:pPr>
                  <w:r>
                    <w:rPr>
                      <w:rFonts w:hint="eastAsia"/>
                      <w:color w:val="auto"/>
                      <w:szCs w:val="21"/>
                      <w:lang w:val="en-US" w:eastAsia="zh-CN"/>
                    </w:rPr>
                    <w:t>36.92</w:t>
                  </w:r>
                </w:p>
              </w:tc>
              <w:tc>
                <w:tcPr>
                  <w:tcW w:w="703" w:type="pct"/>
                  <w:gridSpan w:val="2"/>
                  <w:shd w:val="clear" w:color="auto" w:fill="FFFFFF"/>
                  <w:vAlign w:val="center"/>
                </w:tcPr>
                <w:p w14:paraId="7F819BB8">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olor w:val="auto"/>
                      <w:szCs w:val="21"/>
                      <w:lang w:val="en-US" w:eastAsia="zh-CN"/>
                    </w:rPr>
                  </w:pPr>
                  <w:r>
                    <w:rPr>
                      <w:rFonts w:hint="eastAsia"/>
                      <w:color w:val="auto"/>
                      <w:szCs w:val="21"/>
                      <w:lang w:val="en-US" w:eastAsia="zh-CN"/>
                    </w:rPr>
                    <w:t>55.07</w:t>
                  </w:r>
                </w:p>
              </w:tc>
              <w:tc>
                <w:tcPr>
                  <w:tcW w:w="604" w:type="pct"/>
                  <w:shd w:val="clear" w:color="auto" w:fill="FFFFFF"/>
                  <w:vAlign w:val="center"/>
                </w:tcPr>
                <w:p w14:paraId="56DA96DF">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olor w:val="auto"/>
                      <w:szCs w:val="21"/>
                      <w:lang w:val="en-US" w:eastAsia="zh-CN"/>
                    </w:rPr>
                  </w:pPr>
                  <w:r>
                    <w:rPr>
                      <w:rFonts w:hint="eastAsia"/>
                      <w:color w:val="auto"/>
                      <w:szCs w:val="21"/>
                      <w:lang w:val="en-US" w:eastAsia="zh-CN"/>
                    </w:rPr>
                    <w:t>0.07</w:t>
                  </w:r>
                </w:p>
              </w:tc>
              <w:tc>
                <w:tcPr>
                  <w:tcW w:w="458" w:type="pct"/>
                  <w:gridSpan w:val="2"/>
                  <w:shd w:val="clear" w:color="auto" w:fill="FFFFFF"/>
                  <w:vAlign w:val="center"/>
                </w:tcPr>
                <w:p w14:paraId="5F62AC0C">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olor w:val="auto"/>
                      <w:szCs w:val="21"/>
                    </w:rPr>
                  </w:pPr>
                  <w:r>
                    <w:rPr>
                      <w:rFonts w:hint="default" w:ascii="Times New Roman" w:hAnsi="Times New Roman" w:eastAsia="宋体"/>
                      <w:color w:val="auto"/>
                      <w:szCs w:val="21"/>
                    </w:rPr>
                    <w:t>达标</w:t>
                  </w:r>
                </w:p>
              </w:tc>
            </w:tr>
            <w:tr w14:paraId="74F831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413" w:type="pct"/>
                  <w:shd w:val="clear" w:color="auto" w:fill="FFFFFF"/>
                  <w:vAlign w:val="center"/>
                </w:tcPr>
                <w:p w14:paraId="2BBA8976">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olor w:val="auto"/>
                      <w:szCs w:val="21"/>
                    </w:rPr>
                  </w:pPr>
                  <w:r>
                    <w:rPr>
                      <w:rFonts w:hint="eastAsia" w:ascii="Times New Roman" w:hAnsi="Times New Roman" w:eastAsia="宋体"/>
                      <w:color w:val="auto"/>
                      <w:szCs w:val="21"/>
                    </w:rPr>
                    <w:t>2</w:t>
                  </w:r>
                </w:p>
              </w:tc>
              <w:tc>
                <w:tcPr>
                  <w:tcW w:w="698" w:type="pct"/>
                  <w:shd w:val="clear" w:color="auto" w:fill="FFFFFF"/>
                  <w:vAlign w:val="center"/>
                </w:tcPr>
                <w:p w14:paraId="3FACC1C2">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olor w:val="auto"/>
                      <w:szCs w:val="21"/>
                    </w:rPr>
                  </w:pPr>
                  <w:r>
                    <w:rPr>
                      <w:rFonts w:hint="eastAsia"/>
                      <w:color w:val="auto"/>
                      <w:szCs w:val="21"/>
                      <w:lang w:val="en-US" w:eastAsia="zh-CN"/>
                    </w:rPr>
                    <w:t>大鱼箭2</w:t>
                  </w:r>
                  <w:r>
                    <w:rPr>
                      <w:rFonts w:hint="eastAsia" w:ascii="Times New Roman" w:hAnsi="Times New Roman" w:eastAsia="宋体"/>
                      <w:color w:val="auto"/>
                      <w:szCs w:val="21"/>
                    </w:rPr>
                    <w:t>#居民点</w:t>
                  </w:r>
                </w:p>
              </w:tc>
              <w:tc>
                <w:tcPr>
                  <w:tcW w:w="708" w:type="pct"/>
                  <w:shd w:val="clear" w:color="auto" w:fill="FFFFFF"/>
                  <w:vAlign w:val="center"/>
                </w:tcPr>
                <w:p w14:paraId="179CC7CB">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olor w:val="auto"/>
                      <w:szCs w:val="21"/>
                      <w:lang w:val="en-US" w:eastAsia="zh-CN"/>
                    </w:rPr>
                  </w:pPr>
                  <w:r>
                    <w:rPr>
                      <w:rFonts w:hint="eastAsia"/>
                      <w:color w:val="auto"/>
                      <w:szCs w:val="21"/>
                      <w:lang w:val="en-US" w:eastAsia="zh-CN"/>
                    </w:rPr>
                    <w:t>57</w:t>
                  </w:r>
                </w:p>
              </w:tc>
              <w:tc>
                <w:tcPr>
                  <w:tcW w:w="708" w:type="pct"/>
                  <w:shd w:val="clear" w:color="auto" w:fill="FFFFFF"/>
                  <w:vAlign w:val="center"/>
                </w:tcPr>
                <w:p w14:paraId="69C05E8C">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olor w:val="auto"/>
                      <w:szCs w:val="21"/>
                    </w:rPr>
                  </w:pPr>
                  <w:r>
                    <w:rPr>
                      <w:rFonts w:hint="eastAsia"/>
                      <w:color w:val="auto"/>
                      <w:szCs w:val="21"/>
                      <w:lang w:val="en-US" w:eastAsia="zh-CN"/>
                    </w:rPr>
                    <w:t>60</w:t>
                  </w:r>
                </w:p>
              </w:tc>
              <w:tc>
                <w:tcPr>
                  <w:tcW w:w="705" w:type="pct"/>
                  <w:shd w:val="clear" w:color="auto" w:fill="FFFFFF"/>
                  <w:vAlign w:val="center"/>
                </w:tcPr>
                <w:p w14:paraId="29568003">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olor w:val="auto"/>
                      <w:szCs w:val="21"/>
                      <w:lang w:val="en-US" w:eastAsia="zh-CN"/>
                    </w:rPr>
                  </w:pPr>
                  <w:r>
                    <w:rPr>
                      <w:rFonts w:hint="eastAsia"/>
                      <w:color w:val="auto"/>
                      <w:szCs w:val="21"/>
                      <w:lang w:val="en-US" w:eastAsia="zh-CN"/>
                    </w:rPr>
                    <w:t>37.53</w:t>
                  </w:r>
                </w:p>
              </w:tc>
              <w:tc>
                <w:tcPr>
                  <w:tcW w:w="703" w:type="pct"/>
                  <w:gridSpan w:val="2"/>
                  <w:shd w:val="clear" w:color="auto" w:fill="FFFFFF"/>
                  <w:vAlign w:val="center"/>
                </w:tcPr>
                <w:p w14:paraId="2E0227C5">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olor w:val="auto"/>
                      <w:szCs w:val="21"/>
                      <w:lang w:val="en-US" w:eastAsia="zh-CN"/>
                    </w:rPr>
                  </w:pPr>
                  <w:r>
                    <w:rPr>
                      <w:rFonts w:hint="eastAsia"/>
                      <w:color w:val="auto"/>
                      <w:szCs w:val="21"/>
                      <w:lang w:val="en-US" w:eastAsia="zh-CN"/>
                    </w:rPr>
                    <w:t>57.05</w:t>
                  </w:r>
                </w:p>
              </w:tc>
              <w:tc>
                <w:tcPr>
                  <w:tcW w:w="604" w:type="pct"/>
                  <w:shd w:val="clear" w:color="auto" w:fill="FFFFFF"/>
                  <w:vAlign w:val="center"/>
                </w:tcPr>
                <w:p w14:paraId="74B818ED">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olor w:val="auto"/>
                      <w:szCs w:val="21"/>
                      <w:lang w:val="en-US" w:eastAsia="zh-CN"/>
                    </w:rPr>
                  </w:pPr>
                  <w:r>
                    <w:rPr>
                      <w:rFonts w:hint="eastAsia"/>
                      <w:color w:val="auto"/>
                      <w:szCs w:val="21"/>
                      <w:lang w:val="en-US" w:eastAsia="zh-CN"/>
                    </w:rPr>
                    <w:t>0.05</w:t>
                  </w:r>
                </w:p>
              </w:tc>
              <w:tc>
                <w:tcPr>
                  <w:tcW w:w="458" w:type="pct"/>
                  <w:gridSpan w:val="2"/>
                  <w:shd w:val="clear" w:color="auto" w:fill="FFFFFF"/>
                  <w:vAlign w:val="center"/>
                </w:tcPr>
                <w:p w14:paraId="6BA803C9">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olor w:val="auto"/>
                      <w:szCs w:val="21"/>
                    </w:rPr>
                  </w:pPr>
                  <w:r>
                    <w:rPr>
                      <w:rFonts w:hint="default" w:ascii="Times New Roman" w:hAnsi="Times New Roman" w:eastAsia="宋体"/>
                      <w:color w:val="auto"/>
                      <w:szCs w:val="21"/>
                    </w:rPr>
                    <w:t>达标</w:t>
                  </w:r>
                </w:p>
              </w:tc>
            </w:tr>
            <w:tr w14:paraId="6382D0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413" w:type="pct"/>
                  <w:shd w:val="clear" w:color="auto" w:fill="FFFFFF"/>
                  <w:vAlign w:val="center"/>
                </w:tcPr>
                <w:p w14:paraId="4135C172">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olor w:val="auto"/>
                      <w:szCs w:val="21"/>
                    </w:rPr>
                  </w:pPr>
                  <w:r>
                    <w:rPr>
                      <w:rFonts w:hint="eastAsia" w:ascii="Times New Roman" w:hAnsi="Times New Roman" w:eastAsia="宋体"/>
                      <w:color w:val="auto"/>
                      <w:szCs w:val="21"/>
                    </w:rPr>
                    <w:t>3</w:t>
                  </w:r>
                </w:p>
              </w:tc>
              <w:tc>
                <w:tcPr>
                  <w:tcW w:w="698" w:type="pct"/>
                  <w:shd w:val="clear" w:color="auto" w:fill="FFFFFF"/>
                  <w:vAlign w:val="center"/>
                </w:tcPr>
                <w:p w14:paraId="1AA863AC">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olor w:val="auto"/>
                      <w:szCs w:val="21"/>
                      <w:lang w:val="en-US" w:eastAsia="zh-CN"/>
                    </w:rPr>
                  </w:pPr>
                  <w:r>
                    <w:rPr>
                      <w:rFonts w:hint="eastAsia"/>
                      <w:color w:val="auto"/>
                      <w:szCs w:val="21"/>
                      <w:lang w:val="en-US" w:eastAsia="zh-CN"/>
                    </w:rPr>
                    <w:t>张家湾1#居民点</w:t>
                  </w:r>
                </w:p>
              </w:tc>
              <w:tc>
                <w:tcPr>
                  <w:tcW w:w="708" w:type="pct"/>
                  <w:shd w:val="clear" w:color="auto" w:fill="FFFFFF"/>
                  <w:vAlign w:val="center"/>
                </w:tcPr>
                <w:p w14:paraId="7959448D">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olor w:val="auto"/>
                      <w:szCs w:val="21"/>
                      <w:lang w:val="en-US" w:eastAsia="zh-CN"/>
                    </w:rPr>
                  </w:pPr>
                  <w:r>
                    <w:rPr>
                      <w:rFonts w:hint="eastAsia"/>
                      <w:color w:val="auto"/>
                      <w:szCs w:val="21"/>
                      <w:lang w:val="en-US" w:eastAsia="zh-CN"/>
                    </w:rPr>
                    <w:t>56</w:t>
                  </w:r>
                </w:p>
              </w:tc>
              <w:tc>
                <w:tcPr>
                  <w:tcW w:w="708" w:type="pct"/>
                  <w:shd w:val="clear" w:color="auto" w:fill="FFFFFF"/>
                  <w:vAlign w:val="center"/>
                </w:tcPr>
                <w:p w14:paraId="5477A219">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olor w:val="auto"/>
                      <w:szCs w:val="21"/>
                    </w:rPr>
                  </w:pPr>
                  <w:r>
                    <w:rPr>
                      <w:rFonts w:hint="eastAsia"/>
                      <w:color w:val="auto"/>
                      <w:szCs w:val="21"/>
                      <w:lang w:val="en-US" w:eastAsia="zh-CN"/>
                    </w:rPr>
                    <w:t>60</w:t>
                  </w:r>
                </w:p>
              </w:tc>
              <w:tc>
                <w:tcPr>
                  <w:tcW w:w="705" w:type="pct"/>
                  <w:shd w:val="clear" w:color="auto" w:fill="FFFFFF"/>
                  <w:vAlign w:val="center"/>
                </w:tcPr>
                <w:p w14:paraId="3AF7C071">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olor w:val="auto"/>
                      <w:szCs w:val="21"/>
                      <w:lang w:val="en-US" w:eastAsia="zh-CN"/>
                    </w:rPr>
                  </w:pPr>
                  <w:r>
                    <w:rPr>
                      <w:rFonts w:hint="eastAsia"/>
                      <w:color w:val="auto"/>
                      <w:szCs w:val="21"/>
                      <w:lang w:val="en-US" w:eastAsia="zh-CN"/>
                    </w:rPr>
                    <w:t>41.29</w:t>
                  </w:r>
                </w:p>
              </w:tc>
              <w:tc>
                <w:tcPr>
                  <w:tcW w:w="703" w:type="pct"/>
                  <w:gridSpan w:val="2"/>
                  <w:shd w:val="clear" w:color="auto" w:fill="FFFFFF"/>
                  <w:vAlign w:val="center"/>
                </w:tcPr>
                <w:p w14:paraId="1EF335EA">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olor w:val="auto"/>
                      <w:szCs w:val="21"/>
                      <w:lang w:val="en-US" w:eastAsia="zh-CN"/>
                    </w:rPr>
                  </w:pPr>
                  <w:r>
                    <w:rPr>
                      <w:rFonts w:hint="eastAsia"/>
                      <w:color w:val="auto"/>
                      <w:szCs w:val="21"/>
                      <w:lang w:val="en-US" w:eastAsia="zh-CN"/>
                    </w:rPr>
                    <w:t>56.14</w:t>
                  </w:r>
                </w:p>
              </w:tc>
              <w:tc>
                <w:tcPr>
                  <w:tcW w:w="604" w:type="pct"/>
                  <w:shd w:val="clear" w:color="auto" w:fill="FFFFFF"/>
                  <w:vAlign w:val="center"/>
                </w:tcPr>
                <w:p w14:paraId="00AABCB5">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olor w:val="auto"/>
                      <w:szCs w:val="21"/>
                      <w:lang w:val="en-US" w:eastAsia="zh-CN"/>
                    </w:rPr>
                  </w:pPr>
                  <w:r>
                    <w:rPr>
                      <w:rFonts w:hint="eastAsia"/>
                      <w:color w:val="auto"/>
                      <w:szCs w:val="21"/>
                      <w:lang w:val="en-US" w:eastAsia="zh-CN"/>
                    </w:rPr>
                    <w:t>0.14</w:t>
                  </w:r>
                </w:p>
              </w:tc>
              <w:tc>
                <w:tcPr>
                  <w:tcW w:w="458" w:type="pct"/>
                  <w:gridSpan w:val="2"/>
                  <w:shd w:val="clear" w:color="auto" w:fill="FFFFFF"/>
                  <w:vAlign w:val="center"/>
                </w:tcPr>
                <w:p w14:paraId="35EB2433">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olor w:val="auto"/>
                      <w:szCs w:val="21"/>
                    </w:rPr>
                  </w:pPr>
                  <w:r>
                    <w:rPr>
                      <w:rFonts w:hint="default" w:ascii="Times New Roman" w:hAnsi="Times New Roman" w:eastAsia="宋体"/>
                      <w:color w:val="auto"/>
                      <w:szCs w:val="21"/>
                    </w:rPr>
                    <w:t>达标</w:t>
                  </w:r>
                </w:p>
              </w:tc>
            </w:tr>
          </w:tbl>
          <w:p w14:paraId="5E38EE17">
            <w:pPr>
              <w:pStyle w:val="2"/>
              <w:keepNext w:val="0"/>
              <w:keepLines w:val="0"/>
              <w:suppressLineNumbers w:val="0"/>
              <w:spacing w:before="0" w:beforeAutospacing="0" w:afterAutospacing="0"/>
              <w:ind w:left="0" w:leftChars="0" w:right="0" w:rightChars="0" w:firstLine="0" w:firstLineChars="0"/>
              <w:jc w:val="center"/>
              <w:rPr>
                <w:rFonts w:hint="default"/>
              </w:rPr>
            </w:pPr>
            <w:r>
              <w:rPr>
                <w:rFonts w:hint="default"/>
              </w:rPr>
              <w:drawing>
                <wp:inline distT="0" distB="0" distL="114300" distR="114300">
                  <wp:extent cx="4895850" cy="4133850"/>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36"/>
                          <a:stretch>
                            <a:fillRect/>
                          </a:stretch>
                        </pic:blipFill>
                        <pic:spPr>
                          <a:xfrm>
                            <a:off x="0" y="0"/>
                            <a:ext cx="4895850" cy="4133850"/>
                          </a:xfrm>
                          <a:prstGeom prst="rect">
                            <a:avLst/>
                          </a:prstGeom>
                          <a:noFill/>
                          <a:ln>
                            <a:noFill/>
                          </a:ln>
                        </pic:spPr>
                      </pic:pic>
                    </a:graphicData>
                  </a:graphic>
                </wp:inline>
              </w:drawing>
            </w:r>
          </w:p>
          <w:p w14:paraId="3623D021">
            <w:pPr>
              <w:keepNext w:val="0"/>
              <w:keepLines w:val="0"/>
              <w:suppressLineNumbers w:val="0"/>
              <w:spacing w:before="120" w:beforeLines="50" w:beforeAutospacing="0" w:after="0" w:afterAutospacing="0" w:line="360" w:lineRule="auto"/>
              <w:ind w:left="0" w:leftChars="0" w:right="0" w:rightChars="0" w:firstLine="0" w:firstLineChars="0"/>
              <w:jc w:val="center"/>
              <w:rPr>
                <w:rFonts w:hint="default" w:ascii="Times New Roman" w:hAnsi="Times New Roman" w:eastAsia="宋体"/>
                <w:b/>
                <w:bCs/>
                <w:color w:val="auto"/>
                <w:sz w:val="21"/>
                <w:szCs w:val="21"/>
                <w:lang w:val="en-US" w:eastAsia="zh-CN"/>
              </w:rPr>
            </w:pPr>
            <w:r>
              <w:rPr>
                <w:rFonts w:hint="eastAsia"/>
                <w:b/>
                <w:bCs/>
                <w:color w:val="auto"/>
                <w:sz w:val="21"/>
                <w:szCs w:val="21"/>
                <w:lang w:val="en-US" w:eastAsia="zh-CN"/>
              </w:rPr>
              <w:t>图4-1  本项目噪预测结果图</w:t>
            </w:r>
          </w:p>
          <w:p w14:paraId="13F1A6A8">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rPr>
            </w:pPr>
            <w:r>
              <w:rPr>
                <w:rFonts w:hint="default" w:ascii="Times New Roman" w:hAnsi="Times New Roman" w:eastAsia="宋体"/>
                <w:color w:val="auto"/>
                <w:sz w:val="24"/>
              </w:rPr>
              <w:t>本项目噪声均采取相应的防治措施，经治理后，根据预测结果，项目</w:t>
            </w:r>
            <w:r>
              <w:rPr>
                <w:rFonts w:hint="eastAsia"/>
                <w:color w:val="auto"/>
                <w:sz w:val="24"/>
                <w:lang w:val="en-US" w:eastAsia="zh-CN"/>
              </w:rPr>
              <w:t>昼间</w:t>
            </w:r>
            <w:r>
              <w:rPr>
                <w:rFonts w:hint="eastAsia" w:ascii="Times New Roman" w:hAnsi="Times New Roman" w:eastAsia="宋体"/>
                <w:color w:val="auto"/>
                <w:sz w:val="24"/>
              </w:rPr>
              <w:t>厂</w:t>
            </w:r>
            <w:r>
              <w:rPr>
                <w:rFonts w:hint="default" w:ascii="Times New Roman" w:hAnsi="Times New Roman" w:eastAsia="宋体"/>
                <w:color w:val="auto"/>
                <w:sz w:val="24"/>
              </w:rPr>
              <w:t>界噪声均能达到《工业企业厂界环境噪声排放标准》（GB12348-2008）</w:t>
            </w:r>
            <w:r>
              <w:rPr>
                <w:rFonts w:hint="eastAsia" w:ascii="Times New Roman" w:hAnsi="Times New Roman" w:eastAsia="宋体"/>
                <w:color w:val="auto"/>
                <w:sz w:val="24"/>
              </w:rPr>
              <w:t>表1</w:t>
            </w:r>
            <w:r>
              <w:rPr>
                <w:rFonts w:hint="default" w:ascii="Times New Roman" w:hAnsi="Times New Roman" w:eastAsia="宋体"/>
                <w:color w:val="auto"/>
                <w:sz w:val="24"/>
              </w:rPr>
              <w:t>中</w:t>
            </w:r>
            <w:r>
              <w:rPr>
                <w:rFonts w:hint="eastAsia" w:ascii="Times New Roman" w:hAnsi="Times New Roman" w:eastAsia="宋体"/>
                <w:color w:val="auto"/>
                <w:sz w:val="24"/>
              </w:rPr>
              <w:t>2</w:t>
            </w:r>
            <w:r>
              <w:rPr>
                <w:rFonts w:hint="default" w:ascii="Times New Roman" w:hAnsi="Times New Roman" w:eastAsia="宋体"/>
                <w:color w:val="auto"/>
                <w:sz w:val="24"/>
              </w:rPr>
              <w:t>类标准限值要求</w:t>
            </w:r>
            <w:r>
              <w:rPr>
                <w:rFonts w:hint="eastAsia" w:ascii="Times New Roman" w:hAnsi="Times New Roman" w:eastAsia="宋体"/>
                <w:color w:val="auto"/>
                <w:sz w:val="24"/>
              </w:rPr>
              <w:t>；厂界外</w:t>
            </w:r>
            <w:r>
              <w:rPr>
                <w:rFonts w:hint="eastAsia"/>
                <w:color w:val="auto"/>
                <w:sz w:val="24"/>
                <w:lang w:val="en-US" w:eastAsia="zh-CN"/>
              </w:rPr>
              <w:t>大鱼箭</w:t>
            </w:r>
            <w:r>
              <w:rPr>
                <w:rFonts w:hint="eastAsia" w:ascii="Times New Roman" w:hAnsi="Times New Roman" w:eastAsia="宋体"/>
                <w:color w:val="auto"/>
                <w:sz w:val="24"/>
              </w:rPr>
              <w:t>1#居民点、</w:t>
            </w:r>
            <w:r>
              <w:rPr>
                <w:rFonts w:hint="eastAsia"/>
                <w:color w:val="auto"/>
                <w:sz w:val="24"/>
                <w:lang w:val="en-US" w:eastAsia="zh-CN"/>
              </w:rPr>
              <w:t>大鱼箭2</w:t>
            </w:r>
            <w:r>
              <w:rPr>
                <w:rFonts w:hint="eastAsia" w:ascii="Times New Roman" w:hAnsi="Times New Roman" w:eastAsia="宋体"/>
                <w:color w:val="auto"/>
                <w:sz w:val="24"/>
              </w:rPr>
              <w:t>#居民点、</w:t>
            </w:r>
            <w:r>
              <w:rPr>
                <w:rFonts w:hint="eastAsia"/>
                <w:color w:val="auto"/>
                <w:sz w:val="24"/>
                <w:lang w:val="en-US" w:eastAsia="zh-CN"/>
              </w:rPr>
              <w:t>张家湾1#居民点</w:t>
            </w:r>
            <w:r>
              <w:rPr>
                <w:rFonts w:hint="eastAsia" w:ascii="Times New Roman" w:hAnsi="Times New Roman" w:eastAsia="宋体"/>
                <w:color w:val="auto"/>
                <w:sz w:val="24"/>
              </w:rPr>
              <w:t>处</w:t>
            </w:r>
            <w:r>
              <w:rPr>
                <w:rFonts w:hint="eastAsia"/>
                <w:color w:val="auto"/>
                <w:sz w:val="24"/>
                <w:lang w:val="en-US" w:eastAsia="zh-CN"/>
              </w:rPr>
              <w:t>昼间</w:t>
            </w:r>
            <w:r>
              <w:rPr>
                <w:rFonts w:hint="eastAsia" w:ascii="Times New Roman" w:hAnsi="Times New Roman" w:eastAsia="宋体"/>
                <w:color w:val="auto"/>
                <w:sz w:val="24"/>
              </w:rPr>
              <w:t>声环境质量能达到《声环境质量标准》（GB3096-2008）表1中</w:t>
            </w:r>
            <w:r>
              <w:rPr>
                <w:rFonts w:hint="eastAsia"/>
                <w:color w:val="auto"/>
                <w:sz w:val="24"/>
                <w:lang w:val="en-US" w:eastAsia="zh-CN"/>
              </w:rPr>
              <w:t>2</w:t>
            </w:r>
            <w:r>
              <w:rPr>
                <w:rFonts w:hint="eastAsia" w:ascii="Times New Roman" w:hAnsi="Times New Roman" w:eastAsia="宋体"/>
                <w:color w:val="auto"/>
                <w:sz w:val="24"/>
              </w:rPr>
              <w:t>类标准限值</w:t>
            </w:r>
            <w:r>
              <w:rPr>
                <w:rFonts w:hint="default" w:ascii="Times New Roman" w:hAnsi="Times New Roman" w:eastAsia="宋体"/>
                <w:color w:val="auto"/>
                <w:sz w:val="24"/>
              </w:rPr>
              <w:t>。</w:t>
            </w:r>
          </w:p>
          <w:p w14:paraId="32C47AED">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rPr>
            </w:pPr>
            <w:r>
              <w:rPr>
                <w:rFonts w:hint="eastAsia" w:ascii="Times New Roman" w:hAnsi="Times New Roman" w:eastAsia="宋体" w:cs="Times New Roman"/>
                <w:b/>
                <w:bCs/>
                <w:color w:val="auto"/>
                <w:sz w:val="24"/>
              </w:rPr>
              <w:t>4、声环境监测计划</w:t>
            </w:r>
          </w:p>
          <w:p w14:paraId="33573C2F">
            <w:pPr>
              <w:pStyle w:val="99"/>
              <w:keepNext w:val="0"/>
              <w:keepLines w:val="0"/>
              <w:suppressLineNumbers w:val="0"/>
              <w:spacing w:before="0" w:beforeAutospacing="0" w:after="0" w:afterAutospacing="0" w:line="360" w:lineRule="auto"/>
              <w:ind w:left="0" w:right="0" w:firstLine="480"/>
              <w:jc w:val="both"/>
              <w:rPr>
                <w:rFonts w:hint="default" w:ascii="Times New Roman" w:hAnsi="Times New Roman" w:eastAsia="宋体" w:cs="宋体"/>
                <w:b w:val="0"/>
                <w:bCs/>
                <w:color w:val="auto"/>
              </w:rPr>
            </w:pPr>
            <w:r>
              <w:rPr>
                <w:rFonts w:hint="eastAsia" w:ascii="Times New Roman" w:hAnsi="Times New Roman" w:eastAsia="宋体" w:cs="Times New Roman"/>
                <w:b w:val="0"/>
                <w:bCs/>
                <w:color w:val="auto"/>
                <w:kern w:val="2"/>
                <w:szCs w:val="18"/>
              </w:rPr>
              <w:t>本次评价根据《排污单位自行监测技术指南总则》（HJ819-2017）制定噪声自行监测计划如下。</w:t>
            </w:r>
          </w:p>
          <w:p w14:paraId="41F13D90">
            <w:pPr>
              <w:pStyle w:val="99"/>
              <w:keepNext w:val="0"/>
              <w:keepLines w:val="0"/>
              <w:suppressLineNumbers w:val="0"/>
              <w:spacing w:before="120" w:beforeLines="50" w:beforeAutospacing="0" w:after="0" w:afterAutospacing="0" w:line="240" w:lineRule="auto"/>
              <w:ind w:left="0" w:right="0" w:firstLine="0" w:firstLineChars="0"/>
              <w:rPr>
                <w:rFonts w:hint="default"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表4-</w:t>
            </w:r>
            <w:r>
              <w:rPr>
                <w:rFonts w:hint="eastAsia" w:cs="宋体"/>
                <w:b/>
                <w:bCs/>
                <w:color w:val="auto"/>
                <w:sz w:val="21"/>
                <w:szCs w:val="21"/>
                <w:lang w:val="en-US" w:eastAsia="zh-CN"/>
              </w:rPr>
              <w:t>11</w:t>
            </w:r>
            <w:r>
              <w:rPr>
                <w:rFonts w:hint="eastAsia" w:ascii="Times New Roman" w:hAnsi="Times New Roman" w:eastAsia="宋体" w:cs="宋体"/>
                <w:b/>
                <w:bCs/>
                <w:color w:val="auto"/>
                <w:sz w:val="21"/>
                <w:szCs w:val="21"/>
              </w:rPr>
              <w:t xml:space="preserve">  本项目营运期噪声自行监测计划一览表</w:t>
            </w:r>
          </w:p>
          <w:tbl>
            <w:tblPr>
              <w:tblStyle w:val="25"/>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651"/>
              <w:gridCol w:w="2654"/>
              <w:gridCol w:w="2654"/>
            </w:tblGrid>
            <w:tr w14:paraId="3181C5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5" w:type="pct"/>
                  <w:noWrap w:val="0"/>
                  <w:vAlign w:val="center"/>
                </w:tcPr>
                <w:p w14:paraId="76B34CFA">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监测点位</w:t>
                  </w:r>
                </w:p>
              </w:tc>
              <w:tc>
                <w:tcPr>
                  <w:tcW w:w="1667" w:type="pct"/>
                  <w:noWrap w:val="0"/>
                  <w:vAlign w:val="center"/>
                </w:tcPr>
                <w:p w14:paraId="392CD783">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监测项目</w:t>
                  </w:r>
                </w:p>
              </w:tc>
              <w:tc>
                <w:tcPr>
                  <w:tcW w:w="1667" w:type="pct"/>
                  <w:noWrap w:val="0"/>
                  <w:vAlign w:val="center"/>
                </w:tcPr>
                <w:p w14:paraId="74849AD8">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监测频率</w:t>
                  </w:r>
                </w:p>
              </w:tc>
            </w:tr>
            <w:tr w14:paraId="473722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5" w:type="pct"/>
                  <w:noWrap w:val="0"/>
                  <w:vAlign w:val="center"/>
                </w:tcPr>
                <w:p w14:paraId="27287654">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厂界四周</w:t>
                  </w:r>
                </w:p>
              </w:tc>
              <w:tc>
                <w:tcPr>
                  <w:tcW w:w="1667" w:type="pct"/>
                  <w:vMerge w:val="restart"/>
                  <w:noWrap w:val="0"/>
                  <w:vAlign w:val="center"/>
                </w:tcPr>
                <w:p w14:paraId="35B7C4C9">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等效连续</w:t>
                  </w:r>
                  <w:r>
                    <w:rPr>
                      <w:rFonts w:hint="eastAsia" w:ascii="Times New Roman" w:hAnsi="Times New Roman" w:eastAsia="宋体" w:cs="Times New Roman"/>
                      <w:color w:val="auto"/>
                      <w:sz w:val="21"/>
                      <w:szCs w:val="21"/>
                    </w:rPr>
                    <w:t>A</w:t>
                  </w:r>
                  <w:r>
                    <w:rPr>
                      <w:rFonts w:hint="default" w:ascii="Times New Roman" w:hAnsi="Times New Roman" w:eastAsia="宋体" w:cs="Times New Roman"/>
                      <w:color w:val="auto"/>
                      <w:sz w:val="21"/>
                      <w:szCs w:val="21"/>
                    </w:rPr>
                    <w:t>声级</w:t>
                  </w:r>
                </w:p>
              </w:tc>
              <w:tc>
                <w:tcPr>
                  <w:tcW w:w="1667" w:type="pct"/>
                  <w:vMerge w:val="restart"/>
                  <w:noWrap w:val="0"/>
                  <w:vAlign w:val="center"/>
                </w:tcPr>
                <w:p w14:paraId="4DFA2B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1次/季度</w:t>
                  </w:r>
                </w:p>
              </w:tc>
            </w:tr>
            <w:tr w14:paraId="599958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5" w:type="pct"/>
                  <w:noWrap w:val="0"/>
                  <w:vAlign w:val="center"/>
                </w:tcPr>
                <w:p w14:paraId="15D3DD65">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eastAsia="宋体" w:cs="Times New Roman"/>
                      <w:color w:val="auto"/>
                      <w:sz w:val="21"/>
                      <w:szCs w:val="21"/>
                    </w:rPr>
                  </w:pPr>
                  <w:r>
                    <w:rPr>
                      <w:rFonts w:hint="eastAsia" w:cs="Times New Roman"/>
                      <w:sz w:val="21"/>
                      <w:szCs w:val="21"/>
                      <w:lang w:val="en-US" w:eastAsia="zh-CN"/>
                    </w:rPr>
                    <w:t>大鱼箭1#居民点</w:t>
                  </w:r>
                  <w:r>
                    <w:rPr>
                      <w:rFonts w:hint="eastAsia" w:ascii="Times New Roman" w:hAnsi="Times New Roman" w:eastAsia="宋体"/>
                      <w:color w:val="auto"/>
                      <w:sz w:val="21"/>
                      <w:szCs w:val="21"/>
                    </w:rPr>
                    <w:t>处</w:t>
                  </w:r>
                </w:p>
              </w:tc>
              <w:tc>
                <w:tcPr>
                  <w:tcW w:w="1667" w:type="pct"/>
                  <w:vMerge w:val="continue"/>
                  <w:noWrap w:val="0"/>
                  <w:vAlign w:val="center"/>
                </w:tcPr>
                <w:p w14:paraId="3321EC46">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jc w:val="center"/>
                    <w:textAlignment w:val="auto"/>
                    <w:rPr>
                      <w:rFonts w:hint="default" w:ascii="Times New Roman" w:hAnsi="Times New Roman" w:eastAsia="宋体" w:cs="Times New Roman"/>
                      <w:color w:val="auto"/>
                      <w:sz w:val="21"/>
                      <w:szCs w:val="21"/>
                    </w:rPr>
                  </w:pPr>
                </w:p>
              </w:tc>
              <w:tc>
                <w:tcPr>
                  <w:tcW w:w="1667" w:type="pct"/>
                  <w:vMerge w:val="continue"/>
                  <w:noWrap w:val="0"/>
                  <w:vAlign w:val="center"/>
                </w:tcPr>
                <w:p w14:paraId="238952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jc w:val="center"/>
                    <w:textAlignment w:val="auto"/>
                    <w:rPr>
                      <w:rFonts w:hint="default" w:ascii="Times New Roman" w:hAnsi="Times New Roman" w:eastAsia="宋体" w:cs="Times New Roman"/>
                      <w:color w:val="auto"/>
                      <w:kern w:val="0"/>
                      <w:szCs w:val="21"/>
                      <w:lang w:bidi="ar"/>
                    </w:rPr>
                  </w:pPr>
                </w:p>
              </w:tc>
            </w:tr>
            <w:tr w14:paraId="263E7F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5" w:type="pct"/>
                  <w:noWrap w:val="0"/>
                  <w:vAlign w:val="center"/>
                </w:tcPr>
                <w:p w14:paraId="55163AD3">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eastAsia="宋体" w:cs="Times New Roman"/>
                      <w:color w:val="auto"/>
                      <w:sz w:val="21"/>
                      <w:szCs w:val="21"/>
                    </w:rPr>
                  </w:pPr>
                  <w:r>
                    <w:rPr>
                      <w:rFonts w:hint="eastAsia" w:cs="Times New Roman"/>
                      <w:sz w:val="21"/>
                      <w:szCs w:val="21"/>
                      <w:lang w:val="en-US" w:eastAsia="zh-CN"/>
                    </w:rPr>
                    <w:t>大鱼箭2#居民点</w:t>
                  </w:r>
                  <w:r>
                    <w:rPr>
                      <w:rFonts w:hint="eastAsia" w:ascii="Times New Roman" w:hAnsi="Times New Roman" w:eastAsia="宋体"/>
                      <w:color w:val="auto"/>
                      <w:sz w:val="21"/>
                      <w:szCs w:val="21"/>
                    </w:rPr>
                    <w:t>处</w:t>
                  </w:r>
                </w:p>
              </w:tc>
              <w:tc>
                <w:tcPr>
                  <w:tcW w:w="1667" w:type="pct"/>
                  <w:vMerge w:val="continue"/>
                  <w:noWrap w:val="0"/>
                  <w:vAlign w:val="center"/>
                </w:tcPr>
                <w:p w14:paraId="37A49B66">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jc w:val="center"/>
                    <w:textAlignment w:val="auto"/>
                    <w:rPr>
                      <w:rFonts w:hint="default" w:ascii="Times New Roman" w:hAnsi="Times New Roman" w:eastAsia="宋体" w:cs="Times New Roman"/>
                      <w:color w:val="auto"/>
                      <w:sz w:val="21"/>
                      <w:szCs w:val="21"/>
                    </w:rPr>
                  </w:pPr>
                </w:p>
              </w:tc>
              <w:tc>
                <w:tcPr>
                  <w:tcW w:w="1667" w:type="pct"/>
                  <w:vMerge w:val="continue"/>
                  <w:noWrap w:val="0"/>
                  <w:vAlign w:val="center"/>
                </w:tcPr>
                <w:p w14:paraId="129B41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jc w:val="center"/>
                    <w:textAlignment w:val="auto"/>
                    <w:rPr>
                      <w:rFonts w:hint="default" w:ascii="Times New Roman" w:hAnsi="Times New Roman" w:eastAsia="宋体" w:cs="Times New Roman"/>
                      <w:color w:val="auto"/>
                      <w:kern w:val="0"/>
                      <w:szCs w:val="21"/>
                      <w:lang w:bidi="ar"/>
                    </w:rPr>
                  </w:pPr>
                </w:p>
              </w:tc>
            </w:tr>
            <w:tr w14:paraId="0CBFBB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5" w:type="pct"/>
                  <w:noWrap w:val="0"/>
                  <w:vAlign w:val="center"/>
                </w:tcPr>
                <w:p w14:paraId="62072D88">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eastAsia="宋体" w:cs="Times New Roman"/>
                      <w:color w:val="auto"/>
                      <w:sz w:val="21"/>
                      <w:szCs w:val="21"/>
                    </w:rPr>
                  </w:pPr>
                  <w:r>
                    <w:rPr>
                      <w:rFonts w:hint="eastAsia" w:eastAsia="宋体"/>
                      <w:color w:val="auto"/>
                      <w:sz w:val="21"/>
                      <w:szCs w:val="21"/>
                      <w:lang w:val="en-US" w:eastAsia="zh-CN"/>
                    </w:rPr>
                    <w:t>张家湾居民点处</w:t>
                  </w:r>
                </w:p>
              </w:tc>
              <w:tc>
                <w:tcPr>
                  <w:tcW w:w="1667" w:type="pct"/>
                  <w:vMerge w:val="continue"/>
                  <w:noWrap w:val="0"/>
                  <w:vAlign w:val="center"/>
                </w:tcPr>
                <w:p w14:paraId="348FACDC">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jc w:val="center"/>
                    <w:textAlignment w:val="auto"/>
                    <w:rPr>
                      <w:rFonts w:hint="default" w:ascii="Times New Roman" w:hAnsi="Times New Roman" w:eastAsia="宋体" w:cs="Times New Roman"/>
                      <w:color w:val="auto"/>
                      <w:sz w:val="21"/>
                      <w:szCs w:val="21"/>
                    </w:rPr>
                  </w:pPr>
                </w:p>
              </w:tc>
              <w:tc>
                <w:tcPr>
                  <w:tcW w:w="1667" w:type="pct"/>
                  <w:vMerge w:val="continue"/>
                  <w:noWrap w:val="0"/>
                  <w:vAlign w:val="center"/>
                </w:tcPr>
                <w:p w14:paraId="5BF2E5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jc w:val="center"/>
                    <w:textAlignment w:val="auto"/>
                    <w:rPr>
                      <w:rFonts w:hint="default" w:ascii="Times New Roman" w:hAnsi="Times New Roman" w:eastAsia="宋体" w:cs="Times New Roman"/>
                      <w:color w:val="auto"/>
                      <w:kern w:val="0"/>
                      <w:szCs w:val="21"/>
                      <w:lang w:bidi="ar"/>
                    </w:rPr>
                  </w:pPr>
                </w:p>
              </w:tc>
            </w:tr>
          </w:tbl>
          <w:p w14:paraId="03B449E5">
            <w:pPr>
              <w:keepNext w:val="0"/>
              <w:keepLines w:val="0"/>
              <w:suppressLineNumbers w:val="0"/>
              <w:spacing w:before="120" w:beforeLines="50" w:beforeAutospacing="0" w:after="0" w:afterAutospacing="0" w:line="360" w:lineRule="auto"/>
              <w:ind w:left="0" w:right="0" w:firstLine="482" w:firstLineChars="200"/>
              <w:rPr>
                <w:rFonts w:hint="default" w:ascii="Times New Roman" w:hAnsi="Times New Roman" w:eastAsia="宋体" w:cs="Times New Roman"/>
                <w:b/>
                <w:bCs/>
                <w:color w:val="auto"/>
                <w:sz w:val="24"/>
              </w:rPr>
            </w:pPr>
            <w:r>
              <w:rPr>
                <w:rFonts w:hint="eastAsia" w:ascii="Times New Roman" w:hAnsi="Times New Roman" w:eastAsia="宋体" w:cs="Times New Roman"/>
                <w:b/>
                <w:bCs/>
                <w:color w:val="auto"/>
                <w:sz w:val="24"/>
              </w:rPr>
              <w:t>5、声环境影响分析</w:t>
            </w:r>
          </w:p>
          <w:p w14:paraId="1B02CDE3">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宋体"/>
                <w:color w:val="auto"/>
                <w:sz w:val="24"/>
              </w:rPr>
            </w:pPr>
            <w:r>
              <w:rPr>
                <w:rFonts w:hint="eastAsia" w:ascii="Times New Roman" w:hAnsi="Times New Roman" w:eastAsia="宋体" w:cs="宋体"/>
                <w:color w:val="auto"/>
                <w:kern w:val="0"/>
                <w:sz w:val="24"/>
                <w:lang w:bidi="ar"/>
              </w:rPr>
              <w:t>综上可知，本项目通过合理布局、选用低噪声设备、采取隔声减振措施及加强日常管理等噪声防治对策后，昼间厂界噪声能够达到《工业企业厂界环境噪声排放标准》（GB12348-2008）的</w:t>
            </w:r>
            <w:r>
              <w:rPr>
                <w:rFonts w:hint="eastAsia" w:cs="宋体"/>
                <w:color w:val="auto"/>
                <w:kern w:val="0"/>
                <w:sz w:val="24"/>
                <w:lang w:val="en-US" w:eastAsia="zh-CN" w:bidi="ar"/>
              </w:rPr>
              <w:t>2</w:t>
            </w:r>
            <w:r>
              <w:rPr>
                <w:rFonts w:hint="eastAsia" w:ascii="Times New Roman" w:hAnsi="Times New Roman" w:eastAsia="宋体" w:cs="宋体"/>
                <w:color w:val="auto"/>
                <w:kern w:val="0"/>
                <w:sz w:val="24"/>
                <w:lang w:bidi="ar"/>
              </w:rPr>
              <w:t>类标准限值要求。</w:t>
            </w:r>
            <w:r>
              <w:rPr>
                <w:rFonts w:hint="eastAsia" w:ascii="Times New Roman" w:hAnsi="Times New Roman" w:eastAsia="宋体"/>
                <w:color w:val="auto"/>
                <w:kern w:val="0"/>
                <w:sz w:val="24"/>
                <w:lang w:bidi="ar"/>
              </w:rPr>
              <w:t>项目厂界外声环境敏感点处</w:t>
            </w:r>
            <w:r>
              <w:rPr>
                <w:rFonts w:hint="eastAsia" w:ascii="Times New Roman" w:hAnsi="Times New Roman" w:eastAsia="宋体"/>
                <w:color w:val="auto"/>
                <w:sz w:val="24"/>
              </w:rPr>
              <w:t>声环境质量能达到《声环境质量标准》（GB3096-2008）</w:t>
            </w:r>
            <w:r>
              <w:rPr>
                <w:rFonts w:hint="eastAsia"/>
                <w:color w:val="auto"/>
                <w:sz w:val="24"/>
                <w:lang w:val="en-US" w:eastAsia="zh-CN"/>
              </w:rPr>
              <w:t>2</w:t>
            </w:r>
            <w:r>
              <w:rPr>
                <w:rFonts w:hint="eastAsia" w:ascii="Times New Roman" w:hAnsi="Times New Roman" w:eastAsia="宋体"/>
                <w:color w:val="auto"/>
                <w:sz w:val="24"/>
              </w:rPr>
              <w:t>类标准限值要求</w:t>
            </w:r>
            <w:r>
              <w:rPr>
                <w:rFonts w:hint="eastAsia" w:ascii="Times New Roman" w:hAnsi="Times New Roman" w:eastAsia="宋体"/>
                <w:color w:val="auto"/>
                <w:kern w:val="0"/>
                <w:sz w:val="24"/>
                <w:lang w:bidi="ar"/>
              </w:rPr>
              <w:t>。因此，项目噪声对周围声环境影响较小。</w:t>
            </w:r>
          </w:p>
          <w:p w14:paraId="0065FB26">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eastAsia="宋体" w:cs="Times New Roman"/>
                <w:sz w:val="24"/>
              </w:rPr>
            </w:pPr>
            <w:r>
              <w:rPr>
                <w:rFonts w:hint="default" w:ascii="Times New Roman" w:hAnsi="Times New Roman" w:eastAsia="宋体" w:cs="Times New Roman"/>
                <w:b/>
                <w:bCs/>
                <w:sz w:val="24"/>
              </w:rPr>
              <w:t>四、固体废弃物环境影响和保护措施</w:t>
            </w:r>
          </w:p>
          <w:p w14:paraId="56AEF556">
            <w:pPr>
              <w:keepNext w:val="0"/>
              <w:keepLines w:val="0"/>
              <w:suppressLineNumbers w:val="0"/>
              <w:autoSpaceDE w:val="0"/>
              <w:autoSpaceDN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kern w:val="0"/>
                <w:sz w:val="24"/>
                <w:lang w:bidi="ar"/>
              </w:rPr>
            </w:pPr>
            <w:r>
              <w:rPr>
                <w:rFonts w:hint="eastAsia" w:ascii="Times New Roman" w:hAnsi="Times New Roman" w:eastAsia="宋体" w:cs="Times New Roman"/>
                <w:color w:val="auto"/>
                <w:sz w:val="24"/>
              </w:rPr>
              <w:t>本项目营运过程中产生的固废包括生活垃圾、一般固废和危险废物。</w:t>
            </w:r>
            <w:r>
              <w:rPr>
                <w:rFonts w:hint="default" w:ascii="Times New Roman" w:hAnsi="Times New Roman" w:eastAsia="宋体" w:cs="Times New Roman"/>
                <w:color w:val="auto"/>
                <w:sz w:val="24"/>
              </w:rPr>
              <w:t>一般固体废物</w:t>
            </w:r>
            <w:r>
              <w:rPr>
                <w:rFonts w:hint="eastAsia" w:ascii="Times New Roman" w:hAnsi="Times New Roman" w:eastAsia="宋体" w:cs="Times New Roman"/>
                <w:color w:val="auto"/>
                <w:sz w:val="24"/>
              </w:rPr>
              <w:t>为</w:t>
            </w:r>
            <w:r>
              <w:rPr>
                <w:rFonts w:hint="eastAsia" w:cs="Times New Roman"/>
                <w:color w:val="auto"/>
                <w:sz w:val="24"/>
                <w:lang w:eastAsia="zh-CN"/>
              </w:rPr>
              <w:t>：</w:t>
            </w:r>
            <w:r>
              <w:rPr>
                <w:rFonts w:hint="eastAsia" w:cs="Times New Roman"/>
                <w:color w:val="auto"/>
                <w:sz w:val="24"/>
                <w:lang w:val="en-US" w:eastAsia="zh-CN"/>
              </w:rPr>
              <w:t>预处理池污泥</w:t>
            </w:r>
            <w:r>
              <w:rPr>
                <w:rFonts w:hint="eastAsia" w:ascii="Times New Roman" w:hAnsi="Times New Roman" w:eastAsia="宋体" w:cs="Times New Roman"/>
                <w:color w:val="auto"/>
                <w:kern w:val="0"/>
                <w:sz w:val="24"/>
                <w:lang w:bidi="ar"/>
              </w:rPr>
              <w:t>、</w:t>
            </w:r>
            <w:r>
              <w:rPr>
                <w:rFonts w:hint="eastAsia" w:cs="Times New Roman"/>
                <w:color w:val="auto"/>
                <w:sz w:val="24"/>
                <w:lang w:val="en-US" w:eastAsia="zh-CN"/>
              </w:rPr>
              <w:t>泥饼</w:t>
            </w:r>
            <w:r>
              <w:rPr>
                <w:rFonts w:hint="eastAsia" w:ascii="Times New Roman" w:hAnsi="Times New Roman" w:eastAsia="宋体" w:cs="Times New Roman"/>
                <w:color w:val="auto"/>
                <w:kern w:val="0"/>
                <w:sz w:val="24"/>
                <w:lang w:bidi="ar"/>
              </w:rPr>
              <w:t>；</w:t>
            </w:r>
            <w:r>
              <w:rPr>
                <w:rFonts w:hint="default" w:ascii="Times New Roman" w:hAnsi="Times New Roman" w:eastAsia="宋体" w:cs="Times New Roman"/>
                <w:color w:val="auto"/>
                <w:kern w:val="0"/>
                <w:sz w:val="24"/>
                <w:lang w:bidi="ar"/>
              </w:rPr>
              <w:t>危险废物</w:t>
            </w:r>
            <w:r>
              <w:rPr>
                <w:rFonts w:hint="eastAsia" w:ascii="Times New Roman" w:hAnsi="Times New Roman" w:eastAsia="宋体" w:cs="Times New Roman"/>
                <w:color w:val="auto"/>
                <w:kern w:val="0"/>
                <w:sz w:val="24"/>
                <w:lang w:bidi="ar"/>
              </w:rPr>
              <w:t>主要</w:t>
            </w:r>
            <w:r>
              <w:rPr>
                <w:rFonts w:hint="default" w:ascii="Times New Roman" w:hAnsi="Times New Roman" w:eastAsia="宋体" w:cs="Times New Roman"/>
                <w:color w:val="auto"/>
                <w:kern w:val="0"/>
                <w:sz w:val="24"/>
                <w:lang w:bidi="ar"/>
              </w:rPr>
              <w:t>包括</w:t>
            </w:r>
            <w:r>
              <w:rPr>
                <w:rFonts w:hint="eastAsia" w:ascii="Times New Roman" w:hAnsi="Times New Roman" w:eastAsia="宋体" w:cs="Times New Roman"/>
                <w:color w:val="auto"/>
                <w:kern w:val="0"/>
                <w:sz w:val="24"/>
                <w:lang w:bidi="ar"/>
              </w:rPr>
              <w:t>：废</w:t>
            </w:r>
            <w:r>
              <w:rPr>
                <w:rFonts w:hint="eastAsia" w:cs="Times New Roman"/>
                <w:color w:val="auto"/>
                <w:kern w:val="0"/>
                <w:sz w:val="24"/>
                <w:lang w:val="en-US" w:eastAsia="zh-CN" w:bidi="ar"/>
              </w:rPr>
              <w:t>矿物油及</w:t>
            </w:r>
            <w:r>
              <w:rPr>
                <w:rFonts w:hint="eastAsia" w:ascii="Times New Roman" w:hAnsi="Times New Roman" w:eastAsia="宋体" w:cs="Times New Roman"/>
                <w:color w:val="auto"/>
                <w:kern w:val="0"/>
                <w:sz w:val="24"/>
                <w:lang w:bidi="ar"/>
              </w:rPr>
              <w:t>油桶、</w:t>
            </w:r>
            <w:r>
              <w:rPr>
                <w:rFonts w:hint="eastAsia" w:ascii="Times New Roman" w:hAnsi="Times New Roman" w:eastAsia="宋体" w:cs="Times New Roman"/>
                <w:color w:val="auto"/>
                <w:sz w:val="24"/>
              </w:rPr>
              <w:t>含油废抹布及棉纱手套</w:t>
            </w:r>
            <w:r>
              <w:rPr>
                <w:rFonts w:hint="eastAsia" w:ascii="Times New Roman" w:hAnsi="Times New Roman" w:eastAsia="宋体" w:cs="Times New Roman"/>
                <w:color w:val="auto"/>
                <w:kern w:val="0"/>
                <w:sz w:val="24"/>
                <w:lang w:bidi="ar"/>
              </w:rPr>
              <w:t>。</w:t>
            </w:r>
          </w:p>
          <w:p w14:paraId="2008E609">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sz w:val="24"/>
                <w:lang w:val="en-US" w:eastAsia="zh-CN"/>
              </w:rPr>
            </w:pPr>
            <w:r>
              <w:rPr>
                <w:rFonts w:hint="eastAsia" w:ascii="Times New Roman" w:hAnsi="Times New Roman" w:eastAsia="宋体" w:cs="Times New Roman"/>
                <w:b/>
                <w:bCs/>
                <w:sz w:val="24"/>
                <w:lang w:eastAsia="zh-CN"/>
              </w:rPr>
              <w:t>（</w:t>
            </w:r>
            <w:r>
              <w:rPr>
                <w:rFonts w:hint="eastAsia" w:ascii="Times New Roman" w:hAnsi="Times New Roman" w:eastAsia="宋体" w:cs="Times New Roman"/>
                <w:b/>
                <w:bCs/>
                <w:sz w:val="24"/>
                <w:lang w:val="en-US" w:eastAsia="zh-CN"/>
              </w:rPr>
              <w:t>1</w:t>
            </w:r>
            <w:r>
              <w:rPr>
                <w:rFonts w:hint="eastAsia" w:ascii="Times New Roman" w:hAnsi="Times New Roman" w:eastAsia="宋体" w:cs="Times New Roman"/>
                <w:b/>
                <w:bCs/>
                <w:sz w:val="24"/>
                <w:lang w:eastAsia="zh-CN"/>
              </w:rPr>
              <w:t>）</w:t>
            </w:r>
            <w:r>
              <w:rPr>
                <w:rFonts w:hint="eastAsia" w:ascii="Times New Roman" w:hAnsi="Times New Roman" w:eastAsia="宋体" w:cs="Times New Roman"/>
                <w:b/>
                <w:bCs/>
                <w:sz w:val="24"/>
                <w:lang w:val="en-US" w:eastAsia="zh-CN"/>
              </w:rPr>
              <w:t>生活垃圾</w:t>
            </w:r>
          </w:p>
          <w:p w14:paraId="28EF1B7F">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b/>
                <w:bCs/>
                <w:sz w:val="24"/>
                <w:lang w:eastAsia="zh-CN"/>
              </w:rPr>
            </w:pPr>
            <w:r>
              <w:rPr>
                <w:rFonts w:hint="eastAsia" w:ascii="Times New Roman" w:hAnsi="Times New Roman" w:eastAsia="宋体" w:cs="Times New Roman"/>
                <w:bCs/>
                <w:sz w:val="24"/>
              </w:rPr>
              <w:t>员工生活垃圾：</w:t>
            </w:r>
            <w:r>
              <w:rPr>
                <w:rFonts w:hint="default" w:ascii="Times New Roman" w:hAnsi="Times New Roman" w:eastAsia="宋体" w:cs="Times New Roman"/>
                <w:kern w:val="0"/>
                <w:sz w:val="24"/>
                <w:lang w:bidi="ar"/>
              </w:rPr>
              <w:t>本项目劳动定员</w:t>
            </w:r>
            <w:r>
              <w:rPr>
                <w:rFonts w:hint="eastAsia" w:cs="Times New Roman"/>
                <w:kern w:val="0"/>
                <w:sz w:val="24"/>
                <w:lang w:val="en-US" w:eastAsia="zh-CN" w:bidi="ar"/>
              </w:rPr>
              <w:t>6</w:t>
            </w:r>
            <w:r>
              <w:rPr>
                <w:rFonts w:hint="default" w:ascii="Times New Roman" w:hAnsi="Times New Roman" w:eastAsia="宋体" w:cs="Times New Roman"/>
                <w:kern w:val="0"/>
                <w:sz w:val="24"/>
                <w:lang w:bidi="ar"/>
              </w:rPr>
              <w:t>人，</w:t>
            </w:r>
            <w:r>
              <w:rPr>
                <w:rFonts w:hint="default" w:ascii="Times New Roman" w:hAnsi="Times New Roman" w:eastAsia="宋体" w:cs="Times New Roman"/>
                <w:sz w:val="24"/>
              </w:rPr>
              <w:t>年工作</w:t>
            </w:r>
            <w:r>
              <w:rPr>
                <w:rFonts w:hint="eastAsia" w:cs="Times New Roman"/>
                <w:sz w:val="24"/>
                <w:lang w:val="en-US" w:eastAsia="zh-CN"/>
              </w:rPr>
              <w:t>2</w:t>
            </w:r>
            <w:r>
              <w:rPr>
                <w:rFonts w:hint="eastAsia" w:ascii="Times New Roman" w:hAnsi="Times New Roman" w:eastAsia="宋体" w:cs="Times New Roman"/>
                <w:sz w:val="24"/>
                <w:lang w:val="en-US" w:eastAsia="zh-CN"/>
              </w:rPr>
              <w:t>00</w:t>
            </w:r>
            <w:r>
              <w:rPr>
                <w:rFonts w:hint="default" w:ascii="Times New Roman" w:hAnsi="Times New Roman" w:eastAsia="宋体" w:cs="Times New Roman"/>
                <w:sz w:val="24"/>
              </w:rPr>
              <w:t>天，垃圾产生量按0.5kg/人·d计，则项目生活垃圾产生量约为</w:t>
            </w:r>
            <w:r>
              <w:rPr>
                <w:rFonts w:hint="eastAsia" w:cs="Times New Roman"/>
                <w:kern w:val="0"/>
                <w:sz w:val="24"/>
                <w:lang w:val="en-US" w:eastAsia="zh-CN" w:bidi="ar"/>
              </w:rPr>
              <w:t>0.6</w:t>
            </w:r>
            <w:r>
              <w:rPr>
                <w:rFonts w:hint="default" w:ascii="Times New Roman" w:hAnsi="Times New Roman" w:eastAsia="宋体" w:cs="Times New Roman"/>
                <w:kern w:val="0"/>
                <w:sz w:val="24"/>
                <w:lang w:bidi="ar"/>
              </w:rPr>
              <w:t>t/a</w:t>
            </w:r>
            <w:r>
              <w:rPr>
                <w:rFonts w:hint="eastAsia" w:ascii="Times New Roman" w:hAnsi="Times New Roman" w:eastAsia="宋体" w:cs="Times New Roman"/>
                <w:bCs/>
                <w:sz w:val="24"/>
              </w:rPr>
              <w:t>，设置垃圾桶，经袋装收集，由市政环卫系统每天清运</w:t>
            </w:r>
            <w:r>
              <w:rPr>
                <w:rFonts w:hint="eastAsia" w:ascii="Times New Roman" w:hAnsi="Times New Roman" w:eastAsia="宋体" w:cs="Times New Roman"/>
                <w:bCs/>
                <w:sz w:val="24"/>
                <w:lang w:eastAsia="zh-CN"/>
              </w:rPr>
              <w:t>。</w:t>
            </w:r>
          </w:p>
          <w:p w14:paraId="25C164F3">
            <w:pPr>
              <w:keepNext w:val="0"/>
              <w:keepLines w:val="0"/>
              <w:suppressLineNumbers w:val="0"/>
              <w:adjustRightInd w:val="0"/>
              <w:snapToGrid w:val="0"/>
              <w:spacing w:before="0" w:beforeAutospacing="0" w:after="0" w:afterAutospacing="0" w:line="360" w:lineRule="auto"/>
              <w:ind w:left="0" w:right="0" w:firstLine="482" w:firstLineChars="200"/>
              <w:rPr>
                <w:rFonts w:hint="eastAsia" w:ascii="Times New Roman" w:hAnsi="Times New Roman" w:eastAsia="宋体" w:cs="Times New Roman"/>
                <w:b/>
                <w:bCs/>
                <w:sz w:val="24"/>
              </w:rPr>
            </w:pPr>
            <w:r>
              <w:rPr>
                <w:rFonts w:hint="eastAsia" w:ascii="Times New Roman" w:hAnsi="Times New Roman" w:eastAsia="宋体" w:cs="Times New Roman"/>
                <w:b/>
                <w:bCs/>
                <w:sz w:val="24"/>
                <w:lang w:eastAsia="zh-CN"/>
              </w:rPr>
              <w:t>（</w:t>
            </w:r>
            <w:r>
              <w:rPr>
                <w:rFonts w:hint="eastAsia" w:ascii="Times New Roman" w:hAnsi="Times New Roman" w:eastAsia="宋体" w:cs="Times New Roman"/>
                <w:b/>
                <w:bCs/>
                <w:sz w:val="24"/>
                <w:lang w:val="en-US" w:eastAsia="zh-CN"/>
              </w:rPr>
              <w:t>2</w:t>
            </w:r>
            <w:r>
              <w:rPr>
                <w:rFonts w:hint="eastAsia" w:ascii="Times New Roman" w:hAnsi="Times New Roman" w:eastAsia="宋体" w:cs="Times New Roman"/>
                <w:b/>
                <w:bCs/>
                <w:sz w:val="24"/>
                <w:lang w:eastAsia="zh-CN"/>
              </w:rPr>
              <w:t>）</w:t>
            </w:r>
            <w:r>
              <w:rPr>
                <w:rFonts w:hint="eastAsia" w:ascii="Times New Roman" w:hAnsi="Times New Roman" w:eastAsia="宋体" w:cs="Times New Roman"/>
                <w:b/>
                <w:bCs/>
                <w:sz w:val="24"/>
              </w:rPr>
              <w:t>一般固废</w:t>
            </w:r>
          </w:p>
          <w:p w14:paraId="5668F3F2">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bCs/>
                <w:sz w:val="24"/>
              </w:rPr>
            </w:pPr>
            <w:r>
              <w:rPr>
                <w:rFonts w:hint="eastAsia" w:ascii="Times New Roman" w:hAnsi="Times New Roman" w:eastAsia="宋体" w:cs="Times New Roman"/>
                <w:bCs/>
                <w:sz w:val="24"/>
              </w:rPr>
              <w:t>①</w:t>
            </w:r>
            <w:r>
              <w:rPr>
                <w:rFonts w:hint="eastAsia" w:cs="Times New Roman"/>
                <w:color w:val="auto"/>
                <w:sz w:val="24"/>
                <w:lang w:val="en-US" w:eastAsia="zh-CN"/>
              </w:rPr>
              <w:t>预处理池污泥</w:t>
            </w:r>
            <w:r>
              <w:rPr>
                <w:rFonts w:hint="eastAsia" w:ascii="Times New Roman" w:hAnsi="Times New Roman" w:eastAsia="宋体" w:cs="Times New Roman"/>
                <w:sz w:val="24"/>
                <w:lang w:val="en-US" w:eastAsia="zh-CN"/>
              </w:rPr>
              <w:t>：</w:t>
            </w:r>
            <w:r>
              <w:rPr>
                <w:rFonts w:hint="eastAsia" w:ascii="Times New Roman" w:hAnsi="Times New Roman" w:eastAsia="宋体" w:cs="Times New Roman"/>
                <w:color w:val="auto"/>
                <w:sz w:val="24"/>
              </w:rPr>
              <w:t>预处理池定期清掏产生，本项目预处理池污泥产生量约为</w:t>
            </w:r>
            <w:r>
              <w:rPr>
                <w:rFonts w:hint="eastAsia" w:cs="Times New Roman"/>
                <w:color w:val="auto"/>
                <w:sz w:val="24"/>
                <w:lang w:val="en-US" w:eastAsia="zh-CN"/>
              </w:rPr>
              <w:t>0.5</w:t>
            </w:r>
            <w:r>
              <w:rPr>
                <w:rFonts w:hint="eastAsia" w:ascii="Times New Roman" w:hAnsi="Times New Roman" w:eastAsia="宋体" w:cs="Times New Roman"/>
                <w:color w:val="auto"/>
                <w:sz w:val="24"/>
              </w:rPr>
              <w:t>t/a，</w:t>
            </w:r>
            <w:r>
              <w:rPr>
                <w:rFonts w:hint="eastAsia" w:cs="Times New Roman"/>
                <w:color w:val="auto"/>
                <w:sz w:val="24"/>
                <w:lang w:val="en-US" w:eastAsia="zh-CN"/>
              </w:rPr>
              <w:t>委托有处置能力单位进行转运处置</w:t>
            </w:r>
            <w:r>
              <w:rPr>
                <w:rFonts w:hint="eastAsia" w:ascii="Times New Roman" w:hAnsi="Times New Roman" w:eastAsia="宋体" w:cs="Times New Roman"/>
                <w:color w:val="auto"/>
                <w:sz w:val="24"/>
              </w:rPr>
              <w:t>。</w:t>
            </w:r>
          </w:p>
          <w:p w14:paraId="28D9A51B">
            <w:pPr>
              <w:keepNext w:val="0"/>
              <w:keepLines w:val="0"/>
              <w:suppressLineNumbers w:val="0"/>
              <w:adjustRightInd w:val="0"/>
              <w:snapToGrid w:val="0"/>
              <w:spacing w:before="0" w:beforeAutospacing="0" w:after="0" w:afterAutospacing="0" w:line="360" w:lineRule="auto"/>
              <w:ind w:left="0" w:right="0" w:firstLine="480" w:firstLineChars="200"/>
              <w:rPr>
                <w:rFonts w:hint="default"/>
                <w:lang w:val="en-US" w:eastAsia="zh-CN"/>
              </w:rPr>
            </w:pPr>
            <w:r>
              <w:rPr>
                <w:rFonts w:hint="eastAsia" w:ascii="Times New Roman" w:hAnsi="Times New Roman" w:eastAsia="宋体" w:cs="Times New Roman"/>
                <w:bCs/>
                <w:sz w:val="24"/>
              </w:rPr>
              <w:t>②</w:t>
            </w:r>
            <w:r>
              <w:rPr>
                <w:rFonts w:hint="eastAsia" w:cs="Times New Roman"/>
                <w:bCs/>
                <w:sz w:val="24"/>
                <w:lang w:val="en-US" w:eastAsia="zh-CN"/>
              </w:rPr>
              <w:t>泥饼</w:t>
            </w:r>
            <w:r>
              <w:rPr>
                <w:rFonts w:hint="default" w:ascii="Times New Roman" w:hAnsi="Times New Roman" w:eastAsia="宋体" w:cs="Times New Roman"/>
                <w:sz w:val="24"/>
              </w:rPr>
              <w:t>：</w:t>
            </w:r>
            <w:r>
              <w:rPr>
                <w:rFonts w:hint="eastAsia" w:cs="Times New Roman"/>
                <w:color w:val="auto"/>
                <w:sz w:val="24"/>
                <w:lang w:val="en-US" w:eastAsia="zh-CN"/>
              </w:rPr>
              <w:t>沉砂池沉渣、絮凝沉淀处理后的泥浆经板框压滤处理后形成泥饼。根据建设单位提供的资料，本项目使用的原料中泥土杂质含量约3%，经压滤处理后形成的泥饼含水率约80%。厂区降尘随降尘废水进入废水处理系统进行处理。经项目物料平衡分析，本项目泥饼产生量约为4247.3312t/a，其中干料量约850t。</w:t>
            </w:r>
            <w:r>
              <w:rPr>
                <w:rFonts w:hint="eastAsia" w:cs="Times New Roman"/>
                <w:color w:val="auto"/>
                <w:sz w:val="24"/>
                <w:highlight w:val="none"/>
                <w:lang w:val="en-US" w:eastAsia="zh-CN"/>
              </w:rPr>
              <w:t>泥饼定期转运至邻水县玖能空心砖厂制砖，</w:t>
            </w:r>
            <w:r>
              <w:rPr>
                <w:rFonts w:hint="eastAsia" w:cs="Times New Roman"/>
                <w:color w:val="auto"/>
                <w:sz w:val="24"/>
                <w:lang w:val="en-US" w:eastAsia="zh-CN"/>
              </w:rPr>
              <w:t>根据建设单位提供的资料，制砖过程泥饼干料掺烧量控制在20%-30%范围内，</w:t>
            </w:r>
            <w:r>
              <w:rPr>
                <w:rFonts w:hint="eastAsia" w:cs="Times New Roman"/>
                <w:color w:val="auto"/>
                <w:sz w:val="24"/>
                <w:highlight w:val="none"/>
                <w:lang w:val="en-US" w:eastAsia="zh-CN"/>
              </w:rPr>
              <w:t>邻水县玖能空心砖厂原料年用量约2万t/a，因此，邻水县玖能空心砖厂能消纳本项目产生的泥饼，</w:t>
            </w:r>
            <w:r>
              <w:rPr>
                <w:rFonts w:hint="eastAsia" w:cs="Times New Roman"/>
                <w:color w:val="auto"/>
                <w:sz w:val="24"/>
                <w:lang w:val="en-US" w:eastAsia="zh-CN"/>
              </w:rPr>
              <w:t>处置协议见附件。</w:t>
            </w:r>
          </w:p>
          <w:p w14:paraId="08BBE2D8">
            <w:pPr>
              <w:keepNext w:val="0"/>
              <w:keepLines w:val="0"/>
              <w:suppressLineNumbers w:val="0"/>
              <w:adjustRightInd w:val="0"/>
              <w:snapToGrid w:val="0"/>
              <w:spacing w:before="0" w:beforeAutospacing="0" w:after="0" w:afterAutospacing="0" w:line="360" w:lineRule="auto"/>
              <w:ind w:left="0" w:right="0" w:firstLine="482" w:firstLineChars="200"/>
              <w:rPr>
                <w:rFonts w:hint="eastAsia" w:ascii="Times New Roman" w:hAnsi="Times New Roman" w:eastAsia="宋体" w:cs="Times New Roman"/>
                <w:b/>
                <w:bCs/>
                <w:sz w:val="24"/>
              </w:rPr>
            </w:pPr>
            <w:r>
              <w:rPr>
                <w:rFonts w:hint="eastAsia" w:ascii="Times New Roman" w:hAnsi="Times New Roman" w:eastAsia="宋体" w:cs="Times New Roman"/>
                <w:b/>
                <w:bCs/>
                <w:sz w:val="24"/>
                <w:lang w:eastAsia="zh-CN"/>
              </w:rPr>
              <w:t>（</w:t>
            </w:r>
            <w:r>
              <w:rPr>
                <w:rFonts w:hint="eastAsia" w:ascii="Times New Roman" w:hAnsi="Times New Roman" w:eastAsia="宋体" w:cs="Times New Roman"/>
                <w:b/>
                <w:bCs/>
                <w:sz w:val="24"/>
                <w:lang w:val="en-US" w:eastAsia="zh-CN"/>
              </w:rPr>
              <w:t>3</w:t>
            </w:r>
            <w:r>
              <w:rPr>
                <w:rFonts w:hint="eastAsia" w:ascii="Times New Roman" w:hAnsi="Times New Roman" w:eastAsia="宋体" w:cs="Times New Roman"/>
                <w:b/>
                <w:bCs/>
                <w:sz w:val="24"/>
                <w:lang w:eastAsia="zh-CN"/>
              </w:rPr>
              <w:t>）</w:t>
            </w:r>
            <w:r>
              <w:rPr>
                <w:rFonts w:hint="eastAsia" w:ascii="Times New Roman" w:hAnsi="Times New Roman" w:eastAsia="宋体" w:cs="Times New Roman"/>
                <w:b/>
                <w:bCs/>
                <w:sz w:val="24"/>
              </w:rPr>
              <w:t>危险废物</w:t>
            </w:r>
          </w:p>
          <w:p w14:paraId="3897EA10">
            <w:pPr>
              <w:pStyle w:val="2"/>
              <w:keepNext w:val="0"/>
              <w:keepLines w:val="0"/>
              <w:suppressLineNumbers w:val="0"/>
              <w:spacing w:before="0" w:beforeAutospacing="0" w:after="0" w:afterAutospacing="0" w:line="360" w:lineRule="auto"/>
              <w:ind w:left="0" w:leftChars="0" w:right="0" w:firstLine="480"/>
              <w:rPr>
                <w:rFonts w:hint="default" w:ascii="Times New Roman" w:hAnsi="Times New Roman" w:eastAsia="宋体" w:cs="Times New Roman"/>
                <w:sz w:val="24"/>
              </w:rPr>
            </w:pPr>
            <w:r>
              <w:rPr>
                <w:rFonts w:hint="eastAsia" w:ascii="Times New Roman" w:hAnsi="Times New Roman" w:eastAsia="宋体" w:cs="Times New Roman"/>
                <w:sz w:val="24"/>
                <w:szCs w:val="24"/>
              </w:rPr>
              <w:t>①</w:t>
            </w:r>
            <w:r>
              <w:rPr>
                <w:rFonts w:hint="default" w:ascii="Times New Roman" w:hAnsi="Times New Roman" w:eastAsia="宋体" w:cs="Times New Roman"/>
                <w:sz w:val="24"/>
                <w:szCs w:val="24"/>
              </w:rPr>
              <w:t>废</w:t>
            </w:r>
            <w:r>
              <w:rPr>
                <w:rFonts w:hint="eastAsia" w:ascii="Times New Roman" w:hAnsi="Times New Roman" w:eastAsia="宋体" w:cs="Times New Roman"/>
                <w:sz w:val="24"/>
                <w:szCs w:val="24"/>
                <w:lang w:val="en-US" w:eastAsia="zh-CN"/>
              </w:rPr>
              <w:t>矿物油及油桶</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rPr>
              <w:t>根据建设单位提供的资料，本项目</w:t>
            </w:r>
            <w:r>
              <w:rPr>
                <w:rFonts w:hint="eastAsia" w:ascii="Times New Roman" w:hAnsi="Times New Roman" w:eastAsia="宋体" w:cs="Times New Roman"/>
                <w:sz w:val="24"/>
                <w:szCs w:val="24"/>
                <w:lang w:val="en-US" w:eastAsia="zh-CN"/>
              </w:rPr>
              <w:t>产生的</w:t>
            </w:r>
            <w:r>
              <w:rPr>
                <w:rFonts w:hint="default" w:ascii="Times New Roman" w:hAnsi="Times New Roman" w:eastAsia="宋体" w:cs="Times New Roman"/>
                <w:sz w:val="24"/>
                <w:szCs w:val="24"/>
              </w:rPr>
              <w:t>废</w:t>
            </w:r>
            <w:r>
              <w:rPr>
                <w:rFonts w:hint="eastAsia" w:ascii="Times New Roman" w:hAnsi="Times New Roman" w:eastAsia="宋体" w:cs="Times New Roman"/>
                <w:sz w:val="24"/>
                <w:szCs w:val="24"/>
                <w:lang w:val="en-US" w:eastAsia="zh-CN"/>
              </w:rPr>
              <w:t>矿物油及油桶（废机油约0.05t/a，废油桶0.0</w:t>
            </w:r>
            <w:r>
              <w:rPr>
                <w:rFonts w:hint="eastAsia" w:cs="Times New Roman"/>
                <w:sz w:val="24"/>
                <w:szCs w:val="24"/>
                <w:lang w:val="en-US" w:eastAsia="zh-CN"/>
              </w:rPr>
              <w:t>1</w:t>
            </w:r>
            <w:r>
              <w:rPr>
                <w:rFonts w:hint="eastAsia" w:ascii="Times New Roman" w:hAnsi="Times New Roman" w:eastAsia="宋体" w:cs="Times New Roman"/>
                <w:sz w:val="24"/>
                <w:szCs w:val="24"/>
              </w:rPr>
              <w:t>t/a</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合计0.</w:t>
            </w:r>
            <w:r>
              <w:rPr>
                <w:rFonts w:hint="eastAsia" w:cs="Times New Roman"/>
                <w:sz w:val="24"/>
                <w:szCs w:val="24"/>
                <w:lang w:val="en-US" w:eastAsia="zh-CN"/>
              </w:rPr>
              <w:t>06</w:t>
            </w:r>
            <w:r>
              <w:rPr>
                <w:rFonts w:hint="eastAsia" w:ascii="Times New Roman" w:hAnsi="Times New Roman" w:eastAsia="宋体" w:cs="Times New Roman"/>
                <w:sz w:val="24"/>
                <w:szCs w:val="24"/>
                <w:lang w:val="en-US" w:eastAsia="zh-CN"/>
              </w:rPr>
              <w:t>t/a</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根据《国家危险废物名录（2025版）》进行判定，</w:t>
            </w:r>
            <w:r>
              <w:rPr>
                <w:rFonts w:hint="eastAsia" w:ascii="Times New Roman" w:hAnsi="Times New Roman" w:eastAsia="宋体" w:cs="Times New Roman"/>
                <w:sz w:val="24"/>
                <w:szCs w:val="24"/>
              </w:rPr>
              <w:t>废矿物油及油桶</w:t>
            </w:r>
            <w:r>
              <w:rPr>
                <w:rFonts w:hint="default" w:ascii="Times New Roman" w:hAnsi="Times New Roman" w:eastAsia="宋体" w:cs="Times New Roman"/>
                <w:sz w:val="24"/>
                <w:szCs w:val="24"/>
              </w:rPr>
              <w:t>属于危险</w:t>
            </w:r>
            <w:r>
              <w:rPr>
                <w:rFonts w:hint="eastAsia" w:ascii="Times New Roman" w:hAnsi="Times New Roman" w:eastAsia="宋体" w:cs="Times New Roman"/>
                <w:sz w:val="24"/>
                <w:szCs w:val="24"/>
              </w:rPr>
              <w:t>废物</w:t>
            </w:r>
            <w:r>
              <w:rPr>
                <w:rFonts w:hint="default" w:ascii="Times New Roman" w:hAnsi="Times New Roman" w:eastAsia="宋体" w:cs="Times New Roman"/>
                <w:sz w:val="24"/>
                <w:szCs w:val="24"/>
              </w:rPr>
              <w:t>，危废名录类别为HW</w:t>
            </w:r>
            <w:r>
              <w:rPr>
                <w:rFonts w:hint="eastAsia" w:ascii="Times New Roman" w:hAnsi="Times New Roman" w:eastAsia="宋体" w:cs="Times New Roman"/>
                <w:sz w:val="24"/>
                <w:szCs w:val="24"/>
              </w:rPr>
              <w:t>08，危废</w:t>
            </w:r>
            <w:r>
              <w:rPr>
                <w:rFonts w:hint="default" w:ascii="Times New Roman" w:hAnsi="Times New Roman" w:eastAsia="宋体" w:cs="Times New Roman"/>
                <w:sz w:val="24"/>
                <w:szCs w:val="24"/>
              </w:rPr>
              <w:t>代码为900-</w:t>
            </w:r>
            <w:r>
              <w:rPr>
                <w:rFonts w:hint="eastAsia" w:ascii="Times New Roman" w:hAnsi="Times New Roman" w:eastAsia="宋体" w:cs="Times New Roman"/>
                <w:sz w:val="24"/>
                <w:szCs w:val="24"/>
              </w:rPr>
              <w:t>2</w:t>
            </w:r>
            <w:r>
              <w:rPr>
                <w:rFonts w:hint="eastAsia" w:ascii="Times New Roman" w:hAnsi="Times New Roman" w:eastAsia="宋体" w:cs="Times New Roman"/>
                <w:sz w:val="24"/>
                <w:szCs w:val="24"/>
                <w:lang w:val="en-US" w:eastAsia="zh-CN"/>
              </w:rPr>
              <w:t>49</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rPr>
              <w:t>08</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rPr>
              <w:t>分类暂存于危废暂存间，定期交资质单位处置；</w:t>
            </w:r>
          </w:p>
          <w:p w14:paraId="27D5AF4A">
            <w:pPr>
              <w:keepNext w:val="0"/>
              <w:keepLines w:val="0"/>
              <w:widowControl/>
              <w:suppressLineNumbers w:val="0"/>
              <w:spacing w:before="0" w:beforeAutospacing="0" w:after="0" w:afterAutospacing="0" w:line="360" w:lineRule="auto"/>
              <w:ind w:left="0" w:right="0" w:firstLine="480" w:firstLineChars="200"/>
              <w:jc w:val="left"/>
              <w:rPr>
                <w:rFonts w:hint="eastAsia" w:ascii="Times New Roman" w:hAnsi="Times New Roman" w:eastAsia="宋体" w:cs="Times New Roman"/>
                <w:lang w:eastAsia="zh-CN"/>
              </w:rPr>
            </w:pPr>
            <w:r>
              <w:rPr>
                <w:rFonts w:hint="eastAsia" w:ascii="Times New Roman" w:hAnsi="Times New Roman" w:eastAsia="宋体" w:cs="Times New Roman"/>
                <w:sz w:val="24"/>
                <w:szCs w:val="24"/>
              </w:rPr>
              <w:t>②</w:t>
            </w:r>
            <w:r>
              <w:rPr>
                <w:rFonts w:hint="eastAsia" w:ascii="Times New Roman" w:hAnsi="Times New Roman" w:eastAsia="宋体" w:cs="Times New Roman"/>
                <w:sz w:val="24"/>
              </w:rPr>
              <w:t>废含油棉纱手套：</w:t>
            </w:r>
            <w:r>
              <w:rPr>
                <w:rFonts w:hint="eastAsia" w:ascii="Times New Roman" w:hAnsi="Times New Roman" w:eastAsia="宋体" w:cs="Times New Roman"/>
                <w:sz w:val="24"/>
                <w:lang w:val="en-US" w:eastAsia="zh-CN"/>
              </w:rPr>
              <w:t>根</w:t>
            </w:r>
            <w:r>
              <w:rPr>
                <w:rFonts w:hint="eastAsia" w:ascii="Times New Roman" w:hAnsi="Times New Roman" w:eastAsia="宋体" w:cs="Times New Roman"/>
                <w:sz w:val="24"/>
                <w:szCs w:val="24"/>
                <w:lang w:val="en-US" w:eastAsia="zh-CN"/>
              </w:rPr>
              <w:t>据《国家危险废物名录（2025版）》进行判定，</w:t>
            </w:r>
            <w:r>
              <w:rPr>
                <w:rFonts w:hint="eastAsia" w:ascii="Times New Roman" w:hAnsi="Times New Roman" w:eastAsia="宋体" w:cs="Times New Roman"/>
                <w:sz w:val="24"/>
              </w:rPr>
              <w:t>机械设备在维修和保养过程中产生废含油棉纱手套属于危废，危废类别为HW49，废</w:t>
            </w:r>
            <w:r>
              <w:rPr>
                <w:rFonts w:hint="default" w:ascii="Times New Roman" w:hAnsi="Times New Roman" w:eastAsia="宋体" w:cs="Times New Roman"/>
                <w:kern w:val="0"/>
                <w:sz w:val="24"/>
                <w:lang w:bidi="ar"/>
              </w:rPr>
              <w:t>物代码为</w:t>
            </w:r>
            <w:r>
              <w:rPr>
                <w:rFonts w:hint="default" w:ascii="Times New Roman" w:hAnsi="Times New Roman" w:eastAsia="宋体" w:cs="Times New Roman"/>
                <w:kern w:val="0"/>
                <w:sz w:val="24"/>
              </w:rPr>
              <w:t>900-041-49</w:t>
            </w:r>
            <w:r>
              <w:rPr>
                <w:rFonts w:hint="eastAsia" w:ascii="Times New Roman" w:hAnsi="Times New Roman" w:eastAsia="宋体" w:cs="Times New Roman"/>
                <w:kern w:val="0"/>
                <w:sz w:val="24"/>
                <w:lang w:bidi="ar"/>
              </w:rPr>
              <w:t>，</w:t>
            </w:r>
            <w:r>
              <w:rPr>
                <w:rFonts w:hint="eastAsia" w:ascii="Times New Roman" w:hAnsi="Times New Roman" w:eastAsia="宋体" w:cs="Times New Roman"/>
                <w:sz w:val="24"/>
              </w:rPr>
              <w:t>估算产生量为0.01t/a，分类收集后，暂存于危废间，定期交资质单位处置</w:t>
            </w:r>
            <w:r>
              <w:rPr>
                <w:rFonts w:hint="eastAsia" w:cs="Times New Roman"/>
                <w:sz w:val="24"/>
                <w:lang w:eastAsia="zh-CN"/>
              </w:rPr>
              <w:t>。</w:t>
            </w:r>
          </w:p>
          <w:p w14:paraId="47D4A3EE">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b/>
                <w:bCs/>
                <w:szCs w:val="21"/>
              </w:rPr>
            </w:pPr>
            <w:r>
              <w:rPr>
                <w:rFonts w:hint="eastAsia" w:ascii="Times New Roman" w:hAnsi="Times New Roman" w:eastAsia="宋体" w:cs="Times New Roman"/>
                <w:bCs/>
                <w:sz w:val="24"/>
              </w:rPr>
              <w:t>本项目固体废物产生及处理、处置情况见下表。</w:t>
            </w:r>
          </w:p>
          <w:p w14:paraId="5B6DB55B">
            <w:pPr>
              <w:keepNext w:val="0"/>
              <w:keepLines w:val="0"/>
              <w:suppressLineNumbers w:val="0"/>
              <w:spacing w:before="0" w:beforeAutospacing="0" w:after="0" w:afterAutospacing="0"/>
              <w:ind w:left="0" w:right="0"/>
              <w:jc w:val="center"/>
              <w:rPr>
                <w:rFonts w:hint="default" w:ascii="Times New Roman" w:hAnsi="Times New Roman" w:eastAsia="宋体" w:cs="宋体"/>
                <w:color w:val="auto"/>
                <w:sz w:val="24"/>
                <w:szCs w:val="21"/>
              </w:rPr>
            </w:pPr>
            <w:r>
              <w:rPr>
                <w:rFonts w:hint="default" w:ascii="Times New Roman" w:hAnsi="Times New Roman" w:eastAsia="宋体" w:cs="Times New Roman"/>
                <w:b/>
                <w:bCs/>
                <w:color w:val="auto"/>
                <w:szCs w:val="21"/>
              </w:rPr>
              <w:t>表</w:t>
            </w:r>
            <w:r>
              <w:rPr>
                <w:rFonts w:hint="eastAsia" w:ascii="Times New Roman" w:hAnsi="Times New Roman" w:eastAsia="宋体" w:cs="Times New Roman"/>
                <w:b/>
                <w:bCs/>
                <w:color w:val="auto"/>
                <w:szCs w:val="21"/>
              </w:rPr>
              <w:t>4-</w:t>
            </w:r>
            <w:r>
              <w:rPr>
                <w:rFonts w:hint="eastAsia" w:cs="Times New Roman"/>
                <w:b/>
                <w:bCs/>
                <w:color w:val="auto"/>
                <w:szCs w:val="21"/>
                <w:lang w:val="en-US" w:eastAsia="zh-CN"/>
              </w:rPr>
              <w:t>12</w:t>
            </w:r>
            <w:r>
              <w:rPr>
                <w:rFonts w:hint="eastAsia" w:ascii="Times New Roman" w:hAnsi="Times New Roman" w:eastAsia="宋体" w:cs="Times New Roman"/>
                <w:b/>
                <w:bCs/>
                <w:color w:val="auto"/>
                <w:szCs w:val="21"/>
              </w:rPr>
              <w:t xml:space="preserve">  </w:t>
            </w:r>
            <w:r>
              <w:rPr>
                <w:rFonts w:hint="default" w:ascii="Times New Roman" w:hAnsi="Times New Roman" w:eastAsia="宋体" w:cs="Times New Roman"/>
                <w:b/>
                <w:bCs/>
                <w:color w:val="auto"/>
                <w:szCs w:val="21"/>
              </w:rPr>
              <w:t>固废产生情况 单位：t/a</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13"/>
              <w:gridCol w:w="1677"/>
              <w:gridCol w:w="1471"/>
              <w:gridCol w:w="1605"/>
              <w:gridCol w:w="2693"/>
            </w:tblGrid>
            <w:tr w14:paraId="33ADFB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322" w:type="pct"/>
                  <w:tcBorders>
                    <w:tl2br w:val="nil"/>
                    <w:tr2bl w:val="nil"/>
                  </w:tcBorders>
                  <w:noWrap w:val="0"/>
                  <w:tcMar>
                    <w:left w:w="28" w:type="dxa"/>
                    <w:right w:w="28" w:type="dxa"/>
                  </w:tcMar>
                  <w:vAlign w:val="center"/>
                </w:tcPr>
                <w:p w14:paraId="431E11DD">
                  <w:pPr>
                    <w:keepNext w:val="0"/>
                    <w:keepLines w:val="0"/>
                    <w:suppressLineNumbers w:val="0"/>
                    <w:autoSpaceDE w:val="0"/>
                    <w:autoSpaceDN w:val="0"/>
                    <w:adjustRightInd w:val="0"/>
                    <w:spacing w:before="0" w:beforeAutospacing="0" w:after="0" w:afterAutospacing="0"/>
                    <w:ind w:left="42" w:leftChars="20" w:right="42" w:rightChars="20"/>
                    <w:jc w:val="center"/>
                    <w:textAlignment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序号</w:t>
                  </w:r>
                </w:p>
              </w:tc>
              <w:tc>
                <w:tcPr>
                  <w:tcW w:w="1053" w:type="pct"/>
                  <w:tcBorders>
                    <w:tl2br w:val="nil"/>
                    <w:tr2bl w:val="nil"/>
                  </w:tcBorders>
                  <w:noWrap w:val="0"/>
                  <w:tcMar>
                    <w:left w:w="28" w:type="dxa"/>
                    <w:right w:w="28" w:type="dxa"/>
                  </w:tcMar>
                  <w:vAlign w:val="center"/>
                </w:tcPr>
                <w:p w14:paraId="44C0BE98">
                  <w:pPr>
                    <w:keepNext w:val="0"/>
                    <w:keepLines w:val="0"/>
                    <w:suppressLineNumbers w:val="0"/>
                    <w:autoSpaceDE w:val="0"/>
                    <w:autoSpaceDN w:val="0"/>
                    <w:adjustRightInd w:val="0"/>
                    <w:spacing w:before="0" w:beforeAutospacing="0" w:after="0" w:afterAutospacing="0"/>
                    <w:ind w:left="42" w:leftChars="20" w:right="42" w:rightChars="20"/>
                    <w:jc w:val="center"/>
                    <w:textAlignment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废弃物名称</w:t>
                  </w:r>
                </w:p>
              </w:tc>
              <w:tc>
                <w:tcPr>
                  <w:tcW w:w="924" w:type="pct"/>
                  <w:tcBorders>
                    <w:tl2br w:val="nil"/>
                    <w:tr2bl w:val="nil"/>
                  </w:tcBorders>
                  <w:noWrap w:val="0"/>
                  <w:tcMar>
                    <w:left w:w="28" w:type="dxa"/>
                    <w:right w:w="28" w:type="dxa"/>
                  </w:tcMar>
                  <w:vAlign w:val="center"/>
                </w:tcPr>
                <w:p w14:paraId="0C7A2F5E">
                  <w:pPr>
                    <w:keepNext w:val="0"/>
                    <w:keepLines w:val="0"/>
                    <w:suppressLineNumbers w:val="0"/>
                    <w:autoSpaceDE w:val="0"/>
                    <w:autoSpaceDN w:val="0"/>
                    <w:adjustRightInd w:val="0"/>
                    <w:spacing w:before="0" w:beforeAutospacing="0" w:after="0" w:afterAutospacing="0"/>
                    <w:ind w:left="42" w:leftChars="20" w:right="42" w:rightChars="20"/>
                    <w:jc w:val="center"/>
                    <w:textAlignment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产生量（t/a）</w:t>
                  </w:r>
                </w:p>
              </w:tc>
              <w:tc>
                <w:tcPr>
                  <w:tcW w:w="1008" w:type="pct"/>
                  <w:tcBorders>
                    <w:tl2br w:val="nil"/>
                    <w:tr2bl w:val="nil"/>
                  </w:tcBorders>
                  <w:noWrap w:val="0"/>
                  <w:tcMar>
                    <w:left w:w="28" w:type="dxa"/>
                    <w:right w:w="28" w:type="dxa"/>
                  </w:tcMar>
                  <w:vAlign w:val="center"/>
                </w:tcPr>
                <w:p w14:paraId="5385D794">
                  <w:pPr>
                    <w:keepNext w:val="0"/>
                    <w:keepLines w:val="0"/>
                    <w:suppressLineNumbers w:val="0"/>
                    <w:autoSpaceDE w:val="0"/>
                    <w:autoSpaceDN w:val="0"/>
                    <w:adjustRightInd w:val="0"/>
                    <w:spacing w:before="0" w:beforeAutospacing="0" w:after="0" w:afterAutospacing="0"/>
                    <w:ind w:left="42" w:leftChars="20" w:right="42" w:rightChars="20"/>
                    <w:jc w:val="center"/>
                    <w:textAlignment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固废类别</w:t>
                  </w:r>
                </w:p>
              </w:tc>
              <w:tc>
                <w:tcPr>
                  <w:tcW w:w="1691" w:type="pct"/>
                  <w:tcBorders>
                    <w:tl2br w:val="nil"/>
                    <w:tr2bl w:val="nil"/>
                  </w:tcBorders>
                  <w:noWrap w:val="0"/>
                  <w:vAlign w:val="center"/>
                </w:tcPr>
                <w:p w14:paraId="1DA53BC7">
                  <w:pPr>
                    <w:keepNext w:val="0"/>
                    <w:keepLines w:val="0"/>
                    <w:suppressLineNumbers w:val="0"/>
                    <w:autoSpaceDE w:val="0"/>
                    <w:autoSpaceDN w:val="0"/>
                    <w:adjustRightInd w:val="0"/>
                    <w:spacing w:before="0" w:beforeAutospacing="0" w:after="0" w:afterAutospacing="0"/>
                    <w:ind w:left="42" w:leftChars="20" w:right="42" w:rightChars="20"/>
                    <w:jc w:val="center"/>
                    <w:textAlignment w:val="center"/>
                    <w:rPr>
                      <w:rFonts w:hint="default" w:ascii="Times New Roman" w:hAnsi="Times New Roman" w:eastAsia="宋体" w:cs="Times New Roman"/>
                      <w:b/>
                      <w:color w:val="auto"/>
                      <w:szCs w:val="21"/>
                    </w:rPr>
                  </w:pPr>
                  <w:r>
                    <w:rPr>
                      <w:rFonts w:hint="eastAsia" w:ascii="Times New Roman" w:hAnsi="Times New Roman" w:eastAsia="宋体" w:cs="Times New Roman"/>
                      <w:b/>
                      <w:color w:val="auto"/>
                      <w:szCs w:val="21"/>
                    </w:rPr>
                    <w:t>处理措施</w:t>
                  </w:r>
                </w:p>
              </w:tc>
            </w:tr>
            <w:tr w14:paraId="16ABD8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322" w:type="pct"/>
                  <w:tcBorders>
                    <w:tl2br w:val="nil"/>
                    <w:tr2bl w:val="nil"/>
                  </w:tcBorders>
                  <w:noWrap w:val="0"/>
                  <w:tcMar>
                    <w:left w:w="28" w:type="dxa"/>
                    <w:right w:w="28" w:type="dxa"/>
                  </w:tcMar>
                  <w:vAlign w:val="center"/>
                </w:tcPr>
                <w:p w14:paraId="02289A99">
                  <w:pPr>
                    <w:keepNext w:val="0"/>
                    <w:keepLines w:val="0"/>
                    <w:suppressLineNumbers w:val="0"/>
                    <w:autoSpaceDE w:val="0"/>
                    <w:autoSpaceDN w:val="0"/>
                    <w:adjustRightInd w:val="0"/>
                    <w:spacing w:before="0" w:beforeAutospacing="0" w:after="0" w:afterAutospacing="0"/>
                    <w:ind w:left="42" w:leftChars="20" w:right="42" w:rightChars="20"/>
                    <w:jc w:val="center"/>
                    <w:textAlignment w:val="center"/>
                    <w:rPr>
                      <w:rFonts w:hint="default" w:ascii="Times New Roman" w:hAnsi="Times New Roman" w:eastAsia="宋体" w:cs="Times New Roman"/>
                      <w:b/>
                      <w:color w:val="auto"/>
                      <w:szCs w:val="21"/>
                    </w:rPr>
                  </w:pPr>
                  <w:r>
                    <w:rPr>
                      <w:rFonts w:hint="default" w:ascii="Times New Roman" w:hAnsi="Times New Roman" w:eastAsia="宋体" w:cs="Times New Roman"/>
                      <w:color w:val="auto"/>
                      <w:szCs w:val="21"/>
                    </w:rPr>
                    <w:t>1</w:t>
                  </w:r>
                </w:p>
              </w:tc>
              <w:tc>
                <w:tcPr>
                  <w:tcW w:w="1053" w:type="pct"/>
                  <w:tcBorders>
                    <w:tl2br w:val="nil"/>
                    <w:tr2bl w:val="nil"/>
                  </w:tcBorders>
                  <w:noWrap w:val="0"/>
                  <w:tcMar>
                    <w:left w:w="28" w:type="dxa"/>
                    <w:right w:w="28" w:type="dxa"/>
                  </w:tcMar>
                  <w:vAlign w:val="center"/>
                </w:tcPr>
                <w:p w14:paraId="720BAE7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color w:val="auto"/>
                      <w:szCs w:val="21"/>
                    </w:rPr>
                  </w:pPr>
                  <w:r>
                    <w:rPr>
                      <w:rFonts w:hint="eastAsia" w:ascii="Times New Roman" w:hAnsi="Times New Roman" w:eastAsia="宋体" w:cs="Times New Roman"/>
                      <w:bCs/>
                      <w:color w:val="auto"/>
                      <w:kern w:val="0"/>
                      <w:szCs w:val="21"/>
                    </w:rPr>
                    <w:t>生活垃圾</w:t>
                  </w:r>
                </w:p>
              </w:tc>
              <w:tc>
                <w:tcPr>
                  <w:tcW w:w="924" w:type="pct"/>
                  <w:tcBorders>
                    <w:tl2br w:val="nil"/>
                    <w:tr2bl w:val="nil"/>
                  </w:tcBorders>
                  <w:noWrap w:val="0"/>
                  <w:tcMar>
                    <w:left w:w="28" w:type="dxa"/>
                    <w:right w:w="28" w:type="dxa"/>
                  </w:tcMar>
                  <w:vAlign w:val="center"/>
                </w:tcPr>
                <w:p w14:paraId="6780BC5D">
                  <w:pPr>
                    <w:keepNext w:val="0"/>
                    <w:keepLines w:val="0"/>
                    <w:suppressLineNumbers w:val="0"/>
                    <w:autoSpaceDE w:val="0"/>
                    <w:autoSpaceDN w:val="0"/>
                    <w:adjustRightInd w:val="0"/>
                    <w:spacing w:before="0" w:beforeAutospacing="0" w:after="0" w:afterAutospacing="0"/>
                    <w:ind w:left="0" w:right="0"/>
                    <w:jc w:val="center"/>
                    <w:textAlignment w:val="center"/>
                    <w:rPr>
                      <w:rFonts w:hint="default" w:cs="Times New Roman"/>
                      <w:color w:val="auto"/>
                      <w:szCs w:val="21"/>
                      <w:lang w:val="en-US" w:eastAsia="zh-CN"/>
                    </w:rPr>
                  </w:pPr>
                  <w:r>
                    <w:rPr>
                      <w:rFonts w:hint="eastAsia" w:cs="Times New Roman"/>
                      <w:color w:val="auto"/>
                      <w:szCs w:val="21"/>
                      <w:lang w:val="en-US" w:eastAsia="zh-CN"/>
                    </w:rPr>
                    <w:t>0.6</w:t>
                  </w:r>
                </w:p>
              </w:tc>
              <w:tc>
                <w:tcPr>
                  <w:tcW w:w="1008" w:type="pct"/>
                  <w:tcBorders>
                    <w:tl2br w:val="nil"/>
                    <w:tr2bl w:val="nil"/>
                  </w:tcBorders>
                  <w:noWrap w:val="0"/>
                  <w:tcMar>
                    <w:left w:w="28" w:type="dxa"/>
                    <w:right w:w="28" w:type="dxa"/>
                  </w:tcMar>
                  <w:vAlign w:val="center"/>
                </w:tcPr>
                <w:p w14:paraId="6C2DB604">
                  <w:pPr>
                    <w:keepNext w:val="0"/>
                    <w:keepLines w:val="0"/>
                    <w:suppressLineNumbers w:val="0"/>
                    <w:autoSpaceDE w:val="0"/>
                    <w:autoSpaceDN w:val="0"/>
                    <w:adjustRightInd w:val="0"/>
                    <w:spacing w:before="0" w:beforeAutospacing="0" w:after="0" w:afterAutospacing="0"/>
                    <w:ind w:left="42" w:leftChars="20" w:right="42" w:rightChars="20"/>
                    <w:jc w:val="center"/>
                    <w:textAlignment w:val="center"/>
                    <w:rPr>
                      <w:rFonts w:hint="default" w:ascii="Times New Roman" w:hAnsi="Times New Roman" w:eastAsia="宋体" w:cs="Times New Roman"/>
                      <w:b/>
                      <w:color w:val="auto"/>
                      <w:szCs w:val="21"/>
                    </w:rPr>
                  </w:pPr>
                  <w:r>
                    <w:rPr>
                      <w:rFonts w:hint="eastAsia" w:ascii="Times New Roman" w:hAnsi="Times New Roman" w:eastAsia="宋体" w:cs="Times New Roman"/>
                      <w:bCs/>
                      <w:color w:val="auto"/>
                      <w:kern w:val="0"/>
                      <w:szCs w:val="21"/>
                    </w:rPr>
                    <w:t>生活垃圾</w:t>
                  </w:r>
                </w:p>
              </w:tc>
              <w:tc>
                <w:tcPr>
                  <w:tcW w:w="1691" w:type="pct"/>
                  <w:tcBorders>
                    <w:tl2br w:val="nil"/>
                    <w:tr2bl w:val="nil"/>
                  </w:tcBorders>
                  <w:noWrap w:val="0"/>
                  <w:vAlign w:val="center"/>
                </w:tcPr>
                <w:p w14:paraId="0853C0D4">
                  <w:pPr>
                    <w:keepNext w:val="0"/>
                    <w:keepLines w:val="0"/>
                    <w:suppressLineNumbers w:val="0"/>
                    <w:autoSpaceDE w:val="0"/>
                    <w:autoSpaceDN w:val="0"/>
                    <w:adjustRightInd w:val="0"/>
                    <w:spacing w:before="0" w:beforeAutospacing="0" w:after="0" w:afterAutospacing="0"/>
                    <w:ind w:left="42" w:leftChars="20" w:right="42" w:rightChars="20"/>
                    <w:jc w:val="center"/>
                    <w:textAlignment w:val="center"/>
                    <w:rPr>
                      <w:rFonts w:hint="default" w:ascii="Times New Roman" w:hAnsi="Times New Roman" w:eastAsia="宋体" w:cs="Times New Roman"/>
                      <w:b/>
                      <w:color w:val="auto"/>
                      <w:szCs w:val="21"/>
                    </w:rPr>
                  </w:pPr>
                  <w:r>
                    <w:rPr>
                      <w:rFonts w:hint="eastAsia" w:ascii="Times New Roman" w:hAnsi="Times New Roman" w:eastAsia="宋体" w:cs="Times New Roman"/>
                      <w:color w:val="auto"/>
                      <w:szCs w:val="21"/>
                    </w:rPr>
                    <w:t>市</w:t>
                  </w:r>
                  <w:r>
                    <w:rPr>
                      <w:rFonts w:hint="default" w:ascii="Times New Roman" w:hAnsi="Times New Roman" w:eastAsia="宋体" w:cs="Times New Roman"/>
                      <w:color w:val="auto"/>
                      <w:szCs w:val="21"/>
                    </w:rPr>
                    <w:t>政环卫部门</w:t>
                  </w:r>
                  <w:r>
                    <w:rPr>
                      <w:rFonts w:hint="eastAsia" w:ascii="Times New Roman" w:hAnsi="Times New Roman" w:eastAsia="宋体" w:cs="Times New Roman"/>
                      <w:color w:val="auto"/>
                      <w:szCs w:val="21"/>
                    </w:rPr>
                    <w:t>定期</w:t>
                  </w:r>
                  <w:r>
                    <w:rPr>
                      <w:rFonts w:hint="default" w:ascii="Times New Roman" w:hAnsi="Times New Roman" w:eastAsia="宋体" w:cs="Times New Roman"/>
                      <w:color w:val="auto"/>
                      <w:szCs w:val="21"/>
                    </w:rPr>
                    <w:t>清运处理</w:t>
                  </w:r>
                </w:p>
              </w:tc>
            </w:tr>
            <w:tr w14:paraId="5F355D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322" w:type="pct"/>
                  <w:tcBorders>
                    <w:tl2br w:val="nil"/>
                    <w:tr2bl w:val="nil"/>
                  </w:tcBorders>
                  <w:noWrap w:val="0"/>
                  <w:tcMar>
                    <w:left w:w="28" w:type="dxa"/>
                    <w:right w:w="28" w:type="dxa"/>
                  </w:tcMar>
                  <w:vAlign w:val="center"/>
                </w:tcPr>
                <w:p w14:paraId="5BDBA67F">
                  <w:pPr>
                    <w:keepNext w:val="0"/>
                    <w:keepLines w:val="0"/>
                    <w:suppressLineNumbers w:val="0"/>
                    <w:autoSpaceDE w:val="0"/>
                    <w:autoSpaceDN w:val="0"/>
                    <w:adjustRightInd w:val="0"/>
                    <w:spacing w:before="0" w:beforeAutospacing="0" w:after="0" w:afterAutospacing="0"/>
                    <w:ind w:left="42" w:leftChars="20" w:right="42" w:rightChars="20"/>
                    <w:jc w:val="center"/>
                    <w:textAlignment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2</w:t>
                  </w:r>
                </w:p>
              </w:tc>
              <w:tc>
                <w:tcPr>
                  <w:tcW w:w="1053" w:type="pct"/>
                  <w:tcBorders>
                    <w:tl2br w:val="nil"/>
                    <w:tr2bl w:val="nil"/>
                  </w:tcBorders>
                  <w:noWrap w:val="0"/>
                  <w:tcMar>
                    <w:left w:w="28" w:type="dxa"/>
                    <w:right w:w="28" w:type="dxa"/>
                  </w:tcMar>
                  <w:vAlign w:val="center"/>
                </w:tcPr>
                <w:p w14:paraId="60876B6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auto"/>
                      <w:kern w:val="0"/>
                      <w:szCs w:val="21"/>
                      <w:lang w:val="en-US" w:eastAsia="zh-CN"/>
                    </w:rPr>
                  </w:pPr>
                  <w:r>
                    <w:rPr>
                      <w:rFonts w:hint="eastAsia" w:cs="Times New Roman"/>
                      <w:bCs/>
                      <w:color w:val="auto"/>
                      <w:kern w:val="0"/>
                      <w:szCs w:val="21"/>
                      <w:lang w:val="en-US" w:eastAsia="zh-CN"/>
                    </w:rPr>
                    <w:t>预处理池污泥</w:t>
                  </w:r>
                </w:p>
              </w:tc>
              <w:tc>
                <w:tcPr>
                  <w:tcW w:w="924" w:type="pct"/>
                  <w:tcBorders>
                    <w:tl2br w:val="nil"/>
                    <w:tr2bl w:val="nil"/>
                  </w:tcBorders>
                  <w:noWrap w:val="0"/>
                  <w:tcMar>
                    <w:left w:w="28" w:type="dxa"/>
                    <w:right w:w="28" w:type="dxa"/>
                  </w:tcMar>
                  <w:vAlign w:val="center"/>
                </w:tcPr>
                <w:p w14:paraId="56BEEBC2">
                  <w:pPr>
                    <w:keepNext w:val="0"/>
                    <w:keepLines w:val="0"/>
                    <w:suppressLineNumbers w:val="0"/>
                    <w:autoSpaceDE w:val="0"/>
                    <w:autoSpaceDN w:val="0"/>
                    <w:adjustRightInd w:val="0"/>
                    <w:spacing w:before="0" w:beforeAutospacing="0" w:after="0" w:afterAutospacing="0"/>
                    <w:ind w:left="0" w:right="0"/>
                    <w:jc w:val="center"/>
                    <w:textAlignment w:val="center"/>
                    <w:rPr>
                      <w:rFonts w:hint="default" w:cs="Times New Roman"/>
                      <w:color w:val="auto"/>
                      <w:szCs w:val="21"/>
                      <w:lang w:val="en-US" w:eastAsia="zh-CN"/>
                    </w:rPr>
                  </w:pPr>
                  <w:r>
                    <w:rPr>
                      <w:rFonts w:hint="eastAsia" w:cs="Times New Roman"/>
                      <w:color w:val="auto"/>
                      <w:szCs w:val="21"/>
                      <w:lang w:val="en-US" w:eastAsia="zh-CN"/>
                    </w:rPr>
                    <w:t>0.5</w:t>
                  </w:r>
                </w:p>
              </w:tc>
              <w:tc>
                <w:tcPr>
                  <w:tcW w:w="1008" w:type="pct"/>
                  <w:tcBorders>
                    <w:tl2br w:val="nil"/>
                    <w:tr2bl w:val="nil"/>
                  </w:tcBorders>
                  <w:noWrap w:val="0"/>
                  <w:tcMar>
                    <w:left w:w="28" w:type="dxa"/>
                    <w:right w:w="28" w:type="dxa"/>
                  </w:tcMar>
                  <w:vAlign w:val="center"/>
                </w:tcPr>
                <w:p w14:paraId="0238F66C">
                  <w:pPr>
                    <w:keepNext w:val="0"/>
                    <w:keepLines w:val="0"/>
                    <w:suppressLineNumbers w:val="0"/>
                    <w:autoSpaceDE w:val="0"/>
                    <w:autoSpaceDN w:val="0"/>
                    <w:adjustRightInd w:val="0"/>
                    <w:spacing w:before="0" w:beforeAutospacing="0" w:after="0" w:afterAutospacing="0"/>
                    <w:ind w:left="42" w:leftChars="20" w:right="42" w:rightChars="20"/>
                    <w:jc w:val="center"/>
                    <w:textAlignment w:val="center"/>
                    <w:rPr>
                      <w:rFonts w:hint="eastAsia" w:ascii="Times New Roman" w:hAnsi="Times New Roman" w:eastAsia="宋体" w:cs="Times New Roman"/>
                      <w:bCs/>
                      <w:color w:val="auto"/>
                      <w:kern w:val="0"/>
                      <w:szCs w:val="21"/>
                    </w:rPr>
                  </w:pPr>
                  <w:r>
                    <w:rPr>
                      <w:rFonts w:hint="eastAsia" w:ascii="Times New Roman" w:hAnsi="Times New Roman" w:eastAsia="宋体" w:cs="Times New Roman"/>
                      <w:color w:val="auto"/>
                      <w:szCs w:val="21"/>
                      <w:lang w:val="en-US" w:eastAsia="zh-CN"/>
                    </w:rPr>
                    <w:t>一般固废</w:t>
                  </w:r>
                </w:p>
              </w:tc>
              <w:tc>
                <w:tcPr>
                  <w:tcW w:w="1691" w:type="pct"/>
                  <w:tcBorders>
                    <w:tl2br w:val="nil"/>
                    <w:tr2bl w:val="nil"/>
                  </w:tcBorders>
                  <w:noWrap w:val="0"/>
                  <w:vAlign w:val="center"/>
                </w:tcPr>
                <w:p w14:paraId="0AAE48D1">
                  <w:pPr>
                    <w:keepNext w:val="0"/>
                    <w:keepLines w:val="0"/>
                    <w:suppressLineNumbers w:val="0"/>
                    <w:autoSpaceDE w:val="0"/>
                    <w:autoSpaceDN w:val="0"/>
                    <w:adjustRightInd w:val="0"/>
                    <w:spacing w:before="0" w:beforeAutospacing="0" w:after="0" w:afterAutospacing="0"/>
                    <w:ind w:left="42" w:leftChars="20" w:right="42" w:rightChars="20"/>
                    <w:jc w:val="center"/>
                    <w:textAlignment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委托有处置能力单位进行转运处置</w:t>
                  </w:r>
                </w:p>
              </w:tc>
            </w:tr>
            <w:tr w14:paraId="00832D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322" w:type="pct"/>
                  <w:tcBorders>
                    <w:tl2br w:val="nil"/>
                    <w:tr2bl w:val="nil"/>
                  </w:tcBorders>
                  <w:noWrap w:val="0"/>
                  <w:tcMar>
                    <w:left w:w="28" w:type="dxa"/>
                    <w:right w:w="28" w:type="dxa"/>
                  </w:tcMar>
                  <w:vAlign w:val="center"/>
                </w:tcPr>
                <w:p w14:paraId="34151FA1">
                  <w:pPr>
                    <w:keepNext w:val="0"/>
                    <w:keepLines w:val="0"/>
                    <w:suppressLineNumbers w:val="0"/>
                    <w:autoSpaceDE w:val="0"/>
                    <w:autoSpaceDN w:val="0"/>
                    <w:adjustRightInd w:val="0"/>
                    <w:spacing w:before="0" w:beforeAutospacing="0" w:after="0" w:afterAutospacing="0"/>
                    <w:ind w:left="42" w:leftChars="20" w:right="42" w:rightChars="20"/>
                    <w:jc w:val="center"/>
                    <w:textAlignment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3</w:t>
                  </w:r>
                </w:p>
              </w:tc>
              <w:tc>
                <w:tcPr>
                  <w:tcW w:w="1053" w:type="pct"/>
                  <w:tcBorders>
                    <w:tl2br w:val="nil"/>
                    <w:tr2bl w:val="nil"/>
                  </w:tcBorders>
                  <w:noWrap w:val="0"/>
                  <w:tcMar>
                    <w:left w:w="28" w:type="dxa"/>
                    <w:right w:w="28" w:type="dxa"/>
                  </w:tcMar>
                  <w:vAlign w:val="center"/>
                </w:tcPr>
                <w:p w14:paraId="40317323">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Cs/>
                      <w:color w:val="auto"/>
                      <w:kern w:val="0"/>
                      <w:szCs w:val="21"/>
                    </w:rPr>
                  </w:pPr>
                  <w:r>
                    <w:rPr>
                      <w:rFonts w:hint="eastAsia" w:cs="Times New Roman"/>
                      <w:color w:val="auto"/>
                      <w:szCs w:val="21"/>
                      <w:lang w:val="en-US" w:eastAsia="zh-CN"/>
                    </w:rPr>
                    <w:t>泥饼</w:t>
                  </w:r>
                </w:p>
              </w:tc>
              <w:tc>
                <w:tcPr>
                  <w:tcW w:w="924" w:type="pct"/>
                  <w:tcBorders>
                    <w:tl2br w:val="nil"/>
                    <w:tr2bl w:val="nil"/>
                  </w:tcBorders>
                  <w:noWrap w:val="0"/>
                  <w:tcMar>
                    <w:left w:w="28" w:type="dxa"/>
                    <w:right w:w="28" w:type="dxa"/>
                  </w:tcMar>
                  <w:vAlign w:val="center"/>
                </w:tcPr>
                <w:p w14:paraId="35568BA4">
                  <w:pPr>
                    <w:keepNext w:val="0"/>
                    <w:keepLines w:val="0"/>
                    <w:suppressLineNumbers w:val="0"/>
                    <w:autoSpaceDE w:val="0"/>
                    <w:autoSpaceDN w:val="0"/>
                    <w:adjustRightInd w:val="0"/>
                    <w:spacing w:before="0" w:beforeAutospacing="0" w:after="0" w:afterAutospacing="0"/>
                    <w:ind w:left="0" w:right="0"/>
                    <w:jc w:val="center"/>
                    <w:textAlignment w:val="center"/>
                    <w:rPr>
                      <w:rFonts w:hint="default" w:cs="Times New Roman"/>
                      <w:color w:val="auto"/>
                      <w:szCs w:val="21"/>
                      <w:lang w:val="en-US" w:eastAsia="zh-CN"/>
                    </w:rPr>
                  </w:pPr>
                  <w:r>
                    <w:rPr>
                      <w:rFonts w:hint="eastAsia" w:cs="Times New Roman"/>
                      <w:color w:val="auto"/>
                      <w:szCs w:val="21"/>
                      <w:lang w:val="en-US" w:eastAsia="zh-CN"/>
                    </w:rPr>
                    <w:t>4247.3312</w:t>
                  </w:r>
                </w:p>
              </w:tc>
              <w:tc>
                <w:tcPr>
                  <w:tcW w:w="1008" w:type="pct"/>
                  <w:tcBorders>
                    <w:tl2br w:val="nil"/>
                    <w:tr2bl w:val="nil"/>
                  </w:tcBorders>
                  <w:noWrap w:val="0"/>
                  <w:tcMar>
                    <w:left w:w="28" w:type="dxa"/>
                    <w:right w:w="28" w:type="dxa"/>
                  </w:tcMar>
                  <w:vAlign w:val="center"/>
                </w:tcPr>
                <w:p w14:paraId="4DACFB52">
                  <w:pPr>
                    <w:keepNext w:val="0"/>
                    <w:keepLines w:val="0"/>
                    <w:suppressLineNumbers w:val="0"/>
                    <w:autoSpaceDE w:val="0"/>
                    <w:autoSpaceDN w:val="0"/>
                    <w:adjustRightInd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一般固废</w:t>
                  </w:r>
                </w:p>
              </w:tc>
              <w:tc>
                <w:tcPr>
                  <w:tcW w:w="1691" w:type="pct"/>
                  <w:tcBorders>
                    <w:tl2br w:val="nil"/>
                    <w:tr2bl w:val="nil"/>
                  </w:tcBorders>
                  <w:noWrap w:val="0"/>
                  <w:vAlign w:val="center"/>
                </w:tcPr>
                <w:p w14:paraId="162D86C9">
                  <w:pPr>
                    <w:keepNext w:val="0"/>
                    <w:keepLines w:val="0"/>
                    <w:suppressLineNumbers w:val="0"/>
                    <w:autoSpaceDE w:val="0"/>
                    <w:autoSpaceDN w:val="0"/>
                    <w:adjustRightInd w:val="0"/>
                    <w:spacing w:before="0" w:beforeAutospacing="0" w:after="0" w:afterAutospacing="0"/>
                    <w:ind w:left="42" w:leftChars="20" w:right="42" w:rightChars="20"/>
                    <w:jc w:val="center"/>
                    <w:textAlignment w:val="center"/>
                    <w:rPr>
                      <w:rFonts w:hint="eastAsia" w:ascii="Times New Roman" w:hAnsi="Times New Roman" w:eastAsia="宋体" w:cs="Times New Roman"/>
                      <w:color w:val="auto"/>
                      <w:szCs w:val="21"/>
                    </w:rPr>
                  </w:pPr>
                  <w:r>
                    <w:rPr>
                      <w:rFonts w:hint="eastAsia" w:cs="Times New Roman"/>
                      <w:color w:val="auto"/>
                      <w:szCs w:val="21"/>
                      <w:lang w:val="en-US" w:eastAsia="zh-CN"/>
                    </w:rPr>
                    <w:t>交</w:t>
                  </w:r>
                  <w:r>
                    <w:rPr>
                      <w:rFonts w:hint="eastAsia" w:ascii="Times New Roman" w:hAnsi="Times New Roman" w:eastAsia="宋体" w:cs="Times New Roman"/>
                      <w:color w:val="auto"/>
                      <w:szCs w:val="21"/>
                    </w:rPr>
                    <w:t>邻水县玖能空心砖厂制砖</w:t>
                  </w:r>
                </w:p>
              </w:tc>
            </w:tr>
            <w:tr w14:paraId="508279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2" w:type="pct"/>
                  <w:tcBorders>
                    <w:tl2br w:val="nil"/>
                    <w:tr2bl w:val="nil"/>
                  </w:tcBorders>
                  <w:noWrap w:val="0"/>
                  <w:tcMar>
                    <w:left w:w="28" w:type="dxa"/>
                    <w:right w:w="28" w:type="dxa"/>
                  </w:tcMar>
                  <w:vAlign w:val="center"/>
                </w:tcPr>
                <w:p w14:paraId="71E865EF">
                  <w:pPr>
                    <w:keepNext w:val="0"/>
                    <w:keepLines w:val="0"/>
                    <w:suppressLineNumbers w:val="0"/>
                    <w:autoSpaceDE w:val="0"/>
                    <w:autoSpaceDN w:val="0"/>
                    <w:adjustRightInd w:val="0"/>
                    <w:spacing w:before="0" w:beforeAutospacing="0" w:after="0" w:afterAutospacing="0"/>
                    <w:ind w:left="42" w:leftChars="20" w:right="42" w:rightChars="20"/>
                    <w:jc w:val="center"/>
                    <w:textAlignment w:val="center"/>
                    <w:rPr>
                      <w:rFonts w:hint="eastAsia" w:ascii="Times New Roman" w:hAnsi="Times New Roman" w:eastAsia="宋体" w:cs="Times New Roman"/>
                      <w:color w:val="auto"/>
                      <w:szCs w:val="21"/>
                      <w:lang w:eastAsia="zh-CN"/>
                    </w:rPr>
                  </w:pPr>
                  <w:r>
                    <w:rPr>
                      <w:rFonts w:hint="eastAsia" w:cs="Times New Roman"/>
                      <w:color w:val="auto"/>
                      <w:szCs w:val="21"/>
                      <w:lang w:val="en-US" w:eastAsia="zh-CN"/>
                    </w:rPr>
                    <w:t>4</w:t>
                  </w:r>
                </w:p>
              </w:tc>
              <w:tc>
                <w:tcPr>
                  <w:tcW w:w="1053" w:type="pct"/>
                  <w:tcBorders>
                    <w:tl2br w:val="nil"/>
                    <w:tr2bl w:val="nil"/>
                  </w:tcBorders>
                  <w:noWrap w:val="0"/>
                  <w:tcMar>
                    <w:left w:w="28" w:type="dxa"/>
                    <w:right w:w="28" w:type="dxa"/>
                  </w:tcMar>
                  <w:vAlign w:val="center"/>
                </w:tcPr>
                <w:p w14:paraId="3E5FAC0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auto"/>
                      <w:kern w:val="0"/>
                      <w:szCs w:val="21"/>
                    </w:rPr>
                  </w:pPr>
                  <w:r>
                    <w:rPr>
                      <w:rFonts w:hint="eastAsia" w:ascii="Times New Roman" w:hAnsi="Times New Roman" w:eastAsia="宋体" w:cs="Times New Roman"/>
                      <w:bCs/>
                      <w:color w:val="auto"/>
                      <w:kern w:val="0"/>
                      <w:szCs w:val="21"/>
                    </w:rPr>
                    <w:t>废矿物油及油桶</w:t>
                  </w:r>
                </w:p>
              </w:tc>
              <w:tc>
                <w:tcPr>
                  <w:tcW w:w="924" w:type="pct"/>
                  <w:tcBorders>
                    <w:tl2br w:val="nil"/>
                    <w:tr2bl w:val="nil"/>
                  </w:tcBorders>
                  <w:noWrap w:val="0"/>
                  <w:vAlign w:val="center"/>
                </w:tcPr>
                <w:p w14:paraId="210E7DB1">
                  <w:pPr>
                    <w:keepNext w:val="0"/>
                    <w:keepLines w:val="0"/>
                    <w:suppressLineNumbers w:val="0"/>
                    <w:autoSpaceDE w:val="0"/>
                    <w:autoSpaceDN w:val="0"/>
                    <w:adjustRightInd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0.06</w:t>
                  </w:r>
                </w:p>
              </w:tc>
              <w:tc>
                <w:tcPr>
                  <w:tcW w:w="1008" w:type="pct"/>
                  <w:tcBorders>
                    <w:tl2br w:val="nil"/>
                    <w:tr2bl w:val="nil"/>
                  </w:tcBorders>
                  <w:noWrap w:val="0"/>
                  <w:tcMar>
                    <w:left w:w="28" w:type="dxa"/>
                    <w:right w:w="28" w:type="dxa"/>
                  </w:tcMar>
                  <w:vAlign w:val="center"/>
                </w:tcPr>
                <w:p w14:paraId="2A68FD22">
                  <w:pPr>
                    <w:keepNext w:val="0"/>
                    <w:keepLines w:val="0"/>
                    <w:suppressLineNumbers w:val="0"/>
                    <w:autoSpaceDE w:val="0"/>
                    <w:autoSpaceDN w:val="0"/>
                    <w:adjustRightInd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HW08，</w:t>
                  </w:r>
                  <w:r>
                    <w:rPr>
                      <w:rFonts w:hint="eastAsia" w:ascii="Times New Roman" w:hAnsi="Times New Roman" w:eastAsia="宋体" w:cs="Times New Roman"/>
                      <w:color w:val="auto"/>
                      <w:szCs w:val="21"/>
                      <w:lang w:val="en-US" w:eastAsia="zh-CN"/>
                    </w:rPr>
                    <w:t>危废</w:t>
                  </w:r>
                  <w:r>
                    <w:rPr>
                      <w:rFonts w:hint="default" w:ascii="Times New Roman" w:hAnsi="Times New Roman" w:eastAsia="宋体" w:cs="Times New Roman"/>
                      <w:color w:val="auto"/>
                      <w:szCs w:val="21"/>
                    </w:rPr>
                    <w:t>代码：900-</w:t>
                  </w:r>
                  <w:r>
                    <w:rPr>
                      <w:rFonts w:hint="eastAsia" w:ascii="Times New Roman" w:hAnsi="Times New Roman" w:eastAsia="宋体" w:cs="Times New Roman"/>
                      <w:color w:val="auto"/>
                      <w:szCs w:val="21"/>
                      <w:lang w:val="en-US" w:eastAsia="zh-CN"/>
                    </w:rPr>
                    <w:t>249</w:t>
                  </w:r>
                  <w:r>
                    <w:rPr>
                      <w:rFonts w:hint="default" w:ascii="Times New Roman" w:hAnsi="Times New Roman" w:eastAsia="宋体" w:cs="Times New Roman"/>
                      <w:color w:val="auto"/>
                      <w:szCs w:val="21"/>
                    </w:rPr>
                    <w:t>-08</w:t>
                  </w:r>
                </w:p>
              </w:tc>
              <w:tc>
                <w:tcPr>
                  <w:tcW w:w="1691" w:type="pct"/>
                  <w:vMerge w:val="restart"/>
                  <w:tcBorders>
                    <w:tl2br w:val="nil"/>
                    <w:tr2bl w:val="nil"/>
                  </w:tcBorders>
                  <w:noWrap w:val="0"/>
                  <w:vAlign w:val="center"/>
                </w:tcPr>
                <w:p w14:paraId="4491FF70">
                  <w:pPr>
                    <w:keepNext w:val="0"/>
                    <w:keepLines w:val="0"/>
                    <w:suppressLineNumbers w:val="0"/>
                    <w:autoSpaceDE w:val="0"/>
                    <w:autoSpaceDN w:val="0"/>
                    <w:adjustRightInd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分类暂存于危废暂存间，</w:t>
                  </w:r>
                  <w:r>
                    <w:rPr>
                      <w:rFonts w:hint="default" w:ascii="Times New Roman" w:hAnsi="Times New Roman" w:eastAsia="宋体" w:cs="Times New Roman"/>
                      <w:color w:val="auto"/>
                      <w:szCs w:val="21"/>
                    </w:rPr>
                    <w:t>定期交</w:t>
                  </w:r>
                  <w:r>
                    <w:rPr>
                      <w:rFonts w:hint="eastAsia" w:ascii="Times New Roman" w:hAnsi="Times New Roman" w:eastAsia="宋体" w:cs="Times New Roman"/>
                      <w:color w:val="auto"/>
                      <w:szCs w:val="21"/>
                    </w:rPr>
                    <w:t>与危废资质单位</w:t>
                  </w:r>
                  <w:r>
                    <w:rPr>
                      <w:rFonts w:hint="default" w:ascii="Times New Roman" w:hAnsi="Times New Roman" w:eastAsia="宋体" w:cs="Times New Roman"/>
                      <w:color w:val="auto"/>
                      <w:szCs w:val="21"/>
                    </w:rPr>
                    <w:t>处置</w:t>
                  </w:r>
                </w:p>
              </w:tc>
            </w:tr>
            <w:tr w14:paraId="60C65F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322" w:type="pct"/>
                  <w:tcBorders>
                    <w:tl2br w:val="nil"/>
                    <w:tr2bl w:val="nil"/>
                  </w:tcBorders>
                  <w:noWrap w:val="0"/>
                  <w:tcMar>
                    <w:left w:w="28" w:type="dxa"/>
                    <w:right w:w="28" w:type="dxa"/>
                  </w:tcMar>
                  <w:vAlign w:val="center"/>
                </w:tcPr>
                <w:p w14:paraId="4AC2393E">
                  <w:pPr>
                    <w:keepNext w:val="0"/>
                    <w:keepLines w:val="0"/>
                    <w:suppressLineNumbers w:val="0"/>
                    <w:autoSpaceDE w:val="0"/>
                    <w:autoSpaceDN w:val="0"/>
                    <w:adjustRightInd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5</w:t>
                  </w:r>
                </w:p>
              </w:tc>
              <w:tc>
                <w:tcPr>
                  <w:tcW w:w="1053" w:type="pct"/>
                  <w:tcBorders>
                    <w:tl2br w:val="nil"/>
                    <w:tr2bl w:val="nil"/>
                  </w:tcBorders>
                  <w:noWrap w:val="0"/>
                  <w:tcMar>
                    <w:left w:w="28" w:type="dxa"/>
                    <w:right w:w="28" w:type="dxa"/>
                  </w:tcMar>
                  <w:vAlign w:val="center"/>
                </w:tcPr>
                <w:p w14:paraId="7332FBAC">
                  <w:pPr>
                    <w:keepNext w:val="0"/>
                    <w:keepLines w:val="0"/>
                    <w:widowControl/>
                    <w:suppressLineNumbers w:val="0"/>
                    <w:spacing w:before="0" w:beforeAutospacing="0" w:after="0" w:afterAutospacing="0"/>
                    <w:ind w:left="0" w:right="0"/>
                    <w:jc w:val="center"/>
                    <w:rPr>
                      <w:rFonts w:hint="default" w:ascii="Times New Roman" w:hAnsi="Times New Roman" w:eastAsia="宋体" w:cs="宋体"/>
                      <w:color w:val="auto"/>
                      <w:szCs w:val="21"/>
                    </w:rPr>
                  </w:pPr>
                  <w:r>
                    <w:rPr>
                      <w:rFonts w:hint="eastAsia" w:ascii="Times New Roman" w:hAnsi="Times New Roman" w:eastAsia="宋体" w:cs="宋体"/>
                      <w:color w:val="auto"/>
                      <w:szCs w:val="21"/>
                    </w:rPr>
                    <w:t>废含油棉纱手套</w:t>
                  </w:r>
                </w:p>
              </w:tc>
              <w:tc>
                <w:tcPr>
                  <w:tcW w:w="924" w:type="pct"/>
                  <w:tcBorders>
                    <w:tl2br w:val="nil"/>
                    <w:tr2bl w:val="nil"/>
                  </w:tcBorders>
                  <w:noWrap w:val="0"/>
                  <w:vAlign w:val="center"/>
                </w:tcPr>
                <w:p w14:paraId="74556D9A">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0.01</w:t>
                  </w:r>
                </w:p>
              </w:tc>
              <w:tc>
                <w:tcPr>
                  <w:tcW w:w="1008" w:type="pct"/>
                  <w:tcBorders>
                    <w:tl2br w:val="nil"/>
                    <w:tr2bl w:val="nil"/>
                  </w:tcBorders>
                  <w:noWrap w:val="0"/>
                  <w:tcMar>
                    <w:left w:w="28" w:type="dxa"/>
                    <w:right w:w="28" w:type="dxa"/>
                  </w:tcMar>
                  <w:vAlign w:val="center"/>
                </w:tcPr>
                <w:p w14:paraId="5E6A8C73">
                  <w:pPr>
                    <w:keepNext w:val="0"/>
                    <w:keepLines w:val="0"/>
                    <w:widowControl/>
                    <w:suppressLineNumbers w:val="0"/>
                    <w:spacing w:before="0" w:beforeAutospacing="0" w:after="0" w:afterAutospacing="0"/>
                    <w:ind w:left="0" w:right="0"/>
                    <w:jc w:val="center"/>
                    <w:rPr>
                      <w:rFonts w:hint="default" w:ascii="Times New Roman" w:hAnsi="Times New Roman" w:eastAsia="宋体" w:cs="宋体"/>
                      <w:bCs/>
                      <w:color w:val="auto"/>
                      <w:szCs w:val="21"/>
                    </w:rPr>
                  </w:pPr>
                  <w:r>
                    <w:rPr>
                      <w:rFonts w:hint="default" w:ascii="Times New Roman" w:hAnsi="Times New Roman" w:eastAsia="宋体" w:cs="Times New Roman"/>
                      <w:color w:val="auto"/>
                      <w:kern w:val="0"/>
                      <w:szCs w:val="21"/>
                      <w:lang w:bidi="ar"/>
                    </w:rPr>
                    <w:t>HW</w:t>
                  </w:r>
                  <w:r>
                    <w:rPr>
                      <w:rFonts w:hint="eastAsia" w:ascii="Times New Roman" w:hAnsi="Times New Roman" w:eastAsia="宋体" w:cs="Times New Roman"/>
                      <w:color w:val="auto"/>
                      <w:kern w:val="0"/>
                      <w:szCs w:val="21"/>
                      <w:lang w:bidi="ar"/>
                    </w:rPr>
                    <w:t>49，</w:t>
                  </w:r>
                  <w:r>
                    <w:rPr>
                      <w:rFonts w:hint="eastAsia" w:ascii="Times New Roman" w:hAnsi="Times New Roman" w:eastAsia="宋体" w:cs="Times New Roman"/>
                      <w:color w:val="auto"/>
                      <w:szCs w:val="21"/>
                      <w:lang w:val="en-US" w:eastAsia="zh-CN"/>
                    </w:rPr>
                    <w:t>危废</w:t>
                  </w:r>
                  <w:r>
                    <w:rPr>
                      <w:rFonts w:hint="default" w:ascii="Times New Roman" w:hAnsi="Times New Roman" w:eastAsia="宋体" w:cs="Times New Roman"/>
                      <w:color w:val="auto"/>
                      <w:szCs w:val="21"/>
                    </w:rPr>
                    <w:t>代码：900-</w:t>
                  </w:r>
                  <w:r>
                    <w:rPr>
                      <w:rFonts w:hint="eastAsia" w:ascii="Times New Roman" w:hAnsi="Times New Roman" w:eastAsia="宋体" w:cs="Times New Roman"/>
                      <w:color w:val="auto"/>
                      <w:szCs w:val="21"/>
                    </w:rPr>
                    <w:t>041</w:t>
                  </w:r>
                  <w:r>
                    <w:rPr>
                      <w:rFonts w:hint="default" w:ascii="Times New Roman" w:hAnsi="Times New Roman" w:eastAsia="宋体" w:cs="Times New Roman"/>
                      <w:color w:val="auto"/>
                      <w:szCs w:val="21"/>
                    </w:rPr>
                    <w:t>-</w:t>
                  </w:r>
                  <w:r>
                    <w:rPr>
                      <w:rFonts w:hint="eastAsia" w:ascii="Times New Roman" w:hAnsi="Times New Roman" w:eastAsia="宋体" w:cs="Times New Roman"/>
                      <w:color w:val="auto"/>
                      <w:szCs w:val="21"/>
                    </w:rPr>
                    <w:t>49</w:t>
                  </w:r>
                </w:p>
              </w:tc>
              <w:tc>
                <w:tcPr>
                  <w:tcW w:w="1691" w:type="pct"/>
                  <w:vMerge w:val="continue"/>
                  <w:tcBorders>
                    <w:tl2br w:val="nil"/>
                    <w:tr2bl w:val="nil"/>
                  </w:tcBorders>
                  <w:noWrap w:val="0"/>
                  <w:vAlign w:val="center"/>
                </w:tcPr>
                <w:p w14:paraId="25D62CEB">
                  <w:pPr>
                    <w:keepNext w:val="0"/>
                    <w:keepLines w:val="0"/>
                    <w:suppressLineNumbers w:val="0"/>
                    <w:autoSpaceDE w:val="0"/>
                    <w:autoSpaceDN w:val="0"/>
                    <w:adjustRightInd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szCs w:val="21"/>
                    </w:rPr>
                  </w:pPr>
                </w:p>
              </w:tc>
            </w:tr>
          </w:tbl>
          <w:p w14:paraId="3B28E1F6">
            <w:pPr>
              <w:keepNext w:val="0"/>
              <w:keepLines w:val="0"/>
              <w:suppressLineNumbers w:val="0"/>
              <w:spacing w:before="120" w:beforeLines="50" w:beforeAutospacing="0" w:after="0" w:afterAutospacing="0" w:line="360" w:lineRule="auto"/>
              <w:ind w:left="0" w:right="0" w:firstLine="480" w:firstLineChars="200"/>
              <w:rPr>
                <w:rFonts w:hint="default" w:ascii="Times New Roman" w:hAnsi="Times New Roman" w:eastAsia="宋体" w:cs="Times New Roman"/>
                <w:color w:val="auto"/>
              </w:rPr>
            </w:pPr>
            <w:r>
              <w:rPr>
                <w:rFonts w:hint="eastAsia" w:ascii="Times New Roman" w:hAnsi="Times New Roman" w:eastAsia="宋体" w:cs="宋体"/>
                <w:color w:val="auto"/>
                <w:sz w:val="24"/>
                <w:szCs w:val="21"/>
              </w:rPr>
              <w:t>根据关于“发布《建设项目危险废物环境影响评价指南》的公告”，对企业生产过程中产生的危险废物进行统计。企业生产过程中产生的危险废物统计见表4-1</w:t>
            </w:r>
            <w:r>
              <w:rPr>
                <w:rFonts w:hint="eastAsia" w:cs="宋体"/>
                <w:color w:val="auto"/>
                <w:sz w:val="24"/>
                <w:szCs w:val="21"/>
                <w:lang w:val="en-US" w:eastAsia="zh-CN"/>
              </w:rPr>
              <w:t>3</w:t>
            </w:r>
            <w:r>
              <w:rPr>
                <w:rFonts w:hint="eastAsia" w:ascii="Times New Roman" w:hAnsi="Times New Roman" w:eastAsia="宋体" w:cs="宋体"/>
                <w:color w:val="auto"/>
                <w:sz w:val="24"/>
                <w:szCs w:val="21"/>
              </w:rPr>
              <w:t>，危险废物贮存场所（设施）基本情况见表4-</w:t>
            </w:r>
            <w:r>
              <w:rPr>
                <w:rFonts w:hint="eastAsia" w:ascii="Times New Roman" w:hAnsi="Times New Roman" w:eastAsia="宋体" w:cs="宋体"/>
                <w:color w:val="auto"/>
                <w:sz w:val="24"/>
                <w:szCs w:val="21"/>
                <w:lang w:val="en-US" w:eastAsia="zh-CN"/>
              </w:rPr>
              <w:t>1</w:t>
            </w:r>
            <w:r>
              <w:rPr>
                <w:rFonts w:hint="eastAsia" w:cs="宋体"/>
                <w:color w:val="auto"/>
                <w:sz w:val="24"/>
                <w:szCs w:val="21"/>
                <w:lang w:val="en-US" w:eastAsia="zh-CN"/>
              </w:rPr>
              <w:t>4</w:t>
            </w:r>
            <w:r>
              <w:rPr>
                <w:rFonts w:hint="eastAsia" w:ascii="Times New Roman" w:hAnsi="Times New Roman" w:eastAsia="宋体" w:cs="宋体"/>
                <w:color w:val="auto"/>
                <w:sz w:val="24"/>
                <w:szCs w:val="21"/>
              </w:rPr>
              <w:t>。</w:t>
            </w:r>
          </w:p>
          <w:p w14:paraId="6F642EF1">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表</w:t>
            </w:r>
            <w:r>
              <w:rPr>
                <w:rFonts w:hint="eastAsia" w:ascii="Times New Roman" w:hAnsi="Times New Roman" w:eastAsia="宋体" w:cs="Times New Roman"/>
                <w:b/>
                <w:bCs/>
                <w:color w:val="auto"/>
                <w:szCs w:val="21"/>
              </w:rPr>
              <w:t>4-</w:t>
            </w:r>
            <w:r>
              <w:rPr>
                <w:rFonts w:hint="eastAsia" w:cs="Times New Roman"/>
                <w:b/>
                <w:bCs/>
                <w:color w:val="auto"/>
                <w:szCs w:val="21"/>
                <w:lang w:val="en-US" w:eastAsia="zh-CN"/>
              </w:rPr>
              <w:t>13</w:t>
            </w:r>
            <w:r>
              <w:rPr>
                <w:rFonts w:hint="eastAsia" w:ascii="Times New Roman" w:hAnsi="Times New Roman" w:eastAsia="宋体" w:cs="Times New Roman"/>
                <w:b/>
                <w:bCs/>
                <w:color w:val="auto"/>
                <w:szCs w:val="21"/>
              </w:rPr>
              <w:t xml:space="preserve"> </w:t>
            </w:r>
            <w:r>
              <w:rPr>
                <w:rFonts w:hint="default" w:ascii="Times New Roman" w:hAnsi="Times New Roman" w:eastAsia="宋体" w:cs="Times New Roman"/>
                <w:b/>
                <w:bCs/>
                <w:color w:val="auto"/>
                <w:szCs w:val="21"/>
              </w:rPr>
              <w:t xml:space="preserve"> 危险废物汇总</w:t>
            </w:r>
          </w:p>
          <w:tbl>
            <w:tblPr>
              <w:tblStyle w:val="25"/>
              <w:tblW w:w="498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761"/>
              <w:gridCol w:w="776"/>
              <w:gridCol w:w="1386"/>
              <w:gridCol w:w="722"/>
              <w:gridCol w:w="784"/>
              <w:gridCol w:w="499"/>
              <w:gridCol w:w="599"/>
              <w:gridCol w:w="731"/>
              <w:gridCol w:w="602"/>
              <w:gridCol w:w="653"/>
            </w:tblGrid>
            <w:tr w14:paraId="40FA7A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 w:type="pct"/>
                  <w:tcBorders>
                    <w:tl2br w:val="nil"/>
                    <w:tr2bl w:val="nil"/>
                  </w:tcBorders>
                  <w:noWrap w:val="0"/>
                  <w:vAlign w:val="center"/>
                </w:tcPr>
                <w:p w14:paraId="67EA75D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序号</w:t>
                  </w:r>
                </w:p>
              </w:tc>
              <w:tc>
                <w:tcPr>
                  <w:tcW w:w="479" w:type="pct"/>
                  <w:tcBorders>
                    <w:tl2br w:val="nil"/>
                    <w:tr2bl w:val="nil"/>
                  </w:tcBorders>
                  <w:noWrap w:val="0"/>
                  <w:vAlign w:val="center"/>
                </w:tcPr>
                <w:p w14:paraId="1370BF2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危险废物名称</w:t>
                  </w:r>
                </w:p>
              </w:tc>
              <w:tc>
                <w:tcPr>
                  <w:tcW w:w="488" w:type="pct"/>
                  <w:tcBorders>
                    <w:tl2br w:val="nil"/>
                    <w:tr2bl w:val="nil"/>
                  </w:tcBorders>
                  <w:noWrap w:val="0"/>
                  <w:vAlign w:val="center"/>
                </w:tcPr>
                <w:p w14:paraId="0FF3003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危险废物类别</w:t>
                  </w:r>
                </w:p>
              </w:tc>
              <w:tc>
                <w:tcPr>
                  <w:tcW w:w="872" w:type="pct"/>
                  <w:tcBorders>
                    <w:tl2br w:val="nil"/>
                    <w:tr2bl w:val="nil"/>
                  </w:tcBorders>
                  <w:noWrap w:val="0"/>
                  <w:vAlign w:val="center"/>
                </w:tcPr>
                <w:p w14:paraId="15819EB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危险废物</w:t>
                  </w:r>
                </w:p>
                <w:p w14:paraId="3ECD5CD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代码</w:t>
                  </w:r>
                </w:p>
              </w:tc>
              <w:tc>
                <w:tcPr>
                  <w:tcW w:w="454" w:type="pct"/>
                  <w:tcBorders>
                    <w:tl2br w:val="nil"/>
                    <w:tr2bl w:val="nil"/>
                  </w:tcBorders>
                  <w:noWrap w:val="0"/>
                  <w:vAlign w:val="center"/>
                </w:tcPr>
                <w:p w14:paraId="6FF6F34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产生量t/a</w:t>
                  </w:r>
                </w:p>
              </w:tc>
              <w:tc>
                <w:tcPr>
                  <w:tcW w:w="493" w:type="pct"/>
                  <w:tcBorders>
                    <w:tl2br w:val="nil"/>
                    <w:tr2bl w:val="nil"/>
                  </w:tcBorders>
                  <w:noWrap w:val="0"/>
                  <w:vAlign w:val="center"/>
                </w:tcPr>
                <w:p w14:paraId="6ECD3E1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产生工序及装置</w:t>
                  </w:r>
                </w:p>
              </w:tc>
              <w:tc>
                <w:tcPr>
                  <w:tcW w:w="314" w:type="pct"/>
                  <w:tcBorders>
                    <w:tl2br w:val="nil"/>
                    <w:tr2bl w:val="nil"/>
                  </w:tcBorders>
                  <w:noWrap w:val="0"/>
                  <w:vAlign w:val="center"/>
                </w:tcPr>
                <w:p w14:paraId="40E5D83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形态</w:t>
                  </w:r>
                </w:p>
              </w:tc>
              <w:tc>
                <w:tcPr>
                  <w:tcW w:w="377" w:type="pct"/>
                  <w:tcBorders>
                    <w:tl2br w:val="nil"/>
                    <w:tr2bl w:val="nil"/>
                  </w:tcBorders>
                  <w:noWrap w:val="0"/>
                  <w:vAlign w:val="center"/>
                </w:tcPr>
                <w:p w14:paraId="54BE360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有害成分</w:t>
                  </w:r>
                </w:p>
              </w:tc>
              <w:tc>
                <w:tcPr>
                  <w:tcW w:w="460" w:type="pct"/>
                  <w:tcBorders>
                    <w:tl2br w:val="nil"/>
                    <w:tr2bl w:val="nil"/>
                  </w:tcBorders>
                  <w:noWrap w:val="0"/>
                  <w:vAlign w:val="center"/>
                </w:tcPr>
                <w:p w14:paraId="2B6A682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产废</w:t>
                  </w:r>
                </w:p>
                <w:p w14:paraId="1E48115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周期</w:t>
                  </w:r>
                </w:p>
              </w:tc>
              <w:tc>
                <w:tcPr>
                  <w:tcW w:w="379" w:type="pct"/>
                  <w:tcBorders>
                    <w:tl2br w:val="nil"/>
                    <w:tr2bl w:val="nil"/>
                  </w:tcBorders>
                  <w:noWrap w:val="0"/>
                  <w:vAlign w:val="center"/>
                </w:tcPr>
                <w:p w14:paraId="6149EFC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危险</w:t>
                  </w:r>
                </w:p>
                <w:p w14:paraId="20B7418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特性</w:t>
                  </w:r>
                </w:p>
              </w:tc>
              <w:tc>
                <w:tcPr>
                  <w:tcW w:w="411" w:type="pct"/>
                  <w:tcBorders>
                    <w:tl2br w:val="nil"/>
                    <w:tr2bl w:val="nil"/>
                  </w:tcBorders>
                  <w:noWrap w:val="0"/>
                  <w:vAlign w:val="center"/>
                </w:tcPr>
                <w:p w14:paraId="36069E74">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污染防治措施</w:t>
                  </w:r>
                </w:p>
              </w:tc>
            </w:tr>
            <w:tr w14:paraId="3250B7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 w:type="pct"/>
                  <w:tcBorders>
                    <w:tl2br w:val="nil"/>
                    <w:tr2bl w:val="nil"/>
                  </w:tcBorders>
                  <w:noWrap w:val="0"/>
                  <w:vAlign w:val="center"/>
                </w:tcPr>
                <w:p w14:paraId="34DB712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w:t>
                  </w:r>
                </w:p>
              </w:tc>
              <w:tc>
                <w:tcPr>
                  <w:tcW w:w="479" w:type="pct"/>
                  <w:tcBorders>
                    <w:tl2br w:val="nil"/>
                    <w:tr2bl w:val="nil"/>
                  </w:tcBorders>
                  <w:noWrap w:val="0"/>
                  <w:vAlign w:val="center"/>
                </w:tcPr>
                <w:p w14:paraId="4611778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eastAsia" w:ascii="Times New Roman" w:hAnsi="Times New Roman" w:eastAsia="宋体" w:cs="Times New Roman"/>
                      <w:bCs/>
                      <w:color w:val="auto"/>
                      <w:kern w:val="0"/>
                      <w:szCs w:val="21"/>
                    </w:rPr>
                    <w:t>废矿物油及油桶</w:t>
                  </w:r>
                </w:p>
              </w:tc>
              <w:tc>
                <w:tcPr>
                  <w:tcW w:w="488" w:type="pct"/>
                  <w:tcBorders>
                    <w:tl2br w:val="nil"/>
                    <w:tr2bl w:val="nil"/>
                  </w:tcBorders>
                  <w:noWrap w:val="0"/>
                  <w:vAlign w:val="center"/>
                </w:tcPr>
                <w:p w14:paraId="51A22A9B">
                  <w:pPr>
                    <w:pStyle w:val="62"/>
                    <w:keepNext w:val="0"/>
                    <w:keepLines w:val="0"/>
                    <w:suppressLineNumbers w:val="0"/>
                    <w:autoSpaceDE/>
                    <w:autoSpaceDN/>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HW08</w:t>
                  </w:r>
                </w:p>
              </w:tc>
              <w:tc>
                <w:tcPr>
                  <w:tcW w:w="872" w:type="pct"/>
                  <w:tcBorders>
                    <w:tl2br w:val="nil"/>
                    <w:tr2bl w:val="nil"/>
                  </w:tcBorders>
                  <w:noWrap w:val="0"/>
                  <w:vAlign w:val="center"/>
                </w:tcPr>
                <w:p w14:paraId="2610F0C2">
                  <w:pPr>
                    <w:keepNext w:val="0"/>
                    <w:keepLines w:val="0"/>
                    <w:suppressLineNumbers w:val="0"/>
                    <w:autoSpaceDE w:val="0"/>
                    <w:autoSpaceDN w:val="0"/>
                    <w:adjustRightInd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900-2</w:t>
                  </w:r>
                  <w:r>
                    <w:rPr>
                      <w:rFonts w:hint="eastAsia" w:ascii="Times New Roman" w:hAnsi="Times New Roman" w:eastAsia="宋体" w:cs="Times New Roman"/>
                      <w:color w:val="auto"/>
                      <w:szCs w:val="21"/>
                      <w:lang w:val="en-US" w:eastAsia="zh-CN"/>
                    </w:rPr>
                    <w:t>49</w:t>
                  </w:r>
                  <w:r>
                    <w:rPr>
                      <w:rFonts w:hint="default" w:ascii="Times New Roman" w:hAnsi="Times New Roman" w:eastAsia="宋体" w:cs="Times New Roman"/>
                      <w:color w:val="auto"/>
                      <w:szCs w:val="21"/>
                    </w:rPr>
                    <w:t>-08</w:t>
                  </w:r>
                </w:p>
              </w:tc>
              <w:tc>
                <w:tcPr>
                  <w:tcW w:w="454" w:type="pct"/>
                  <w:tcBorders>
                    <w:tl2br w:val="nil"/>
                    <w:tr2bl w:val="nil"/>
                  </w:tcBorders>
                  <w:noWrap w:val="0"/>
                  <w:vAlign w:val="center"/>
                </w:tcPr>
                <w:p w14:paraId="02E53509">
                  <w:pPr>
                    <w:keepNext w:val="0"/>
                    <w:keepLines w:val="0"/>
                    <w:suppressLineNumbers w:val="0"/>
                    <w:autoSpaceDE w:val="0"/>
                    <w:autoSpaceDN w:val="0"/>
                    <w:adjustRightInd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rPr>
                    <w:t>0.</w:t>
                  </w:r>
                  <w:r>
                    <w:rPr>
                      <w:rFonts w:hint="eastAsia" w:cs="Times New Roman"/>
                      <w:color w:val="auto"/>
                      <w:szCs w:val="21"/>
                      <w:lang w:val="en-US" w:eastAsia="zh-CN"/>
                    </w:rPr>
                    <w:t>06</w:t>
                  </w:r>
                </w:p>
              </w:tc>
              <w:tc>
                <w:tcPr>
                  <w:tcW w:w="493" w:type="pct"/>
                  <w:tcBorders>
                    <w:tl2br w:val="nil"/>
                    <w:tr2bl w:val="nil"/>
                  </w:tcBorders>
                  <w:noWrap w:val="0"/>
                  <w:vAlign w:val="center"/>
                </w:tcPr>
                <w:p w14:paraId="77C6060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设备维护</w:t>
                  </w:r>
                </w:p>
              </w:tc>
              <w:tc>
                <w:tcPr>
                  <w:tcW w:w="314" w:type="pct"/>
                  <w:tcBorders>
                    <w:tl2br w:val="nil"/>
                    <w:tr2bl w:val="nil"/>
                  </w:tcBorders>
                  <w:noWrap w:val="0"/>
                  <w:vAlign w:val="center"/>
                </w:tcPr>
                <w:p w14:paraId="1B424A1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液态</w:t>
                  </w:r>
                </w:p>
              </w:tc>
              <w:tc>
                <w:tcPr>
                  <w:tcW w:w="377" w:type="pct"/>
                  <w:tcBorders>
                    <w:tl2br w:val="nil"/>
                    <w:tr2bl w:val="nil"/>
                  </w:tcBorders>
                  <w:noWrap w:val="0"/>
                  <w:vAlign w:val="center"/>
                </w:tcPr>
                <w:p w14:paraId="6C65D76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矿物油</w:t>
                  </w:r>
                </w:p>
              </w:tc>
              <w:tc>
                <w:tcPr>
                  <w:tcW w:w="460" w:type="pct"/>
                  <w:tcBorders>
                    <w:tl2br w:val="nil"/>
                    <w:tr2bl w:val="nil"/>
                  </w:tcBorders>
                  <w:noWrap w:val="0"/>
                  <w:vAlign w:val="center"/>
                </w:tcPr>
                <w:p w14:paraId="7092946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年/次</w:t>
                  </w:r>
                </w:p>
              </w:tc>
              <w:tc>
                <w:tcPr>
                  <w:tcW w:w="379" w:type="pct"/>
                  <w:tcBorders>
                    <w:tl2br w:val="nil"/>
                    <w:tr2bl w:val="nil"/>
                  </w:tcBorders>
                  <w:noWrap w:val="0"/>
                  <w:vAlign w:val="center"/>
                </w:tcPr>
                <w:p w14:paraId="3216C86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eastAsia" w:ascii="Times New Roman" w:hAnsi="Times New Roman" w:eastAsia="宋体" w:cs="宋体"/>
                      <w:bCs/>
                      <w:color w:val="auto"/>
                      <w:szCs w:val="21"/>
                    </w:rPr>
                    <w:t>T，I</w:t>
                  </w:r>
                </w:p>
              </w:tc>
              <w:tc>
                <w:tcPr>
                  <w:tcW w:w="411" w:type="pct"/>
                  <w:vMerge w:val="restart"/>
                  <w:tcBorders>
                    <w:tl2br w:val="nil"/>
                    <w:tr2bl w:val="nil"/>
                  </w:tcBorders>
                  <w:noWrap w:val="0"/>
                  <w:vAlign w:val="center"/>
                </w:tcPr>
                <w:p w14:paraId="036D2376">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szCs w:val="21"/>
                    </w:rPr>
                    <w:t>分类收集暂存后，定期交由有危险废物处置资质的单位处置</w:t>
                  </w:r>
                </w:p>
              </w:tc>
            </w:tr>
            <w:tr w14:paraId="64F374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 w:type="pct"/>
                  <w:tcBorders>
                    <w:tl2br w:val="nil"/>
                    <w:tr2bl w:val="nil"/>
                  </w:tcBorders>
                  <w:noWrap w:val="0"/>
                  <w:vAlign w:val="center"/>
                </w:tcPr>
                <w:p w14:paraId="3648E2DC">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val="en-US" w:eastAsia="zh-CN"/>
                    </w:rPr>
                    <w:t>2</w:t>
                  </w:r>
                </w:p>
              </w:tc>
              <w:tc>
                <w:tcPr>
                  <w:tcW w:w="479" w:type="pct"/>
                  <w:tcBorders>
                    <w:tl2br w:val="nil"/>
                    <w:tr2bl w:val="nil"/>
                  </w:tcBorders>
                  <w:noWrap w:val="0"/>
                  <w:vAlign w:val="center"/>
                </w:tcPr>
                <w:p w14:paraId="350574C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eastAsia" w:ascii="Times New Roman" w:hAnsi="Times New Roman" w:eastAsia="宋体" w:cs="宋体"/>
                      <w:color w:val="auto"/>
                      <w:szCs w:val="21"/>
                    </w:rPr>
                    <w:t>废含油棉纱手套</w:t>
                  </w:r>
                </w:p>
              </w:tc>
              <w:tc>
                <w:tcPr>
                  <w:tcW w:w="488" w:type="pct"/>
                  <w:tcBorders>
                    <w:tl2br w:val="nil"/>
                    <w:tr2bl w:val="nil"/>
                  </w:tcBorders>
                  <w:noWrap w:val="0"/>
                  <w:vAlign w:val="center"/>
                </w:tcPr>
                <w:p w14:paraId="52462B83">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宋体"/>
                      <w:bCs/>
                      <w:color w:val="auto"/>
                      <w:sz w:val="21"/>
                      <w:szCs w:val="21"/>
                    </w:rPr>
                    <w:t>HW</w:t>
                  </w:r>
                  <w:r>
                    <w:rPr>
                      <w:rFonts w:hint="eastAsia" w:ascii="Times New Roman" w:hAnsi="Times New Roman" w:eastAsia="宋体" w:cs="宋体"/>
                      <w:bCs/>
                      <w:color w:val="auto"/>
                      <w:sz w:val="21"/>
                      <w:szCs w:val="21"/>
                      <w:lang w:val="en-US" w:eastAsia="zh-CN"/>
                    </w:rPr>
                    <w:t>49</w:t>
                  </w:r>
                </w:p>
              </w:tc>
              <w:tc>
                <w:tcPr>
                  <w:tcW w:w="872" w:type="pct"/>
                  <w:tcBorders>
                    <w:tl2br w:val="nil"/>
                    <w:tr2bl w:val="nil"/>
                  </w:tcBorders>
                  <w:noWrap w:val="0"/>
                  <w:vAlign w:val="center"/>
                </w:tcPr>
                <w:p w14:paraId="2AEA5B6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900-</w:t>
                  </w:r>
                  <w:r>
                    <w:rPr>
                      <w:rFonts w:hint="eastAsia" w:ascii="Times New Roman" w:hAnsi="Times New Roman" w:eastAsia="宋体" w:cs="Times New Roman"/>
                      <w:color w:val="auto"/>
                      <w:szCs w:val="21"/>
                      <w:lang w:val="en-US" w:eastAsia="zh-CN"/>
                    </w:rPr>
                    <w:t>041</w:t>
                  </w:r>
                  <w:r>
                    <w:rPr>
                      <w:rFonts w:hint="default" w:ascii="Times New Roman" w:hAnsi="Times New Roman" w:eastAsia="宋体" w:cs="Times New Roman"/>
                      <w:color w:val="auto"/>
                      <w:szCs w:val="21"/>
                    </w:rPr>
                    <w:t>-</w:t>
                  </w:r>
                  <w:r>
                    <w:rPr>
                      <w:rFonts w:hint="eastAsia" w:ascii="Times New Roman" w:hAnsi="Times New Roman" w:eastAsia="宋体" w:cs="Times New Roman"/>
                      <w:color w:val="auto"/>
                      <w:szCs w:val="21"/>
                      <w:lang w:val="en-US" w:eastAsia="zh-CN"/>
                    </w:rPr>
                    <w:t>49</w:t>
                  </w:r>
                </w:p>
              </w:tc>
              <w:tc>
                <w:tcPr>
                  <w:tcW w:w="454" w:type="pct"/>
                  <w:tcBorders>
                    <w:tl2br w:val="nil"/>
                    <w:tr2bl w:val="nil"/>
                  </w:tcBorders>
                  <w:noWrap w:val="0"/>
                  <w:vAlign w:val="center"/>
                </w:tcPr>
                <w:p w14:paraId="2856ACCC">
                  <w:pPr>
                    <w:pStyle w:val="2"/>
                    <w:keepNext w:val="0"/>
                    <w:keepLines w:val="0"/>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kern w:val="0"/>
                      <w:sz w:val="21"/>
                      <w:lang w:eastAsia="zh-CN"/>
                    </w:rPr>
                  </w:pPr>
                  <w:r>
                    <w:rPr>
                      <w:rFonts w:hint="eastAsia" w:ascii="Times New Roman" w:hAnsi="Times New Roman" w:eastAsia="宋体" w:cs="Times New Roman"/>
                      <w:color w:val="auto"/>
                      <w:sz w:val="21"/>
                      <w:szCs w:val="21"/>
                    </w:rPr>
                    <w:t>0.0</w:t>
                  </w:r>
                  <w:r>
                    <w:rPr>
                      <w:rFonts w:hint="eastAsia" w:ascii="Times New Roman" w:hAnsi="Times New Roman" w:eastAsia="宋体" w:cs="Times New Roman"/>
                      <w:color w:val="auto"/>
                      <w:sz w:val="21"/>
                      <w:szCs w:val="21"/>
                      <w:lang w:val="en-US" w:eastAsia="zh-CN"/>
                    </w:rPr>
                    <w:t>1</w:t>
                  </w:r>
                </w:p>
              </w:tc>
              <w:tc>
                <w:tcPr>
                  <w:tcW w:w="493" w:type="pct"/>
                  <w:tcBorders>
                    <w:tl2br w:val="nil"/>
                    <w:tr2bl w:val="nil"/>
                  </w:tcBorders>
                  <w:noWrap w:val="0"/>
                  <w:vAlign w:val="center"/>
                </w:tcPr>
                <w:p w14:paraId="29497D0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设备维护</w:t>
                  </w:r>
                </w:p>
              </w:tc>
              <w:tc>
                <w:tcPr>
                  <w:tcW w:w="314" w:type="pct"/>
                  <w:tcBorders>
                    <w:tl2br w:val="nil"/>
                    <w:tr2bl w:val="nil"/>
                  </w:tcBorders>
                  <w:noWrap w:val="0"/>
                  <w:vAlign w:val="center"/>
                </w:tcPr>
                <w:p w14:paraId="7D64F2C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固态</w:t>
                  </w:r>
                </w:p>
              </w:tc>
              <w:tc>
                <w:tcPr>
                  <w:tcW w:w="377" w:type="pct"/>
                  <w:tcBorders>
                    <w:tl2br w:val="nil"/>
                    <w:tr2bl w:val="nil"/>
                  </w:tcBorders>
                  <w:noWrap w:val="0"/>
                  <w:vAlign w:val="center"/>
                </w:tcPr>
                <w:p w14:paraId="1FC3ABB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矿物油</w:t>
                  </w:r>
                </w:p>
              </w:tc>
              <w:tc>
                <w:tcPr>
                  <w:tcW w:w="460" w:type="pct"/>
                  <w:tcBorders>
                    <w:tl2br w:val="nil"/>
                    <w:tr2bl w:val="nil"/>
                  </w:tcBorders>
                  <w:noWrap w:val="0"/>
                  <w:vAlign w:val="center"/>
                </w:tcPr>
                <w:p w14:paraId="5DEA3E66">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年/次</w:t>
                  </w:r>
                </w:p>
              </w:tc>
              <w:tc>
                <w:tcPr>
                  <w:tcW w:w="379" w:type="pct"/>
                  <w:tcBorders>
                    <w:tl2br w:val="nil"/>
                    <w:tr2bl w:val="nil"/>
                  </w:tcBorders>
                  <w:noWrap w:val="0"/>
                  <w:vAlign w:val="center"/>
                </w:tcPr>
                <w:p w14:paraId="0C8AEAF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eastAsia" w:ascii="Times New Roman" w:hAnsi="Times New Roman" w:eastAsia="宋体" w:cs="宋体"/>
                      <w:bCs/>
                      <w:color w:val="auto"/>
                      <w:sz w:val="21"/>
                      <w:szCs w:val="21"/>
                    </w:rPr>
                    <w:t>T/In</w:t>
                  </w:r>
                </w:p>
              </w:tc>
              <w:tc>
                <w:tcPr>
                  <w:tcW w:w="411" w:type="pct"/>
                  <w:vMerge w:val="continue"/>
                  <w:tcBorders>
                    <w:tl2br w:val="nil"/>
                    <w:tr2bl w:val="nil"/>
                  </w:tcBorders>
                  <w:noWrap w:val="0"/>
                  <w:vAlign w:val="center"/>
                </w:tcPr>
                <w:p w14:paraId="36DD5D0C">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kern w:val="0"/>
                      <w:szCs w:val="21"/>
                    </w:rPr>
                  </w:pPr>
                </w:p>
              </w:tc>
            </w:tr>
          </w:tbl>
          <w:p w14:paraId="1A450B76">
            <w:pPr>
              <w:pStyle w:val="62"/>
              <w:keepNext w:val="0"/>
              <w:keepLines w:val="0"/>
              <w:suppressLineNumbers w:val="0"/>
              <w:autoSpaceDE/>
              <w:autoSpaceDN/>
              <w:spacing w:before="120" w:beforeLines="5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eastAsia" w:ascii="Times New Roman" w:hAnsi="Times New Roman" w:eastAsia="宋体" w:cs="Times New Roman"/>
                <w:b/>
                <w:bCs/>
                <w:color w:val="auto"/>
                <w:sz w:val="21"/>
                <w:szCs w:val="21"/>
              </w:rPr>
              <w:t>4-</w:t>
            </w:r>
            <w:r>
              <w:rPr>
                <w:rFonts w:hint="eastAsia" w:ascii="Times New Roman" w:hAnsi="Times New Roman" w:eastAsia="宋体" w:cs="Times New Roman"/>
                <w:b/>
                <w:bCs/>
                <w:color w:val="auto"/>
                <w:sz w:val="21"/>
                <w:szCs w:val="21"/>
                <w:lang w:val="en-US" w:eastAsia="zh-CN"/>
              </w:rPr>
              <w:t>1</w:t>
            </w:r>
            <w:r>
              <w:rPr>
                <w:rFonts w:hint="eastAsia" w:ascii="Times New Roman" w:hAnsi="Times New Roman" w:cs="Times New Roman"/>
                <w:b/>
                <w:bCs/>
                <w:color w:val="auto"/>
                <w:sz w:val="21"/>
                <w:szCs w:val="21"/>
                <w:lang w:val="en-US" w:eastAsia="zh-CN"/>
              </w:rPr>
              <w:t>4</w:t>
            </w:r>
            <w:r>
              <w:rPr>
                <w:rFonts w:hint="eastAsia" w:ascii="Times New Roman" w:hAnsi="Times New Roman" w:eastAsia="宋体" w:cs="Times New Roman"/>
                <w:b/>
                <w:bCs/>
                <w:color w:val="auto"/>
                <w:sz w:val="21"/>
                <w:szCs w:val="21"/>
              </w:rPr>
              <w:t xml:space="preserve"> </w:t>
            </w:r>
            <w:r>
              <w:rPr>
                <w:rFonts w:hint="default" w:ascii="Times New Roman" w:hAnsi="Times New Roman" w:eastAsia="宋体" w:cs="Times New Roman"/>
                <w:b/>
                <w:bCs/>
                <w:color w:val="auto"/>
                <w:sz w:val="21"/>
                <w:szCs w:val="21"/>
              </w:rPr>
              <w:t xml:space="preserve"> 建设项目危险废物贮存场所基本情况</w:t>
            </w:r>
          </w:p>
          <w:tbl>
            <w:tblPr>
              <w:tblStyle w:val="25"/>
              <w:tblW w:w="5000" w:type="pct"/>
              <w:tblInd w:w="11"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933"/>
              <w:gridCol w:w="940"/>
              <w:gridCol w:w="827"/>
              <w:gridCol w:w="1402"/>
              <w:gridCol w:w="433"/>
              <w:gridCol w:w="645"/>
              <w:gridCol w:w="884"/>
              <w:gridCol w:w="674"/>
              <w:gridCol w:w="794"/>
            </w:tblGrid>
            <w:tr w14:paraId="5CB52A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8" w:type="pct"/>
                  <w:tcBorders>
                    <w:tl2br w:val="nil"/>
                    <w:tr2bl w:val="nil"/>
                  </w:tcBorders>
                  <w:noWrap w:val="0"/>
                  <w:vAlign w:val="center"/>
                </w:tcPr>
                <w:p w14:paraId="5EBFD06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序号</w:t>
                  </w:r>
                </w:p>
              </w:tc>
              <w:tc>
                <w:tcPr>
                  <w:tcW w:w="586" w:type="pct"/>
                  <w:tcBorders>
                    <w:tl2br w:val="nil"/>
                    <w:tr2bl w:val="nil"/>
                  </w:tcBorders>
                  <w:noWrap w:val="0"/>
                  <w:vAlign w:val="center"/>
                </w:tcPr>
                <w:p w14:paraId="2C3CFFC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贮存场所（设施）</w:t>
                  </w:r>
                </w:p>
                <w:p w14:paraId="313A72D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名称</w:t>
                  </w:r>
                </w:p>
              </w:tc>
              <w:tc>
                <w:tcPr>
                  <w:tcW w:w="590" w:type="pct"/>
                  <w:tcBorders>
                    <w:tl2br w:val="nil"/>
                    <w:tr2bl w:val="nil"/>
                  </w:tcBorders>
                  <w:noWrap w:val="0"/>
                  <w:vAlign w:val="center"/>
                </w:tcPr>
                <w:p w14:paraId="3B796A2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危险废物名称</w:t>
                  </w:r>
                </w:p>
              </w:tc>
              <w:tc>
                <w:tcPr>
                  <w:tcW w:w="519" w:type="pct"/>
                  <w:tcBorders>
                    <w:tl2br w:val="nil"/>
                    <w:tr2bl w:val="nil"/>
                  </w:tcBorders>
                  <w:noWrap w:val="0"/>
                  <w:vAlign w:val="center"/>
                </w:tcPr>
                <w:p w14:paraId="64C3BD5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危险废物类别</w:t>
                  </w:r>
                </w:p>
              </w:tc>
              <w:tc>
                <w:tcPr>
                  <w:tcW w:w="880" w:type="pct"/>
                  <w:tcBorders>
                    <w:tl2br w:val="nil"/>
                    <w:tr2bl w:val="nil"/>
                  </w:tcBorders>
                  <w:noWrap w:val="0"/>
                  <w:vAlign w:val="center"/>
                </w:tcPr>
                <w:p w14:paraId="666A5C7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危险废物代码</w:t>
                  </w:r>
                </w:p>
              </w:tc>
              <w:tc>
                <w:tcPr>
                  <w:tcW w:w="272" w:type="pct"/>
                  <w:tcBorders>
                    <w:tl2br w:val="nil"/>
                    <w:tr2bl w:val="nil"/>
                  </w:tcBorders>
                  <w:noWrap w:val="0"/>
                  <w:vAlign w:val="center"/>
                </w:tcPr>
                <w:p w14:paraId="130465F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位置</w:t>
                  </w:r>
                </w:p>
              </w:tc>
              <w:tc>
                <w:tcPr>
                  <w:tcW w:w="405" w:type="pct"/>
                  <w:tcBorders>
                    <w:tl2br w:val="nil"/>
                    <w:tr2bl w:val="nil"/>
                  </w:tcBorders>
                  <w:noWrap w:val="0"/>
                  <w:vAlign w:val="center"/>
                </w:tcPr>
                <w:p w14:paraId="73377C0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占地面积</w:t>
                  </w:r>
                </w:p>
              </w:tc>
              <w:tc>
                <w:tcPr>
                  <w:tcW w:w="555" w:type="pct"/>
                  <w:tcBorders>
                    <w:tl2br w:val="nil"/>
                    <w:tr2bl w:val="nil"/>
                  </w:tcBorders>
                  <w:noWrap w:val="0"/>
                  <w:vAlign w:val="center"/>
                </w:tcPr>
                <w:p w14:paraId="78F10F4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贮存方式</w:t>
                  </w:r>
                </w:p>
              </w:tc>
              <w:tc>
                <w:tcPr>
                  <w:tcW w:w="423" w:type="pct"/>
                  <w:tcBorders>
                    <w:tl2br w:val="nil"/>
                    <w:tr2bl w:val="nil"/>
                  </w:tcBorders>
                  <w:noWrap w:val="0"/>
                  <w:vAlign w:val="center"/>
                </w:tcPr>
                <w:p w14:paraId="702B8FA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贮存</w:t>
                  </w:r>
                </w:p>
                <w:p w14:paraId="7AD709C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能力</w:t>
                  </w:r>
                </w:p>
              </w:tc>
              <w:tc>
                <w:tcPr>
                  <w:tcW w:w="498" w:type="pct"/>
                  <w:tcBorders>
                    <w:tl2br w:val="nil"/>
                    <w:tr2bl w:val="nil"/>
                  </w:tcBorders>
                  <w:noWrap w:val="0"/>
                  <w:vAlign w:val="center"/>
                </w:tcPr>
                <w:p w14:paraId="5E840C3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贮存</w:t>
                  </w:r>
                </w:p>
                <w:p w14:paraId="314811D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周期</w:t>
                  </w:r>
                </w:p>
              </w:tc>
            </w:tr>
            <w:tr w14:paraId="61D6A8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8" w:type="pct"/>
                  <w:tcBorders>
                    <w:tl2br w:val="nil"/>
                    <w:tr2bl w:val="nil"/>
                  </w:tcBorders>
                  <w:noWrap w:val="0"/>
                  <w:vAlign w:val="center"/>
                </w:tcPr>
                <w:p w14:paraId="68DBD29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color w:val="auto"/>
                      <w:kern w:val="0"/>
                      <w:szCs w:val="21"/>
                    </w:rPr>
                  </w:pPr>
                  <w:r>
                    <w:rPr>
                      <w:rFonts w:hint="eastAsia" w:ascii="Times New Roman" w:hAnsi="Times New Roman" w:eastAsia="宋体" w:cs="宋体"/>
                      <w:color w:val="auto"/>
                      <w:kern w:val="0"/>
                      <w:szCs w:val="21"/>
                    </w:rPr>
                    <w:t>1</w:t>
                  </w:r>
                </w:p>
              </w:tc>
              <w:tc>
                <w:tcPr>
                  <w:tcW w:w="586" w:type="pct"/>
                  <w:vMerge w:val="restart"/>
                  <w:tcBorders>
                    <w:tl2br w:val="nil"/>
                    <w:tr2bl w:val="nil"/>
                  </w:tcBorders>
                  <w:noWrap w:val="0"/>
                  <w:vAlign w:val="center"/>
                </w:tcPr>
                <w:p w14:paraId="00932D4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color w:val="auto"/>
                      <w:kern w:val="0"/>
                      <w:szCs w:val="21"/>
                    </w:rPr>
                  </w:pPr>
                  <w:r>
                    <w:rPr>
                      <w:rFonts w:hint="eastAsia" w:ascii="Times New Roman" w:hAnsi="Times New Roman" w:eastAsia="宋体" w:cs="宋体"/>
                      <w:color w:val="auto"/>
                      <w:kern w:val="0"/>
                      <w:szCs w:val="21"/>
                    </w:rPr>
                    <w:t>危险废物暂存间</w:t>
                  </w:r>
                </w:p>
              </w:tc>
              <w:tc>
                <w:tcPr>
                  <w:tcW w:w="590" w:type="pct"/>
                  <w:tcBorders>
                    <w:tl2br w:val="nil"/>
                    <w:tr2bl w:val="nil"/>
                  </w:tcBorders>
                  <w:noWrap w:val="0"/>
                  <w:vAlign w:val="center"/>
                </w:tcPr>
                <w:p w14:paraId="6CF52FCF">
                  <w:pPr>
                    <w:keepNext w:val="0"/>
                    <w:keepLines w:val="0"/>
                    <w:widowControl/>
                    <w:suppressLineNumbers w:val="0"/>
                    <w:spacing w:before="0" w:beforeAutospacing="0" w:after="0" w:afterAutospacing="0"/>
                    <w:ind w:left="0" w:right="0"/>
                    <w:jc w:val="center"/>
                    <w:rPr>
                      <w:rFonts w:hint="default" w:ascii="Times New Roman" w:hAnsi="Times New Roman" w:eastAsia="宋体" w:cs="宋体"/>
                      <w:color w:val="auto"/>
                      <w:szCs w:val="21"/>
                    </w:rPr>
                  </w:pPr>
                  <w:r>
                    <w:rPr>
                      <w:rFonts w:hint="eastAsia" w:ascii="Times New Roman" w:hAnsi="Times New Roman" w:eastAsia="宋体" w:cs="Times New Roman"/>
                      <w:bCs/>
                      <w:color w:val="auto"/>
                      <w:kern w:val="0"/>
                      <w:szCs w:val="21"/>
                    </w:rPr>
                    <w:t>废矿物油及油桶</w:t>
                  </w:r>
                </w:p>
              </w:tc>
              <w:tc>
                <w:tcPr>
                  <w:tcW w:w="519" w:type="pct"/>
                  <w:tcBorders>
                    <w:tl2br w:val="nil"/>
                    <w:tr2bl w:val="nil"/>
                  </w:tcBorders>
                  <w:noWrap w:val="0"/>
                  <w:vAlign w:val="center"/>
                </w:tcPr>
                <w:p w14:paraId="3180C51B">
                  <w:pPr>
                    <w:pStyle w:val="62"/>
                    <w:keepNext w:val="0"/>
                    <w:keepLines w:val="0"/>
                    <w:suppressLineNumbers w:val="0"/>
                    <w:autoSpaceDE/>
                    <w:autoSpaceDN/>
                    <w:snapToGrid w:val="0"/>
                    <w:spacing w:before="0" w:beforeAutospacing="0" w:after="0" w:afterAutospacing="0"/>
                    <w:ind w:left="0" w:right="0"/>
                    <w:jc w:val="center"/>
                    <w:rPr>
                      <w:rFonts w:hint="default" w:ascii="Times New Roman" w:hAnsi="Times New Roman" w:eastAsia="宋体" w:cs="宋体"/>
                      <w:color w:val="auto"/>
                      <w:sz w:val="21"/>
                      <w:szCs w:val="21"/>
                    </w:rPr>
                  </w:pPr>
                  <w:r>
                    <w:rPr>
                      <w:rFonts w:hint="default" w:ascii="Times New Roman" w:hAnsi="Times New Roman" w:eastAsia="宋体" w:cs="Times New Roman"/>
                      <w:color w:val="auto"/>
                      <w:sz w:val="21"/>
                      <w:szCs w:val="21"/>
                    </w:rPr>
                    <w:t>HW08</w:t>
                  </w:r>
                </w:p>
              </w:tc>
              <w:tc>
                <w:tcPr>
                  <w:tcW w:w="880" w:type="pct"/>
                  <w:tcBorders>
                    <w:tl2br w:val="nil"/>
                    <w:tr2bl w:val="nil"/>
                  </w:tcBorders>
                  <w:noWrap w:val="0"/>
                  <w:vAlign w:val="center"/>
                </w:tcPr>
                <w:p w14:paraId="63BAC470">
                  <w:pPr>
                    <w:keepNext w:val="0"/>
                    <w:keepLines w:val="0"/>
                    <w:suppressLineNumbers w:val="0"/>
                    <w:autoSpaceDE w:val="0"/>
                    <w:autoSpaceDN w:val="0"/>
                    <w:adjustRightInd w:val="0"/>
                    <w:spacing w:before="0" w:beforeAutospacing="0" w:after="0" w:afterAutospacing="0"/>
                    <w:ind w:left="42" w:leftChars="20" w:right="42" w:rightChars="20"/>
                    <w:jc w:val="center"/>
                    <w:textAlignment w:val="center"/>
                    <w:rPr>
                      <w:rFonts w:hint="default" w:ascii="Times New Roman" w:hAnsi="Times New Roman" w:eastAsia="宋体" w:cs="宋体"/>
                      <w:color w:val="auto"/>
                      <w:kern w:val="0"/>
                      <w:szCs w:val="21"/>
                    </w:rPr>
                  </w:pPr>
                  <w:r>
                    <w:rPr>
                      <w:rFonts w:hint="default" w:ascii="Times New Roman" w:hAnsi="Times New Roman" w:eastAsia="宋体" w:cs="Times New Roman"/>
                      <w:color w:val="auto"/>
                      <w:szCs w:val="21"/>
                    </w:rPr>
                    <w:t>900-2</w:t>
                  </w:r>
                  <w:r>
                    <w:rPr>
                      <w:rFonts w:hint="eastAsia" w:ascii="Times New Roman" w:hAnsi="Times New Roman" w:eastAsia="宋体" w:cs="Times New Roman"/>
                      <w:color w:val="auto"/>
                      <w:szCs w:val="21"/>
                      <w:lang w:val="en-US" w:eastAsia="zh-CN"/>
                    </w:rPr>
                    <w:t>49</w:t>
                  </w:r>
                  <w:r>
                    <w:rPr>
                      <w:rFonts w:hint="default" w:ascii="Times New Roman" w:hAnsi="Times New Roman" w:eastAsia="宋体" w:cs="Times New Roman"/>
                      <w:color w:val="auto"/>
                      <w:szCs w:val="21"/>
                    </w:rPr>
                    <w:t>-08</w:t>
                  </w:r>
                </w:p>
              </w:tc>
              <w:tc>
                <w:tcPr>
                  <w:tcW w:w="272" w:type="pct"/>
                  <w:vMerge w:val="restart"/>
                  <w:tcBorders>
                    <w:tl2br w:val="nil"/>
                    <w:tr2bl w:val="nil"/>
                  </w:tcBorders>
                  <w:noWrap w:val="0"/>
                  <w:vAlign w:val="center"/>
                </w:tcPr>
                <w:p w14:paraId="5A30968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color w:val="auto"/>
                      <w:kern w:val="0"/>
                      <w:szCs w:val="21"/>
                    </w:rPr>
                  </w:pPr>
                  <w:r>
                    <w:rPr>
                      <w:rFonts w:hint="eastAsia" w:ascii="Times New Roman" w:hAnsi="Times New Roman" w:eastAsia="宋体" w:cs="宋体"/>
                      <w:color w:val="auto"/>
                      <w:kern w:val="0"/>
                      <w:szCs w:val="21"/>
                    </w:rPr>
                    <w:t>车间</w:t>
                  </w:r>
                  <w:r>
                    <w:rPr>
                      <w:rFonts w:hint="eastAsia" w:ascii="Times New Roman" w:hAnsi="Times New Roman" w:eastAsia="宋体" w:cs="宋体"/>
                      <w:color w:val="auto"/>
                      <w:kern w:val="0"/>
                      <w:szCs w:val="21"/>
                      <w:lang w:val="en-US" w:eastAsia="zh-CN"/>
                    </w:rPr>
                    <w:t>西</w:t>
                  </w:r>
                  <w:r>
                    <w:rPr>
                      <w:rFonts w:hint="eastAsia" w:ascii="Times New Roman" w:hAnsi="Times New Roman" w:eastAsia="宋体" w:cs="宋体"/>
                      <w:color w:val="auto"/>
                      <w:kern w:val="0"/>
                      <w:szCs w:val="21"/>
                    </w:rPr>
                    <w:t>侧</w:t>
                  </w:r>
                </w:p>
              </w:tc>
              <w:tc>
                <w:tcPr>
                  <w:tcW w:w="405" w:type="pct"/>
                  <w:vMerge w:val="restart"/>
                  <w:tcBorders>
                    <w:tl2br w:val="nil"/>
                    <w:tr2bl w:val="nil"/>
                  </w:tcBorders>
                  <w:noWrap w:val="0"/>
                  <w:vAlign w:val="center"/>
                </w:tcPr>
                <w:p w14:paraId="2CB08F5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color w:val="auto"/>
                      <w:kern w:val="0"/>
                      <w:szCs w:val="21"/>
                    </w:rPr>
                  </w:pPr>
                  <w:r>
                    <w:rPr>
                      <w:rFonts w:hint="eastAsia" w:ascii="Times New Roman" w:hAnsi="Times New Roman" w:eastAsia="宋体" w:cs="宋体"/>
                      <w:color w:val="auto"/>
                      <w:kern w:val="0"/>
                      <w:szCs w:val="21"/>
                      <w:lang w:val="en-US" w:eastAsia="zh-CN"/>
                    </w:rPr>
                    <w:t>2</w:t>
                  </w:r>
                  <w:r>
                    <w:rPr>
                      <w:rFonts w:hint="eastAsia" w:ascii="Times New Roman" w:hAnsi="Times New Roman" w:eastAsia="宋体" w:cs="宋体"/>
                      <w:color w:val="auto"/>
                      <w:kern w:val="0"/>
                      <w:szCs w:val="21"/>
                    </w:rPr>
                    <w:t>m</w:t>
                  </w:r>
                  <w:r>
                    <w:rPr>
                      <w:rFonts w:hint="eastAsia" w:ascii="Times New Roman" w:hAnsi="Times New Roman" w:eastAsia="宋体" w:cs="宋体"/>
                      <w:color w:val="auto"/>
                      <w:kern w:val="0"/>
                      <w:szCs w:val="21"/>
                      <w:vertAlign w:val="superscript"/>
                    </w:rPr>
                    <w:t>2</w:t>
                  </w:r>
                </w:p>
              </w:tc>
              <w:tc>
                <w:tcPr>
                  <w:tcW w:w="555" w:type="pct"/>
                  <w:tcBorders>
                    <w:tl2br w:val="nil"/>
                    <w:tr2bl w:val="nil"/>
                  </w:tcBorders>
                  <w:noWrap w:val="0"/>
                  <w:vAlign w:val="center"/>
                </w:tcPr>
                <w:p w14:paraId="52299BD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color w:val="auto"/>
                      <w:kern w:val="0"/>
                      <w:szCs w:val="21"/>
                    </w:rPr>
                  </w:pPr>
                  <w:r>
                    <w:rPr>
                      <w:rFonts w:hint="eastAsia" w:ascii="Times New Roman" w:hAnsi="Times New Roman" w:eastAsia="宋体" w:cs="宋体"/>
                      <w:color w:val="auto"/>
                      <w:kern w:val="0"/>
                      <w:szCs w:val="21"/>
                    </w:rPr>
                    <w:t>桶装</w:t>
                  </w:r>
                </w:p>
              </w:tc>
              <w:tc>
                <w:tcPr>
                  <w:tcW w:w="423" w:type="pct"/>
                  <w:vMerge w:val="restart"/>
                  <w:tcBorders>
                    <w:tl2br w:val="nil"/>
                    <w:tr2bl w:val="nil"/>
                  </w:tcBorders>
                  <w:noWrap w:val="0"/>
                  <w:vAlign w:val="center"/>
                </w:tcPr>
                <w:p w14:paraId="1FF4CAE9">
                  <w:pPr>
                    <w:pStyle w:val="114"/>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宋体"/>
                      <w:color w:val="auto"/>
                      <w:sz w:val="21"/>
                    </w:rPr>
                  </w:pPr>
                  <w:r>
                    <w:rPr>
                      <w:rFonts w:hint="eastAsia" w:ascii="Times New Roman" w:hAnsi="Times New Roman" w:eastAsia="宋体" w:cs="宋体"/>
                      <w:color w:val="auto"/>
                      <w:kern w:val="0"/>
                      <w:sz w:val="21"/>
                      <w:lang w:val="en-US" w:eastAsia="zh-CN"/>
                    </w:rPr>
                    <w:t>2</w:t>
                  </w:r>
                  <w:r>
                    <w:rPr>
                      <w:rFonts w:hint="eastAsia" w:ascii="Times New Roman" w:hAnsi="Times New Roman" w:eastAsia="宋体" w:cs="宋体"/>
                      <w:color w:val="auto"/>
                      <w:kern w:val="0"/>
                      <w:sz w:val="21"/>
                    </w:rPr>
                    <w:t>t</w:t>
                  </w:r>
                </w:p>
              </w:tc>
              <w:tc>
                <w:tcPr>
                  <w:tcW w:w="498" w:type="pct"/>
                  <w:tcBorders>
                    <w:tl2br w:val="nil"/>
                    <w:tr2bl w:val="nil"/>
                  </w:tcBorders>
                  <w:noWrap w:val="0"/>
                  <w:vAlign w:val="center"/>
                </w:tcPr>
                <w:p w14:paraId="2A5066C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color w:val="auto"/>
                      <w:kern w:val="0"/>
                      <w:szCs w:val="21"/>
                    </w:rPr>
                  </w:pPr>
                  <w:r>
                    <w:rPr>
                      <w:rFonts w:hint="eastAsia" w:ascii="Times New Roman" w:hAnsi="Times New Roman" w:eastAsia="宋体" w:cs="宋体"/>
                      <w:color w:val="auto"/>
                      <w:kern w:val="0"/>
                      <w:szCs w:val="21"/>
                    </w:rPr>
                    <w:t>1年</w:t>
                  </w:r>
                </w:p>
              </w:tc>
            </w:tr>
            <w:tr w14:paraId="6CA3DA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8" w:type="pct"/>
                  <w:tcBorders>
                    <w:tl2br w:val="nil"/>
                    <w:tr2bl w:val="nil"/>
                  </w:tcBorders>
                  <w:noWrap w:val="0"/>
                  <w:vAlign w:val="center"/>
                </w:tcPr>
                <w:p w14:paraId="443F4445">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color w:val="auto"/>
                      <w:kern w:val="0"/>
                      <w:szCs w:val="21"/>
                      <w:lang w:eastAsia="zh-CN"/>
                    </w:rPr>
                  </w:pPr>
                  <w:r>
                    <w:rPr>
                      <w:rFonts w:hint="eastAsia" w:ascii="Times New Roman" w:hAnsi="Times New Roman" w:eastAsia="宋体" w:cs="宋体"/>
                      <w:color w:val="auto"/>
                      <w:kern w:val="0"/>
                      <w:szCs w:val="21"/>
                      <w:lang w:val="en-US" w:eastAsia="zh-CN"/>
                    </w:rPr>
                    <w:t>2</w:t>
                  </w:r>
                </w:p>
              </w:tc>
              <w:tc>
                <w:tcPr>
                  <w:tcW w:w="586" w:type="pct"/>
                  <w:vMerge w:val="continue"/>
                  <w:tcBorders>
                    <w:tl2br w:val="nil"/>
                    <w:tr2bl w:val="nil"/>
                  </w:tcBorders>
                  <w:noWrap w:val="0"/>
                  <w:vAlign w:val="center"/>
                </w:tcPr>
                <w:p w14:paraId="6F0F98B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color w:val="auto"/>
                      <w:kern w:val="0"/>
                      <w:szCs w:val="21"/>
                    </w:rPr>
                  </w:pPr>
                </w:p>
              </w:tc>
              <w:tc>
                <w:tcPr>
                  <w:tcW w:w="590" w:type="pct"/>
                  <w:tcBorders>
                    <w:tl2br w:val="nil"/>
                    <w:tr2bl w:val="nil"/>
                  </w:tcBorders>
                  <w:noWrap w:val="0"/>
                  <w:vAlign w:val="center"/>
                </w:tcPr>
                <w:p w14:paraId="4B5E732F">
                  <w:pPr>
                    <w:keepNext w:val="0"/>
                    <w:keepLines w:val="0"/>
                    <w:widowControl/>
                    <w:suppressLineNumbers w:val="0"/>
                    <w:spacing w:before="0" w:beforeAutospacing="0" w:after="0" w:afterAutospacing="0"/>
                    <w:ind w:left="0" w:right="0"/>
                    <w:jc w:val="center"/>
                    <w:rPr>
                      <w:rFonts w:hint="default" w:ascii="Times New Roman" w:hAnsi="Times New Roman" w:eastAsia="宋体" w:cs="宋体"/>
                      <w:color w:val="auto"/>
                      <w:szCs w:val="21"/>
                    </w:rPr>
                  </w:pPr>
                  <w:r>
                    <w:rPr>
                      <w:rFonts w:hint="eastAsia" w:ascii="Times New Roman" w:hAnsi="Times New Roman" w:eastAsia="宋体" w:cs="宋体"/>
                      <w:color w:val="auto"/>
                      <w:szCs w:val="21"/>
                    </w:rPr>
                    <w:t>废含油棉纱手套</w:t>
                  </w:r>
                </w:p>
              </w:tc>
              <w:tc>
                <w:tcPr>
                  <w:tcW w:w="519" w:type="pct"/>
                  <w:tcBorders>
                    <w:tl2br w:val="nil"/>
                    <w:tr2bl w:val="nil"/>
                  </w:tcBorders>
                  <w:noWrap w:val="0"/>
                  <w:vAlign w:val="center"/>
                </w:tcPr>
                <w:p w14:paraId="1EF14391">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宋体"/>
                      <w:color w:val="auto"/>
                      <w:sz w:val="21"/>
                      <w:szCs w:val="21"/>
                    </w:rPr>
                  </w:pPr>
                  <w:r>
                    <w:rPr>
                      <w:rFonts w:hint="eastAsia" w:ascii="Times New Roman" w:hAnsi="Times New Roman" w:eastAsia="宋体" w:cs="宋体"/>
                      <w:bCs/>
                      <w:color w:val="auto"/>
                      <w:sz w:val="21"/>
                      <w:szCs w:val="21"/>
                    </w:rPr>
                    <w:t>HW</w:t>
                  </w:r>
                  <w:r>
                    <w:rPr>
                      <w:rFonts w:hint="eastAsia" w:ascii="Times New Roman" w:hAnsi="Times New Roman" w:eastAsia="宋体" w:cs="宋体"/>
                      <w:bCs/>
                      <w:color w:val="auto"/>
                      <w:sz w:val="21"/>
                      <w:szCs w:val="21"/>
                      <w:lang w:val="en-US" w:eastAsia="zh-CN"/>
                    </w:rPr>
                    <w:t>49</w:t>
                  </w:r>
                </w:p>
              </w:tc>
              <w:tc>
                <w:tcPr>
                  <w:tcW w:w="880" w:type="pct"/>
                  <w:tcBorders>
                    <w:tl2br w:val="nil"/>
                    <w:tr2bl w:val="nil"/>
                  </w:tcBorders>
                  <w:noWrap w:val="0"/>
                  <w:vAlign w:val="center"/>
                </w:tcPr>
                <w:p w14:paraId="543D823F">
                  <w:pPr>
                    <w:keepNext w:val="0"/>
                    <w:keepLines w:val="0"/>
                    <w:suppressLineNumbers w:val="0"/>
                    <w:spacing w:before="0" w:beforeAutospacing="0" w:after="0" w:afterAutospacing="0"/>
                    <w:ind w:left="0" w:right="0"/>
                    <w:jc w:val="center"/>
                    <w:rPr>
                      <w:rFonts w:hint="default" w:ascii="Times New Roman" w:hAnsi="Times New Roman" w:eastAsia="宋体" w:cs="宋体"/>
                      <w:color w:val="auto"/>
                      <w:szCs w:val="21"/>
                    </w:rPr>
                  </w:pPr>
                  <w:r>
                    <w:rPr>
                      <w:rFonts w:hint="default" w:ascii="Times New Roman" w:hAnsi="Times New Roman" w:eastAsia="宋体" w:cs="Times New Roman"/>
                      <w:color w:val="auto"/>
                      <w:szCs w:val="21"/>
                    </w:rPr>
                    <w:t>900-</w:t>
                  </w:r>
                  <w:r>
                    <w:rPr>
                      <w:rFonts w:hint="eastAsia" w:ascii="Times New Roman" w:hAnsi="Times New Roman" w:eastAsia="宋体" w:cs="Times New Roman"/>
                      <w:color w:val="auto"/>
                      <w:szCs w:val="21"/>
                      <w:lang w:val="en-US" w:eastAsia="zh-CN"/>
                    </w:rPr>
                    <w:t>041</w:t>
                  </w:r>
                  <w:r>
                    <w:rPr>
                      <w:rFonts w:hint="default" w:ascii="Times New Roman" w:hAnsi="Times New Roman" w:eastAsia="宋体" w:cs="Times New Roman"/>
                      <w:color w:val="auto"/>
                      <w:szCs w:val="21"/>
                    </w:rPr>
                    <w:t>-</w:t>
                  </w:r>
                  <w:r>
                    <w:rPr>
                      <w:rFonts w:hint="eastAsia" w:ascii="Times New Roman" w:hAnsi="Times New Roman" w:eastAsia="宋体" w:cs="Times New Roman"/>
                      <w:color w:val="auto"/>
                      <w:szCs w:val="21"/>
                      <w:lang w:val="en-US" w:eastAsia="zh-CN"/>
                    </w:rPr>
                    <w:t>49</w:t>
                  </w:r>
                </w:p>
              </w:tc>
              <w:tc>
                <w:tcPr>
                  <w:tcW w:w="272" w:type="pct"/>
                  <w:vMerge w:val="continue"/>
                  <w:tcBorders>
                    <w:tl2br w:val="nil"/>
                    <w:tr2bl w:val="nil"/>
                  </w:tcBorders>
                  <w:noWrap w:val="0"/>
                  <w:vAlign w:val="center"/>
                </w:tcPr>
                <w:p w14:paraId="26DAA09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color w:val="auto"/>
                      <w:kern w:val="0"/>
                      <w:szCs w:val="21"/>
                    </w:rPr>
                  </w:pPr>
                </w:p>
              </w:tc>
              <w:tc>
                <w:tcPr>
                  <w:tcW w:w="405" w:type="pct"/>
                  <w:vMerge w:val="continue"/>
                  <w:tcBorders>
                    <w:tl2br w:val="nil"/>
                    <w:tr2bl w:val="nil"/>
                  </w:tcBorders>
                  <w:noWrap w:val="0"/>
                  <w:vAlign w:val="center"/>
                </w:tcPr>
                <w:p w14:paraId="5ACD85E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color w:val="auto"/>
                      <w:kern w:val="0"/>
                      <w:szCs w:val="21"/>
                    </w:rPr>
                  </w:pPr>
                </w:p>
              </w:tc>
              <w:tc>
                <w:tcPr>
                  <w:tcW w:w="555" w:type="pct"/>
                  <w:tcBorders>
                    <w:tl2br w:val="nil"/>
                    <w:tr2bl w:val="nil"/>
                  </w:tcBorders>
                  <w:noWrap w:val="0"/>
                  <w:vAlign w:val="center"/>
                </w:tcPr>
                <w:p w14:paraId="6C23A86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color w:val="auto"/>
                      <w:kern w:val="0"/>
                      <w:szCs w:val="21"/>
                    </w:rPr>
                  </w:pPr>
                  <w:r>
                    <w:rPr>
                      <w:rFonts w:hint="eastAsia" w:ascii="Times New Roman" w:hAnsi="Times New Roman" w:eastAsia="宋体" w:cs="宋体"/>
                      <w:color w:val="auto"/>
                      <w:kern w:val="0"/>
                      <w:szCs w:val="21"/>
                    </w:rPr>
                    <w:t>桶装</w:t>
                  </w:r>
                </w:p>
              </w:tc>
              <w:tc>
                <w:tcPr>
                  <w:tcW w:w="423" w:type="pct"/>
                  <w:vMerge w:val="continue"/>
                  <w:tcBorders>
                    <w:tl2br w:val="nil"/>
                    <w:tr2bl w:val="nil"/>
                  </w:tcBorders>
                  <w:noWrap w:val="0"/>
                  <w:vAlign w:val="center"/>
                </w:tcPr>
                <w:p w14:paraId="532F14D1">
                  <w:pPr>
                    <w:pStyle w:val="114"/>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宋体"/>
                      <w:color w:val="auto"/>
                      <w:sz w:val="21"/>
                    </w:rPr>
                  </w:pPr>
                </w:p>
              </w:tc>
              <w:tc>
                <w:tcPr>
                  <w:tcW w:w="498" w:type="pct"/>
                  <w:tcBorders>
                    <w:tl2br w:val="nil"/>
                    <w:tr2bl w:val="nil"/>
                  </w:tcBorders>
                  <w:noWrap w:val="0"/>
                  <w:vAlign w:val="center"/>
                </w:tcPr>
                <w:p w14:paraId="39D2F07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color w:val="auto"/>
                      <w:kern w:val="0"/>
                      <w:szCs w:val="21"/>
                    </w:rPr>
                  </w:pPr>
                  <w:r>
                    <w:rPr>
                      <w:rFonts w:hint="eastAsia" w:ascii="Times New Roman" w:hAnsi="Times New Roman" w:eastAsia="宋体" w:cs="宋体"/>
                      <w:color w:val="auto"/>
                      <w:kern w:val="0"/>
                      <w:szCs w:val="21"/>
                    </w:rPr>
                    <w:t>1年</w:t>
                  </w:r>
                </w:p>
              </w:tc>
            </w:tr>
          </w:tbl>
          <w:p w14:paraId="1B23C367">
            <w:pPr>
              <w:keepNext w:val="0"/>
              <w:keepLines w:val="0"/>
              <w:suppressLineNumbers w:val="0"/>
              <w:spacing w:before="120" w:beforeLines="50" w:beforeAutospacing="0" w:after="0" w:afterAutospacing="0" w:line="360" w:lineRule="auto"/>
              <w:ind w:left="0" w:right="0" w:firstLine="482" w:firstLineChars="200"/>
              <w:jc w:val="left"/>
              <w:rPr>
                <w:rFonts w:hint="default" w:ascii="Times New Roman" w:hAnsi="Times New Roman" w:eastAsia="宋体" w:cs="Times New Roman"/>
                <w:b/>
                <w:color w:val="auto"/>
                <w:sz w:val="24"/>
              </w:rPr>
            </w:pPr>
            <w:r>
              <w:rPr>
                <w:rFonts w:hint="eastAsia" w:ascii="Times New Roman" w:hAnsi="Times New Roman" w:eastAsia="宋体" w:cs="Times New Roman"/>
                <w:b/>
                <w:color w:val="auto"/>
                <w:sz w:val="24"/>
              </w:rPr>
              <w:t>2、固废的处置措施</w:t>
            </w:r>
          </w:p>
          <w:p w14:paraId="5363C36F">
            <w:pPr>
              <w:keepNext w:val="0"/>
              <w:keepLines w:val="0"/>
              <w:suppressLineNumbers w:val="0"/>
              <w:spacing w:before="0" w:beforeAutospacing="0" w:after="0" w:afterAutospacing="0" w:line="360" w:lineRule="auto"/>
              <w:ind w:left="0" w:right="0" w:firstLine="482" w:firstLineChars="200"/>
              <w:jc w:val="left"/>
              <w:rPr>
                <w:rFonts w:hint="default" w:ascii="Times New Roman" w:hAnsi="Times New Roman" w:eastAsia="宋体" w:cs="Times New Roman"/>
                <w:bCs/>
                <w:color w:val="auto"/>
                <w:sz w:val="24"/>
              </w:rPr>
            </w:pPr>
            <w:r>
              <w:rPr>
                <w:rFonts w:hint="default" w:ascii="Times New Roman" w:hAnsi="Times New Roman" w:eastAsia="宋体" w:cs="Times New Roman"/>
                <w:b/>
                <w:color w:val="auto"/>
                <w:sz w:val="24"/>
              </w:rPr>
              <w:t>一般固废收集及转运要求：</w:t>
            </w:r>
          </w:p>
          <w:p w14:paraId="007988C4">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本项目投入运营后应根据固废的不同性质加强固废的管理，在尽可能回收利用和资源化的基础上，分别进行处置，防止产生二次污染。要求做到以下措施：</w:t>
            </w:r>
          </w:p>
          <w:p w14:paraId="76CB4B5A">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lang w:eastAsia="ja-JP"/>
              </w:rPr>
            </w:pPr>
            <w:r>
              <w:rPr>
                <w:rFonts w:hint="eastAsia" w:ascii="Times New Roman" w:hAnsi="Times New Roman" w:eastAsia="宋体" w:cs="Times New Roman"/>
                <w:color w:val="auto"/>
                <w:sz w:val="24"/>
              </w:rPr>
              <w:t>厂区各处设置垃圾桶，生活垃圾</w:t>
            </w:r>
            <w:r>
              <w:rPr>
                <w:rFonts w:hint="eastAsia" w:ascii="Times New Roman" w:hAnsi="Times New Roman" w:eastAsia="宋体" w:cs="Times New Roman"/>
                <w:bCs/>
                <w:color w:val="auto"/>
                <w:kern w:val="0"/>
                <w:sz w:val="24"/>
              </w:rPr>
              <w:t>日产日</w:t>
            </w:r>
            <w:r>
              <w:rPr>
                <w:rFonts w:hint="eastAsia" w:ascii="Times New Roman" w:hAnsi="Times New Roman" w:eastAsia="宋体" w:cs="Times New Roman"/>
                <w:color w:val="auto"/>
                <w:sz w:val="24"/>
              </w:rPr>
              <w:t>清</w:t>
            </w:r>
            <w:r>
              <w:rPr>
                <w:rFonts w:hint="eastAsia" w:cs="Times New Roman"/>
                <w:color w:val="auto"/>
                <w:sz w:val="24"/>
                <w:lang w:eastAsia="zh-CN"/>
              </w:rPr>
              <w:t>；</w:t>
            </w:r>
            <w:r>
              <w:rPr>
                <w:rFonts w:hint="eastAsia" w:cs="Times New Roman"/>
                <w:color w:val="auto"/>
                <w:sz w:val="24"/>
                <w:lang w:val="en-US" w:eastAsia="zh-CN"/>
              </w:rPr>
              <w:t>泥饼堆场位于压滤机下方，面积约75m</w:t>
            </w:r>
            <w:r>
              <w:rPr>
                <w:rFonts w:hint="eastAsia" w:cs="Times New Roman"/>
                <w:color w:val="auto"/>
                <w:sz w:val="24"/>
                <w:vertAlign w:val="superscript"/>
                <w:lang w:val="en-US" w:eastAsia="zh-CN"/>
              </w:rPr>
              <w:t>2</w:t>
            </w:r>
            <w:r>
              <w:rPr>
                <w:rFonts w:hint="default" w:ascii="Times New Roman" w:hAnsi="Times New Roman" w:eastAsia="宋体" w:cs="Times New Roman"/>
                <w:color w:val="auto"/>
                <w:sz w:val="24"/>
                <w:lang w:eastAsia="ja-JP"/>
              </w:rPr>
              <w:t>。</w:t>
            </w:r>
          </w:p>
          <w:p w14:paraId="33BDB2F6">
            <w:pPr>
              <w:pStyle w:val="68"/>
              <w:keepNext w:val="0"/>
              <w:keepLines w:val="0"/>
              <w:suppressLineNumbers w:val="0"/>
              <w:snapToGrid w:val="0"/>
              <w:spacing w:before="0" w:beforeAutospacing="0" w:after="0" w:afterAutospacing="0"/>
              <w:ind w:left="0" w:right="0" w:firstLine="482"/>
              <w:rPr>
                <w:rFonts w:hint="default" w:ascii="Times New Roman" w:hAnsi="Times New Roman" w:eastAsia="宋体" w:cs="Times New Roman"/>
                <w:b/>
                <w:color w:val="auto"/>
              </w:rPr>
            </w:pPr>
            <w:r>
              <w:rPr>
                <w:rFonts w:hint="default" w:ascii="Times New Roman" w:hAnsi="Times New Roman" w:eastAsia="宋体" w:cs="Times New Roman"/>
                <w:b/>
                <w:color w:val="auto"/>
              </w:rPr>
              <w:t>危险废物收集及转运要求：</w:t>
            </w:r>
          </w:p>
          <w:p w14:paraId="7A9DBF58">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rPr>
              <w:t>A.</w:t>
            </w:r>
            <w:r>
              <w:rPr>
                <w:rFonts w:hint="default" w:ascii="Times New Roman" w:hAnsi="Times New Roman" w:eastAsia="宋体" w:cs="Times New Roman"/>
                <w:color w:val="auto"/>
                <w:sz w:val="24"/>
              </w:rPr>
              <w:t>设置危险废物暂存间</w:t>
            </w:r>
          </w:p>
          <w:p w14:paraId="2A5347EF">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为了减小危险废弃物的储运风险，防止危废流失污染环境，本项目将危险废物分类储存于危废暂存间内。</w:t>
            </w:r>
          </w:p>
          <w:p w14:paraId="75BB0C92">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bCs/>
                <w:color w:val="auto"/>
                <w:sz w:val="24"/>
              </w:rPr>
              <w:t>本项目</w:t>
            </w:r>
            <w:r>
              <w:rPr>
                <w:rFonts w:hint="eastAsia" w:ascii="Times New Roman" w:hAnsi="Times New Roman" w:eastAsia="宋体" w:cs="Times New Roman"/>
                <w:bCs/>
                <w:color w:val="auto"/>
                <w:sz w:val="24"/>
                <w:lang w:val="en-US" w:eastAsia="zh-CN"/>
              </w:rPr>
              <w:t>仅产生</w:t>
            </w:r>
            <w:r>
              <w:rPr>
                <w:rFonts w:hint="eastAsia" w:ascii="Times New Roman" w:hAnsi="Times New Roman" w:eastAsia="宋体" w:cs="Times New Roman"/>
                <w:bCs/>
                <w:color w:val="auto"/>
                <w:sz w:val="24"/>
              </w:rPr>
              <w:t>废矿物油及油桶</w:t>
            </w:r>
            <w:r>
              <w:rPr>
                <w:rFonts w:hint="eastAsia" w:ascii="Times New Roman" w:hAnsi="Times New Roman" w:eastAsia="宋体" w:cs="Times New Roman"/>
                <w:bCs/>
                <w:color w:val="auto"/>
                <w:sz w:val="24"/>
                <w:lang w:val="en-US" w:eastAsia="zh-CN"/>
              </w:rPr>
              <w:t>和</w:t>
            </w:r>
            <w:r>
              <w:rPr>
                <w:rFonts w:hint="eastAsia" w:ascii="Times New Roman" w:hAnsi="Times New Roman" w:eastAsia="宋体" w:cs="Times New Roman"/>
                <w:bCs/>
                <w:color w:val="auto"/>
                <w:sz w:val="24"/>
              </w:rPr>
              <w:t>废含油棉纱手套</w:t>
            </w:r>
            <w:r>
              <w:rPr>
                <w:rFonts w:hint="eastAsia" w:ascii="Times New Roman" w:hAnsi="Times New Roman" w:eastAsia="宋体" w:cs="Times New Roman"/>
                <w:bCs/>
                <w:color w:val="auto"/>
                <w:sz w:val="24"/>
                <w:lang w:eastAsia="zh-CN"/>
              </w:rPr>
              <w:t>，</w:t>
            </w:r>
            <w:r>
              <w:rPr>
                <w:rFonts w:hint="eastAsia" w:ascii="Times New Roman" w:hAnsi="Times New Roman" w:eastAsia="宋体" w:cs="Times New Roman"/>
                <w:bCs/>
                <w:color w:val="auto"/>
                <w:sz w:val="24"/>
                <w:lang w:val="en-US" w:eastAsia="zh-CN"/>
              </w:rPr>
              <w:t>危废年产生量较少，因此，本项目</w:t>
            </w:r>
            <w:r>
              <w:rPr>
                <w:rFonts w:hint="eastAsia" w:ascii="Times New Roman" w:hAnsi="Times New Roman" w:eastAsia="宋体" w:cs="Times New Roman"/>
                <w:bCs/>
                <w:color w:val="auto"/>
                <w:sz w:val="24"/>
              </w:rPr>
              <w:t>拟新建1个面积为</w:t>
            </w:r>
            <w:r>
              <w:rPr>
                <w:rFonts w:hint="eastAsia" w:ascii="Times New Roman" w:hAnsi="Times New Roman" w:eastAsia="宋体" w:cs="Times New Roman"/>
                <w:bCs/>
                <w:color w:val="auto"/>
                <w:sz w:val="24"/>
                <w:lang w:val="en-US" w:eastAsia="zh-CN"/>
              </w:rPr>
              <w:t>2</w:t>
            </w:r>
            <w:r>
              <w:rPr>
                <w:rFonts w:hint="eastAsia" w:ascii="Times New Roman" w:hAnsi="Times New Roman" w:eastAsia="宋体" w:cs="Times New Roman"/>
                <w:bCs/>
                <w:color w:val="auto"/>
                <w:sz w:val="24"/>
              </w:rPr>
              <w:t>m</w:t>
            </w:r>
            <w:r>
              <w:rPr>
                <w:rFonts w:hint="eastAsia" w:ascii="Times New Roman" w:hAnsi="Times New Roman" w:eastAsia="宋体" w:cs="Times New Roman"/>
                <w:bCs/>
                <w:color w:val="auto"/>
                <w:sz w:val="24"/>
                <w:vertAlign w:val="superscript"/>
              </w:rPr>
              <w:t>2</w:t>
            </w:r>
            <w:r>
              <w:rPr>
                <w:rFonts w:hint="eastAsia" w:ascii="Times New Roman" w:hAnsi="Times New Roman" w:eastAsia="宋体" w:cs="Times New Roman"/>
                <w:bCs/>
                <w:color w:val="auto"/>
                <w:sz w:val="24"/>
              </w:rPr>
              <w:t>的</w:t>
            </w:r>
            <w:r>
              <w:rPr>
                <w:rFonts w:hint="default" w:ascii="Times New Roman" w:hAnsi="Times New Roman" w:eastAsia="宋体" w:cs="Times New Roman"/>
                <w:bCs/>
                <w:color w:val="auto"/>
                <w:sz w:val="24"/>
              </w:rPr>
              <w:t>危废暂存间</w:t>
            </w:r>
            <w:r>
              <w:rPr>
                <w:rFonts w:hint="eastAsia" w:ascii="Times New Roman" w:hAnsi="Times New Roman" w:eastAsia="宋体" w:cs="Times New Roman"/>
                <w:bCs/>
                <w:color w:val="auto"/>
                <w:sz w:val="24"/>
              </w:rPr>
              <w:t>，危废暂存间</w:t>
            </w:r>
            <w:r>
              <w:rPr>
                <w:rFonts w:hint="default" w:ascii="Times New Roman" w:hAnsi="Times New Roman" w:eastAsia="宋体" w:cs="Times New Roman"/>
                <w:bCs/>
                <w:color w:val="auto"/>
                <w:sz w:val="24"/>
              </w:rPr>
              <w:t>按照《危险废物贮存污染控制标准》</w:t>
            </w:r>
            <w:r>
              <w:rPr>
                <w:rFonts w:hint="eastAsia" w:ascii="Times New Roman" w:hAnsi="Times New Roman" w:eastAsia="宋体" w:cs="Times New Roman"/>
                <w:bCs/>
                <w:color w:val="auto"/>
                <w:sz w:val="24"/>
              </w:rPr>
              <w:t>（GB18597-2023）</w:t>
            </w:r>
            <w:r>
              <w:rPr>
                <w:rFonts w:hint="default" w:ascii="Times New Roman" w:hAnsi="Times New Roman" w:eastAsia="宋体" w:cs="Times New Roman"/>
                <w:bCs/>
                <w:color w:val="auto"/>
                <w:sz w:val="24"/>
              </w:rPr>
              <w:t>规范建设</w:t>
            </w:r>
            <w:r>
              <w:rPr>
                <w:rFonts w:hint="eastAsia" w:ascii="Times New Roman" w:hAnsi="Times New Roman" w:eastAsia="宋体" w:cs="Times New Roman"/>
                <w:bCs/>
                <w:color w:val="auto"/>
                <w:sz w:val="24"/>
              </w:rPr>
              <w:t>，做好了防风、防晒、防雨、防漏、防渗、防腐“六防”措施</w:t>
            </w:r>
            <w:r>
              <w:rPr>
                <w:rFonts w:hint="default" w:ascii="Times New Roman" w:hAnsi="Times New Roman" w:eastAsia="宋体" w:cs="Times New Roman"/>
                <w:bCs/>
                <w:color w:val="auto"/>
                <w:sz w:val="24"/>
              </w:rPr>
              <w:t>。</w:t>
            </w:r>
            <w:r>
              <w:rPr>
                <w:rFonts w:hint="eastAsia" w:ascii="Times New Roman" w:hAnsi="Times New Roman" w:eastAsia="宋体" w:cs="Times New Roman"/>
                <w:bCs/>
                <w:color w:val="auto"/>
                <w:sz w:val="24"/>
                <w:lang w:val="en-US" w:eastAsia="zh-CN"/>
              </w:rPr>
              <w:t>危废间位于厂区</w:t>
            </w:r>
            <w:r>
              <w:rPr>
                <w:rFonts w:hint="eastAsia" w:cs="Times New Roman"/>
                <w:bCs/>
                <w:color w:val="auto"/>
                <w:sz w:val="24"/>
                <w:lang w:val="en-US" w:eastAsia="zh-CN"/>
              </w:rPr>
              <w:t>东</w:t>
            </w:r>
            <w:r>
              <w:rPr>
                <w:rFonts w:hint="eastAsia" w:ascii="Times New Roman" w:hAnsi="Times New Roman" w:eastAsia="宋体" w:cs="Times New Roman"/>
                <w:bCs/>
                <w:color w:val="auto"/>
                <w:sz w:val="24"/>
                <w:lang w:val="en-US" w:eastAsia="zh-CN"/>
              </w:rPr>
              <w:t>侧，尽量远离生产和生活区域，避免对以上区域造成影响。</w:t>
            </w:r>
          </w:p>
          <w:p w14:paraId="260010B8">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rPr>
              <w:t>B.</w:t>
            </w:r>
            <w:r>
              <w:rPr>
                <w:rFonts w:hint="default" w:ascii="Times New Roman" w:hAnsi="Times New Roman" w:eastAsia="宋体" w:cs="Times New Roman"/>
                <w:color w:val="auto"/>
                <w:sz w:val="24"/>
              </w:rPr>
              <w:t>危险废物的收集和管理</w:t>
            </w:r>
          </w:p>
          <w:p w14:paraId="65ECB224">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环评要求项目运行过程中产生的危险废物应采用专用收集桶分类收集后</w:t>
            </w:r>
            <w:r>
              <w:rPr>
                <w:rFonts w:hint="eastAsia" w:ascii="Times New Roman" w:hAnsi="Times New Roman" w:eastAsia="宋体" w:cs="Times New Roman"/>
                <w:bCs/>
                <w:color w:val="auto"/>
                <w:sz w:val="24"/>
              </w:rPr>
              <w:t>，</w:t>
            </w:r>
            <w:r>
              <w:rPr>
                <w:rFonts w:hint="default" w:ascii="Times New Roman" w:hAnsi="Times New Roman" w:eastAsia="宋体" w:cs="Times New Roman"/>
                <w:bCs/>
                <w:color w:val="auto"/>
                <w:sz w:val="24"/>
              </w:rPr>
              <w:t>送危废暂存间进行分区暂存；同时，危险废物暂存、管理应按照《危险废物贮存污染控制标准》（</w:t>
            </w:r>
            <w:r>
              <w:rPr>
                <w:rFonts w:hint="eastAsia" w:ascii="Times New Roman" w:hAnsi="Times New Roman" w:eastAsia="宋体" w:cs="Times New Roman"/>
                <w:bCs/>
                <w:color w:val="auto"/>
                <w:sz w:val="24"/>
              </w:rPr>
              <w:t>GB18597-2023</w:t>
            </w:r>
            <w:r>
              <w:rPr>
                <w:rFonts w:hint="default" w:ascii="Times New Roman" w:hAnsi="Times New Roman" w:eastAsia="宋体" w:cs="Times New Roman"/>
                <w:bCs/>
                <w:color w:val="auto"/>
                <w:sz w:val="24"/>
              </w:rPr>
              <w:t>）的要求，装载危险废物的容器必须完好无损、满足强度要求，并粘贴危险废物标签。</w:t>
            </w:r>
          </w:p>
          <w:p w14:paraId="45C243C5">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sz w:val="24"/>
              </w:rPr>
            </w:pPr>
            <w:r>
              <w:rPr>
                <w:rFonts w:hint="eastAsia" w:ascii="Times New Roman" w:hAnsi="Times New Roman" w:eastAsia="宋体" w:cs="Times New Roman"/>
                <w:sz w:val="24"/>
              </w:rPr>
              <w:t>本项目</w:t>
            </w:r>
            <w:r>
              <w:rPr>
                <w:rFonts w:hint="eastAsia" w:ascii="Times New Roman" w:hAnsi="Times New Roman" w:eastAsia="宋体" w:cs="Times New Roman"/>
                <w:sz w:val="24"/>
                <w:lang w:val="en-US" w:eastAsia="zh-CN"/>
              </w:rPr>
              <w:t>产生的</w:t>
            </w:r>
            <w:r>
              <w:rPr>
                <w:rFonts w:hint="eastAsia" w:ascii="Times New Roman" w:hAnsi="Times New Roman" w:eastAsia="宋体" w:cs="Times New Roman"/>
                <w:sz w:val="24"/>
              </w:rPr>
              <w:t>危险废物不属于易产生粉尘、VOCs、酸雾、有毒有害大气污染物和刺激性气味气体的危险废物种类，因此，该危废暂存间可不设置废气收集治理设施，评价要求，建设单位在危险废物存储过程中废</w:t>
            </w:r>
            <w:r>
              <w:rPr>
                <w:rFonts w:hint="eastAsia" w:ascii="Times New Roman" w:hAnsi="Times New Roman" w:eastAsia="宋体" w:cs="Times New Roman"/>
                <w:sz w:val="24"/>
                <w:lang w:val="en-US" w:eastAsia="zh-CN"/>
              </w:rPr>
              <w:t>矿物油和</w:t>
            </w:r>
            <w:r>
              <w:rPr>
                <w:rFonts w:hint="eastAsia" w:ascii="Times New Roman" w:hAnsi="Times New Roman" w:eastAsia="宋体" w:cs="Times New Roman"/>
                <w:sz w:val="24"/>
              </w:rPr>
              <w:t>废含油棉纱手套采用加盖密封桶进行存储。</w:t>
            </w:r>
          </w:p>
          <w:p w14:paraId="6FD30EF3">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本次评价主要从危险废物收集、贮存、运输环节提出污染防治措施要求，具体如下：</w:t>
            </w:r>
          </w:p>
          <w:p w14:paraId="5A2FD981">
            <w:pPr>
              <w:keepNext w:val="0"/>
              <w:keepLines w:val="0"/>
              <w:suppressLineNumbers w:val="0"/>
              <w:spacing w:before="0" w:beforeAutospacing="0" w:after="0" w:afterAutospacing="0" w:line="360" w:lineRule="auto"/>
              <w:ind w:left="0" w:right="0" w:firstLine="482" w:firstLineChars="200"/>
              <w:jc w:val="left"/>
              <w:rPr>
                <w:rFonts w:hint="default" w:ascii="Times New Roman" w:hAnsi="Times New Roman" w:eastAsia="宋体" w:cs="Times New Roman"/>
                <w:b/>
                <w:color w:val="auto"/>
                <w:sz w:val="24"/>
              </w:rPr>
            </w:pPr>
            <w:r>
              <w:rPr>
                <w:rFonts w:hint="eastAsia" w:ascii="Times New Roman" w:hAnsi="Times New Roman" w:eastAsia="宋体" w:cs="Times New Roman"/>
                <w:b/>
                <w:color w:val="auto"/>
                <w:sz w:val="24"/>
              </w:rPr>
              <w:t>（1）</w:t>
            </w:r>
            <w:r>
              <w:rPr>
                <w:rFonts w:hint="default" w:ascii="Times New Roman" w:hAnsi="Times New Roman" w:eastAsia="宋体" w:cs="Times New Roman"/>
                <w:b/>
                <w:color w:val="auto"/>
                <w:sz w:val="24"/>
              </w:rPr>
              <w:t>危险废物收集、贮存、运输的一般要求</w:t>
            </w:r>
          </w:p>
          <w:p w14:paraId="2B91DDDC">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auto"/>
                <w:sz w:val="24"/>
              </w:rPr>
            </w:pPr>
            <w:r>
              <w:rPr>
                <w:rFonts w:hint="eastAsia" w:ascii="Times New Roman" w:hAnsi="Times New Roman" w:eastAsia="宋体" w:cs="Times New Roman"/>
                <w:bCs/>
                <w:color w:val="auto"/>
                <w:sz w:val="24"/>
              </w:rPr>
              <w:t>①</w:t>
            </w:r>
            <w:r>
              <w:rPr>
                <w:rFonts w:hint="default" w:ascii="Times New Roman" w:hAnsi="Times New Roman" w:eastAsia="宋体" w:cs="Times New Roman"/>
                <w:bCs/>
                <w:color w:val="auto"/>
                <w:sz w:val="24"/>
              </w:rPr>
              <w:t>从事危险废物收集、贮存、运输经营活动的单位应具有危险废物经营许可证。在收集、贮存、运输危险废物时，应根据危险废物收集、贮存、处置经营许可证核发的有关规定建立相应的规章制度和污染防治措施，包括危险废物分析管理制度、安全管理制度、污染防治措施等；危险废物产生单位内部自行从事的危险废物收集、贮存、运输活动应遵照国家相关管理规定，建立健全规章制度及操作流程，确保该过程的安全、可靠。</w:t>
            </w:r>
          </w:p>
          <w:p w14:paraId="41E1035C">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auto"/>
                <w:sz w:val="24"/>
              </w:rPr>
            </w:pPr>
            <w:r>
              <w:rPr>
                <w:rFonts w:hint="eastAsia" w:ascii="Times New Roman" w:hAnsi="Times New Roman" w:eastAsia="宋体" w:cs="Times New Roman"/>
                <w:bCs/>
                <w:color w:val="auto"/>
                <w:sz w:val="24"/>
              </w:rPr>
              <w:t>②</w:t>
            </w:r>
            <w:r>
              <w:rPr>
                <w:rFonts w:hint="default" w:ascii="Times New Roman" w:hAnsi="Times New Roman" w:eastAsia="宋体" w:cs="Times New Roman"/>
                <w:bCs/>
                <w:color w:val="auto"/>
                <w:sz w:val="24"/>
              </w:rPr>
              <w:t>危险废物收集、贮存、运输时应按腐蚀性、毒性、易燃性、反应性和感染性等危险特性对危险废物进行分类、包装并设置相应的标志及标签。危险废物特性应根据其产生源特性及GB5085.1-7、HJ/T29进行鉴别。</w:t>
            </w:r>
          </w:p>
          <w:p w14:paraId="09C9ED23">
            <w:pPr>
              <w:keepNext w:val="0"/>
              <w:keepLines w:val="0"/>
              <w:suppressLineNumbers w:val="0"/>
              <w:spacing w:before="0" w:beforeAutospacing="0" w:after="0" w:afterAutospacing="0" w:line="360" w:lineRule="auto"/>
              <w:ind w:left="0" w:right="0" w:firstLine="482" w:firstLineChars="200"/>
              <w:jc w:val="left"/>
              <w:rPr>
                <w:rFonts w:hint="default" w:ascii="Times New Roman" w:hAnsi="Times New Roman" w:eastAsia="宋体" w:cs="Times New Roman"/>
                <w:b/>
                <w:color w:val="auto"/>
                <w:sz w:val="24"/>
              </w:rPr>
            </w:pPr>
            <w:r>
              <w:rPr>
                <w:rFonts w:hint="eastAsia" w:ascii="Times New Roman" w:hAnsi="Times New Roman" w:eastAsia="宋体" w:cs="Times New Roman"/>
                <w:b/>
                <w:color w:val="auto"/>
                <w:sz w:val="24"/>
              </w:rPr>
              <w:t>（2）</w:t>
            </w:r>
            <w:r>
              <w:rPr>
                <w:rFonts w:hint="default" w:ascii="Times New Roman" w:hAnsi="Times New Roman" w:eastAsia="宋体" w:cs="Times New Roman"/>
                <w:b/>
                <w:color w:val="auto"/>
                <w:sz w:val="24"/>
              </w:rPr>
              <w:t>危险废物的收集</w:t>
            </w:r>
          </w:p>
          <w:p w14:paraId="1C5543B5">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auto"/>
                <w:sz w:val="24"/>
              </w:rPr>
            </w:pPr>
            <w:r>
              <w:rPr>
                <w:rFonts w:hint="eastAsia" w:ascii="Times New Roman" w:hAnsi="Times New Roman" w:eastAsia="宋体" w:cs="Times New Roman"/>
                <w:bCs/>
                <w:color w:val="auto"/>
                <w:sz w:val="24"/>
              </w:rPr>
              <w:t>①</w:t>
            </w:r>
            <w:r>
              <w:rPr>
                <w:rFonts w:hint="default" w:ascii="Times New Roman" w:hAnsi="Times New Roman" w:eastAsia="宋体" w:cs="Times New Roman"/>
                <w:bCs/>
                <w:color w:val="auto"/>
                <w:sz w:val="24"/>
              </w:rPr>
              <w:t>危险废物产生单位进行的危险废物收集包括两个方面，一是在危险废物产生节点将危险废物集中到适当的包装容器中或运输车辆上的活动；二是将已包装或装到运输车辆上的危险废物集中到危险废物产生单位内部临时贮存设施的内部转运。</w:t>
            </w:r>
          </w:p>
          <w:p w14:paraId="6E46DA82">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auto"/>
                <w:sz w:val="24"/>
              </w:rPr>
            </w:pPr>
            <w:r>
              <w:rPr>
                <w:rFonts w:hint="eastAsia" w:ascii="Times New Roman" w:hAnsi="Times New Roman" w:eastAsia="宋体" w:cs="Times New Roman"/>
                <w:bCs/>
                <w:color w:val="auto"/>
                <w:sz w:val="24"/>
              </w:rPr>
              <w:t>②</w:t>
            </w:r>
            <w:r>
              <w:rPr>
                <w:rFonts w:hint="default" w:ascii="Times New Roman" w:hAnsi="Times New Roman" w:eastAsia="宋体" w:cs="Times New Roman"/>
                <w:bCs/>
                <w:color w:val="auto"/>
                <w:sz w:val="24"/>
              </w:rPr>
              <w:t>危险废物的收集应根据危险废物产生的工艺特征、排放周期、危险废物特性、废物管理计划等因素制定收集计划。收集计划应包括收集任务概述、收集目标及原则、危险废物特性评估、危险废物收集量估算、收集作业范围和方法、收集设备与包装容器、安全生产与个人防护、工程防护与事故应急、进度安排与组织管理等。</w:t>
            </w:r>
          </w:p>
          <w:p w14:paraId="0120568B">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auto"/>
                <w:sz w:val="24"/>
              </w:rPr>
            </w:pPr>
            <w:r>
              <w:rPr>
                <w:rFonts w:hint="eastAsia" w:ascii="Times New Roman" w:hAnsi="Times New Roman" w:eastAsia="宋体" w:cs="Times New Roman"/>
                <w:bCs/>
                <w:color w:val="auto"/>
                <w:sz w:val="24"/>
              </w:rPr>
              <w:t>③</w:t>
            </w:r>
            <w:r>
              <w:rPr>
                <w:rFonts w:hint="default" w:ascii="Times New Roman" w:hAnsi="Times New Roman" w:eastAsia="宋体" w:cs="Times New Roman"/>
                <w:bCs/>
                <w:color w:val="auto"/>
                <w:sz w:val="24"/>
              </w:rPr>
              <w:t>危险废物的收集应制定详细的操作规程，内容至少应包括适用范围、操作程序和方法、专用设备和工具、转移和交接、安全保障和应急防护等。</w:t>
            </w:r>
          </w:p>
          <w:p w14:paraId="516E51DF">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auto"/>
                <w:sz w:val="24"/>
              </w:rPr>
            </w:pPr>
            <w:r>
              <w:rPr>
                <w:rFonts w:hint="eastAsia" w:ascii="Times New Roman" w:hAnsi="Times New Roman" w:eastAsia="宋体" w:cs="Times New Roman"/>
                <w:bCs/>
                <w:color w:val="auto"/>
                <w:sz w:val="24"/>
              </w:rPr>
              <w:t>④</w:t>
            </w:r>
            <w:r>
              <w:rPr>
                <w:rFonts w:hint="default" w:ascii="Times New Roman" w:hAnsi="Times New Roman" w:eastAsia="宋体" w:cs="Times New Roman"/>
                <w:bCs/>
                <w:color w:val="auto"/>
                <w:sz w:val="24"/>
              </w:rPr>
              <w:t>危险废物收集和转运作业人员应根据工作需要配备必要的个人防护装备，如手套、防护镜、防护服、防毒面具或口罩等。</w:t>
            </w:r>
          </w:p>
          <w:p w14:paraId="55AE0432">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auto"/>
                <w:sz w:val="24"/>
              </w:rPr>
            </w:pPr>
            <w:r>
              <w:rPr>
                <w:rFonts w:hint="eastAsia" w:ascii="Times New Roman" w:hAnsi="Times New Roman" w:eastAsia="宋体" w:cs="Times New Roman"/>
                <w:bCs/>
                <w:color w:val="auto"/>
                <w:sz w:val="24"/>
              </w:rPr>
              <w:t>⑤</w:t>
            </w:r>
            <w:r>
              <w:rPr>
                <w:rFonts w:hint="default" w:ascii="Times New Roman" w:hAnsi="Times New Roman" w:eastAsia="宋体" w:cs="Times New Roman"/>
                <w:bCs/>
                <w:color w:val="auto"/>
                <w:sz w:val="24"/>
              </w:rPr>
              <w:t>在危险废物的收集和转运过程中，应采取相应的安全防护和污染防治措施，包括防爆、防火、防中毒、防感染、防</w:t>
            </w:r>
            <w:r>
              <w:rPr>
                <w:rFonts w:hint="eastAsia" w:ascii="Times New Roman" w:hAnsi="Times New Roman" w:eastAsia="宋体" w:cs="Times New Roman"/>
                <w:bCs/>
                <w:color w:val="auto"/>
                <w:sz w:val="24"/>
              </w:rPr>
              <w:t>泄漏</w:t>
            </w:r>
            <w:r>
              <w:rPr>
                <w:rFonts w:hint="default" w:ascii="Times New Roman" w:hAnsi="Times New Roman" w:eastAsia="宋体" w:cs="Times New Roman"/>
                <w:bCs/>
                <w:color w:val="auto"/>
                <w:sz w:val="24"/>
              </w:rPr>
              <w:t>、防飞扬、防雨</w:t>
            </w:r>
            <w:r>
              <w:rPr>
                <w:rFonts w:hint="eastAsia" w:ascii="Times New Roman" w:hAnsi="Times New Roman" w:eastAsia="宋体" w:cs="Times New Roman"/>
                <w:bCs/>
                <w:color w:val="auto"/>
                <w:sz w:val="24"/>
              </w:rPr>
              <w:t>或其他</w:t>
            </w:r>
            <w:r>
              <w:rPr>
                <w:rFonts w:hint="default" w:ascii="Times New Roman" w:hAnsi="Times New Roman" w:eastAsia="宋体" w:cs="Times New Roman"/>
                <w:bCs/>
                <w:color w:val="auto"/>
                <w:sz w:val="24"/>
              </w:rPr>
              <w:t>防止污染环境的措施。</w:t>
            </w:r>
          </w:p>
          <w:p w14:paraId="7A84C40A">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auto"/>
                <w:sz w:val="24"/>
              </w:rPr>
            </w:pPr>
            <w:r>
              <w:rPr>
                <w:rFonts w:hint="eastAsia" w:ascii="Times New Roman" w:hAnsi="Times New Roman" w:eastAsia="宋体" w:cs="Times New Roman"/>
                <w:bCs/>
                <w:color w:val="auto"/>
                <w:sz w:val="24"/>
              </w:rPr>
              <w:t>⑥</w:t>
            </w:r>
            <w:r>
              <w:rPr>
                <w:rFonts w:hint="default" w:ascii="Times New Roman" w:hAnsi="Times New Roman" w:eastAsia="宋体" w:cs="Times New Roman"/>
                <w:bCs/>
                <w:color w:val="auto"/>
                <w:sz w:val="24"/>
              </w:rPr>
              <w:t>危险废物收集时应根据危险废物的种类、数量、危险特性、物理形态、运输要求等因素确定包装形式，具体包装应符合如下要求：</w:t>
            </w:r>
          </w:p>
          <w:p w14:paraId="7EF74DDF">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auto"/>
                <w:sz w:val="24"/>
              </w:rPr>
            </w:pPr>
            <w:r>
              <w:rPr>
                <w:rFonts w:hint="eastAsia" w:ascii="Times New Roman" w:hAnsi="Times New Roman" w:eastAsia="宋体" w:cs="Times New Roman"/>
                <w:bCs/>
                <w:color w:val="auto"/>
                <w:sz w:val="24"/>
              </w:rPr>
              <w:t>a</w:t>
            </w:r>
            <w:r>
              <w:rPr>
                <w:rFonts w:hint="default" w:ascii="Times New Roman" w:hAnsi="Times New Roman" w:eastAsia="宋体" w:cs="Times New Roman"/>
                <w:bCs/>
                <w:color w:val="auto"/>
                <w:sz w:val="24"/>
              </w:rPr>
              <w:t>包装材质要与危险废物相容，可根据废物特性选择钢、铝、塑料等材质。</w:t>
            </w:r>
          </w:p>
          <w:p w14:paraId="72F9C0CF">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auto"/>
                <w:sz w:val="24"/>
              </w:rPr>
            </w:pPr>
            <w:r>
              <w:rPr>
                <w:rFonts w:hint="eastAsia" w:ascii="Times New Roman" w:hAnsi="Times New Roman" w:eastAsia="宋体" w:cs="Times New Roman"/>
                <w:bCs/>
                <w:color w:val="auto"/>
                <w:sz w:val="24"/>
              </w:rPr>
              <w:t>b</w:t>
            </w:r>
            <w:r>
              <w:rPr>
                <w:rFonts w:hint="default" w:ascii="Times New Roman" w:hAnsi="Times New Roman" w:eastAsia="宋体" w:cs="Times New Roman"/>
                <w:bCs/>
                <w:color w:val="auto"/>
                <w:sz w:val="24"/>
              </w:rPr>
              <w:t>性质类似的废物可收集到同一容器中，性质不相容的危险废物不应混合包装。</w:t>
            </w:r>
          </w:p>
          <w:p w14:paraId="7BA7FBDF">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auto"/>
                <w:sz w:val="24"/>
              </w:rPr>
            </w:pPr>
            <w:r>
              <w:rPr>
                <w:rFonts w:hint="eastAsia" w:ascii="Times New Roman" w:hAnsi="Times New Roman" w:eastAsia="宋体" w:cs="Times New Roman"/>
                <w:bCs/>
                <w:color w:val="auto"/>
                <w:sz w:val="24"/>
              </w:rPr>
              <w:t>c</w:t>
            </w:r>
            <w:r>
              <w:rPr>
                <w:rFonts w:hint="default" w:ascii="Times New Roman" w:hAnsi="Times New Roman" w:eastAsia="宋体" w:cs="Times New Roman"/>
                <w:bCs/>
                <w:color w:val="auto"/>
                <w:sz w:val="24"/>
              </w:rPr>
              <w:t>危险废物包装应能有效隔断危险废物迁移扩散途径，并达到防渗、防漏要求。</w:t>
            </w:r>
          </w:p>
          <w:p w14:paraId="42BCBDC6">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auto"/>
                <w:sz w:val="24"/>
              </w:rPr>
            </w:pPr>
            <w:r>
              <w:rPr>
                <w:rFonts w:hint="eastAsia" w:ascii="Times New Roman" w:hAnsi="Times New Roman" w:eastAsia="宋体" w:cs="Times New Roman"/>
                <w:bCs/>
                <w:color w:val="auto"/>
                <w:sz w:val="24"/>
              </w:rPr>
              <w:t>d</w:t>
            </w:r>
            <w:r>
              <w:rPr>
                <w:rFonts w:hint="default" w:ascii="Times New Roman" w:hAnsi="Times New Roman" w:eastAsia="宋体" w:cs="Times New Roman"/>
                <w:bCs/>
                <w:color w:val="auto"/>
                <w:sz w:val="24"/>
              </w:rPr>
              <w:t>包装好的危险废物应设置相应的标签，标签信息应填写完整</w:t>
            </w:r>
            <w:r>
              <w:rPr>
                <w:rFonts w:hint="eastAsia" w:ascii="Times New Roman" w:hAnsi="Times New Roman" w:eastAsia="宋体" w:cs="Times New Roman"/>
                <w:bCs/>
                <w:color w:val="auto"/>
                <w:sz w:val="24"/>
              </w:rPr>
              <w:t>详实</w:t>
            </w:r>
            <w:r>
              <w:rPr>
                <w:rFonts w:hint="default" w:ascii="Times New Roman" w:hAnsi="Times New Roman" w:eastAsia="宋体" w:cs="Times New Roman"/>
                <w:bCs/>
                <w:color w:val="auto"/>
                <w:sz w:val="24"/>
              </w:rPr>
              <w:t>。</w:t>
            </w:r>
          </w:p>
          <w:p w14:paraId="4712901F">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auto"/>
                <w:sz w:val="24"/>
              </w:rPr>
            </w:pPr>
            <w:r>
              <w:rPr>
                <w:rFonts w:hint="eastAsia" w:ascii="Times New Roman" w:hAnsi="Times New Roman" w:eastAsia="宋体" w:cs="Times New Roman"/>
                <w:bCs/>
                <w:color w:val="auto"/>
                <w:sz w:val="24"/>
              </w:rPr>
              <w:t>e</w:t>
            </w:r>
            <w:r>
              <w:rPr>
                <w:rFonts w:hint="default" w:ascii="Times New Roman" w:hAnsi="Times New Roman" w:eastAsia="宋体" w:cs="Times New Roman"/>
                <w:bCs/>
                <w:color w:val="auto"/>
                <w:sz w:val="24"/>
              </w:rPr>
              <w:t>盛装过危险废物的包装袋或包装容器破损后应按危险废物进行管理和处置。</w:t>
            </w:r>
          </w:p>
          <w:p w14:paraId="1A90C94F">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auto"/>
                <w:sz w:val="24"/>
              </w:rPr>
            </w:pPr>
            <w:r>
              <w:rPr>
                <w:rFonts w:hint="eastAsia" w:ascii="Times New Roman" w:hAnsi="Times New Roman" w:eastAsia="宋体" w:cs="Times New Roman"/>
                <w:bCs/>
                <w:color w:val="auto"/>
                <w:sz w:val="24"/>
              </w:rPr>
              <w:t>f</w:t>
            </w:r>
            <w:r>
              <w:rPr>
                <w:rFonts w:hint="default" w:ascii="Times New Roman" w:hAnsi="Times New Roman" w:eastAsia="宋体" w:cs="Times New Roman"/>
                <w:bCs/>
                <w:color w:val="auto"/>
                <w:sz w:val="24"/>
              </w:rPr>
              <w:t>危险废物还应根据GB12463的有关要求进行运输包装。</w:t>
            </w:r>
          </w:p>
          <w:p w14:paraId="7D6DCB0F">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auto"/>
                <w:sz w:val="24"/>
              </w:rPr>
            </w:pPr>
            <w:r>
              <w:rPr>
                <w:rFonts w:hint="eastAsia" w:ascii="Times New Roman" w:hAnsi="Times New Roman" w:eastAsia="宋体" w:cs="Times New Roman"/>
                <w:bCs/>
                <w:color w:val="auto"/>
                <w:sz w:val="24"/>
              </w:rPr>
              <w:t>⑦</w:t>
            </w:r>
            <w:r>
              <w:rPr>
                <w:rFonts w:hint="default" w:ascii="Times New Roman" w:hAnsi="Times New Roman" w:eastAsia="宋体" w:cs="Times New Roman"/>
                <w:bCs/>
                <w:color w:val="auto"/>
                <w:sz w:val="24"/>
              </w:rPr>
              <w:t>危险废物的收集作业应满足如下要求：</w:t>
            </w:r>
          </w:p>
          <w:p w14:paraId="6F807BBC">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auto"/>
                <w:sz w:val="24"/>
              </w:rPr>
            </w:pPr>
            <w:r>
              <w:rPr>
                <w:rFonts w:hint="eastAsia" w:ascii="Times New Roman" w:hAnsi="Times New Roman" w:eastAsia="宋体" w:cs="Times New Roman"/>
                <w:bCs/>
                <w:color w:val="auto"/>
                <w:sz w:val="24"/>
              </w:rPr>
              <w:t>a</w:t>
            </w:r>
            <w:r>
              <w:rPr>
                <w:rFonts w:hint="default" w:ascii="Times New Roman" w:hAnsi="Times New Roman" w:eastAsia="宋体" w:cs="Times New Roman"/>
                <w:bCs/>
                <w:color w:val="auto"/>
                <w:sz w:val="24"/>
              </w:rPr>
              <w:t>应根据收集设备、转运车辆以及现场人员等实际情况确定相应作业区域，同时要设置作业界限标志和警示牌。</w:t>
            </w:r>
          </w:p>
          <w:p w14:paraId="6365B11D">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auto"/>
                <w:sz w:val="24"/>
              </w:rPr>
            </w:pPr>
            <w:r>
              <w:rPr>
                <w:rFonts w:hint="eastAsia" w:ascii="Times New Roman" w:hAnsi="Times New Roman" w:eastAsia="宋体" w:cs="Times New Roman"/>
                <w:bCs/>
                <w:color w:val="auto"/>
                <w:sz w:val="24"/>
              </w:rPr>
              <w:t>b</w:t>
            </w:r>
            <w:r>
              <w:rPr>
                <w:rFonts w:hint="default" w:ascii="Times New Roman" w:hAnsi="Times New Roman" w:eastAsia="宋体" w:cs="Times New Roman"/>
                <w:bCs/>
                <w:color w:val="auto"/>
                <w:sz w:val="24"/>
              </w:rPr>
              <w:t>作业区域内应设置危险废物收集专用通道和人员避险通道。</w:t>
            </w:r>
          </w:p>
          <w:p w14:paraId="5C6DA83D">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auto"/>
                <w:sz w:val="24"/>
              </w:rPr>
            </w:pPr>
            <w:r>
              <w:rPr>
                <w:rFonts w:hint="eastAsia" w:ascii="Times New Roman" w:hAnsi="Times New Roman" w:eastAsia="宋体" w:cs="Times New Roman"/>
                <w:bCs/>
                <w:color w:val="auto"/>
                <w:sz w:val="24"/>
              </w:rPr>
              <w:t>c</w:t>
            </w:r>
            <w:r>
              <w:rPr>
                <w:rFonts w:hint="default" w:ascii="Times New Roman" w:hAnsi="Times New Roman" w:eastAsia="宋体" w:cs="Times New Roman"/>
                <w:bCs/>
                <w:color w:val="auto"/>
                <w:sz w:val="24"/>
              </w:rPr>
              <w:t>收集时应配备必要的收集工具和包装物，以及必要的应急监测设备及应急装备。</w:t>
            </w:r>
          </w:p>
          <w:p w14:paraId="13D92562">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auto"/>
                <w:sz w:val="24"/>
              </w:rPr>
            </w:pPr>
            <w:r>
              <w:rPr>
                <w:rFonts w:hint="eastAsia" w:ascii="Times New Roman" w:hAnsi="Times New Roman" w:eastAsia="宋体" w:cs="Times New Roman"/>
                <w:bCs/>
                <w:color w:val="auto"/>
                <w:sz w:val="24"/>
              </w:rPr>
              <w:t>d</w:t>
            </w:r>
            <w:r>
              <w:rPr>
                <w:rFonts w:hint="default" w:ascii="Times New Roman" w:hAnsi="Times New Roman" w:eastAsia="宋体" w:cs="Times New Roman"/>
                <w:bCs/>
                <w:color w:val="auto"/>
                <w:sz w:val="24"/>
              </w:rPr>
              <w:t>危险废物收集应填写记录表，并将记录表作为危险废物管理的重要档案妥善保存。</w:t>
            </w:r>
          </w:p>
          <w:p w14:paraId="65837445">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auto"/>
                <w:sz w:val="24"/>
              </w:rPr>
            </w:pPr>
            <w:r>
              <w:rPr>
                <w:rFonts w:hint="eastAsia" w:ascii="Times New Roman" w:hAnsi="Times New Roman" w:eastAsia="宋体" w:cs="Times New Roman"/>
                <w:bCs/>
                <w:color w:val="auto"/>
                <w:sz w:val="24"/>
              </w:rPr>
              <w:t>e</w:t>
            </w:r>
            <w:r>
              <w:rPr>
                <w:rFonts w:hint="default" w:ascii="Times New Roman" w:hAnsi="Times New Roman" w:eastAsia="宋体" w:cs="Times New Roman"/>
                <w:bCs/>
                <w:color w:val="auto"/>
                <w:sz w:val="24"/>
              </w:rPr>
              <w:t>收集结束后应清理和恢复收集作业区域，确保作业区域环境整洁安全。</w:t>
            </w:r>
          </w:p>
          <w:p w14:paraId="2CE694A3">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auto"/>
                <w:sz w:val="24"/>
              </w:rPr>
            </w:pPr>
            <w:r>
              <w:rPr>
                <w:rFonts w:hint="eastAsia" w:ascii="Times New Roman" w:hAnsi="Times New Roman" w:eastAsia="宋体" w:cs="Times New Roman"/>
                <w:bCs/>
                <w:color w:val="auto"/>
                <w:sz w:val="24"/>
              </w:rPr>
              <w:t>f</w:t>
            </w:r>
            <w:r>
              <w:rPr>
                <w:rFonts w:hint="default" w:ascii="Times New Roman" w:hAnsi="Times New Roman" w:eastAsia="宋体" w:cs="Times New Roman"/>
                <w:bCs/>
                <w:color w:val="auto"/>
                <w:sz w:val="24"/>
              </w:rPr>
              <w:t>收集过危险废物的容器、设备、设施、场所</w:t>
            </w:r>
            <w:r>
              <w:rPr>
                <w:rFonts w:hint="eastAsia" w:ascii="Times New Roman" w:hAnsi="Times New Roman" w:eastAsia="宋体" w:cs="Times New Roman"/>
                <w:bCs/>
                <w:color w:val="auto"/>
                <w:sz w:val="24"/>
              </w:rPr>
              <w:t>及其他</w:t>
            </w:r>
            <w:r>
              <w:rPr>
                <w:rFonts w:hint="default" w:ascii="Times New Roman" w:hAnsi="Times New Roman" w:eastAsia="宋体" w:cs="Times New Roman"/>
                <w:bCs/>
                <w:color w:val="auto"/>
                <w:sz w:val="24"/>
              </w:rPr>
              <w:t>物品转作</w:t>
            </w:r>
            <w:r>
              <w:rPr>
                <w:rFonts w:hint="eastAsia" w:ascii="Times New Roman" w:hAnsi="Times New Roman" w:eastAsia="宋体" w:cs="Times New Roman"/>
                <w:bCs/>
                <w:color w:val="auto"/>
                <w:sz w:val="24"/>
              </w:rPr>
              <w:t>他</w:t>
            </w:r>
            <w:r>
              <w:rPr>
                <w:rFonts w:hint="default" w:ascii="Times New Roman" w:hAnsi="Times New Roman" w:eastAsia="宋体" w:cs="Times New Roman"/>
                <w:bCs/>
                <w:color w:val="auto"/>
                <w:sz w:val="24"/>
              </w:rPr>
              <w:t>用时，应消除污染，确保其使用安全。</w:t>
            </w:r>
          </w:p>
          <w:p w14:paraId="0346C4AA">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auto"/>
                <w:sz w:val="24"/>
              </w:rPr>
            </w:pPr>
            <w:r>
              <w:rPr>
                <w:rFonts w:hint="eastAsia" w:ascii="Times New Roman" w:hAnsi="Times New Roman" w:eastAsia="宋体" w:cs="Times New Roman"/>
                <w:bCs/>
                <w:color w:val="auto"/>
                <w:sz w:val="24"/>
              </w:rPr>
              <w:t>⑧</w:t>
            </w:r>
            <w:r>
              <w:rPr>
                <w:rFonts w:hint="default" w:ascii="Times New Roman" w:hAnsi="Times New Roman" w:eastAsia="宋体" w:cs="Times New Roman"/>
                <w:bCs/>
                <w:color w:val="auto"/>
                <w:sz w:val="24"/>
              </w:rPr>
              <w:t>危险废物内部转运作业应满足如下要求：</w:t>
            </w:r>
          </w:p>
          <w:p w14:paraId="4E8796CC">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auto"/>
                <w:sz w:val="24"/>
              </w:rPr>
            </w:pPr>
            <w:r>
              <w:rPr>
                <w:rFonts w:hint="eastAsia" w:ascii="Times New Roman" w:hAnsi="Times New Roman" w:eastAsia="宋体" w:cs="Times New Roman"/>
                <w:bCs/>
                <w:color w:val="auto"/>
                <w:sz w:val="24"/>
              </w:rPr>
              <w:t>a</w:t>
            </w:r>
            <w:r>
              <w:rPr>
                <w:rFonts w:hint="default" w:ascii="Times New Roman" w:hAnsi="Times New Roman" w:eastAsia="宋体" w:cs="Times New Roman"/>
                <w:bCs/>
                <w:color w:val="auto"/>
                <w:sz w:val="24"/>
              </w:rPr>
              <w:t>危险废物内部转运应综合考虑厂区的实际情况确定转运路线，尽量避开办公区和生活区。</w:t>
            </w:r>
          </w:p>
          <w:p w14:paraId="3D5F9B0F">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auto"/>
                <w:sz w:val="24"/>
              </w:rPr>
            </w:pPr>
            <w:r>
              <w:rPr>
                <w:rFonts w:hint="eastAsia" w:ascii="Times New Roman" w:hAnsi="Times New Roman" w:eastAsia="宋体" w:cs="Times New Roman"/>
                <w:bCs/>
                <w:color w:val="auto"/>
                <w:sz w:val="24"/>
              </w:rPr>
              <w:t>b</w:t>
            </w:r>
            <w:r>
              <w:rPr>
                <w:rFonts w:hint="default" w:ascii="Times New Roman" w:hAnsi="Times New Roman" w:eastAsia="宋体" w:cs="Times New Roman"/>
                <w:bCs/>
                <w:color w:val="auto"/>
                <w:sz w:val="24"/>
              </w:rPr>
              <w:t>危险废物内部转运作业应采用专用的工具，危险废物内部转运应填写《危险废物厂内转运记录表》。</w:t>
            </w:r>
          </w:p>
          <w:p w14:paraId="460A6A13">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auto"/>
                <w:sz w:val="24"/>
              </w:rPr>
            </w:pPr>
            <w:r>
              <w:rPr>
                <w:rFonts w:hint="eastAsia" w:ascii="Times New Roman" w:hAnsi="Times New Roman" w:eastAsia="宋体" w:cs="Times New Roman"/>
                <w:bCs/>
                <w:color w:val="auto"/>
                <w:sz w:val="24"/>
              </w:rPr>
              <w:t>c</w:t>
            </w:r>
            <w:r>
              <w:rPr>
                <w:rFonts w:hint="default" w:ascii="Times New Roman" w:hAnsi="Times New Roman" w:eastAsia="宋体" w:cs="Times New Roman"/>
                <w:bCs/>
                <w:color w:val="auto"/>
                <w:sz w:val="24"/>
              </w:rPr>
              <w:t>危险废物内部转运结束后，应对转运路线进行检查和清理，确保无危险废物遗失在转运路线上，并对转运工具进行清洗。</w:t>
            </w:r>
          </w:p>
          <w:p w14:paraId="2BA0B1F4">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auto"/>
                <w:sz w:val="24"/>
              </w:rPr>
            </w:pPr>
            <w:r>
              <w:rPr>
                <w:rFonts w:hint="eastAsia" w:ascii="Times New Roman" w:hAnsi="Times New Roman" w:eastAsia="宋体" w:cs="Times New Roman"/>
                <w:bCs/>
                <w:color w:val="auto"/>
                <w:sz w:val="24"/>
              </w:rPr>
              <w:t>⑨</w:t>
            </w:r>
            <w:r>
              <w:rPr>
                <w:rFonts w:hint="default" w:ascii="Times New Roman" w:hAnsi="Times New Roman" w:eastAsia="宋体" w:cs="Times New Roman"/>
                <w:bCs/>
                <w:color w:val="auto"/>
                <w:sz w:val="24"/>
              </w:rPr>
              <w:t>收集不具备运输包装条件的危险废物时，且危险特性不会对环境和操作人员造成重大危害，可在临时包装后进行暂时贮存，但正式运输前应按本标准要求进行包装。</w:t>
            </w:r>
          </w:p>
          <w:p w14:paraId="7ED36067">
            <w:pPr>
              <w:keepNext w:val="0"/>
              <w:keepLines w:val="0"/>
              <w:suppressLineNumbers w:val="0"/>
              <w:spacing w:before="0" w:beforeAutospacing="0" w:after="0" w:afterAutospacing="0" w:line="360" w:lineRule="auto"/>
              <w:ind w:left="0" w:right="0" w:firstLine="482" w:firstLineChars="200"/>
              <w:jc w:val="left"/>
              <w:rPr>
                <w:rFonts w:hint="default" w:ascii="Times New Roman" w:hAnsi="Times New Roman" w:eastAsia="宋体" w:cs="Times New Roman"/>
                <w:b/>
                <w:color w:val="auto"/>
                <w:sz w:val="24"/>
              </w:rPr>
            </w:pPr>
            <w:r>
              <w:rPr>
                <w:rFonts w:hint="eastAsia" w:ascii="Times New Roman" w:hAnsi="Times New Roman" w:eastAsia="宋体" w:cs="Times New Roman"/>
                <w:b/>
                <w:color w:val="auto"/>
                <w:sz w:val="24"/>
              </w:rPr>
              <w:t>（3）</w:t>
            </w:r>
            <w:r>
              <w:rPr>
                <w:rFonts w:hint="default" w:ascii="Times New Roman" w:hAnsi="Times New Roman" w:eastAsia="宋体" w:cs="Times New Roman"/>
                <w:b/>
                <w:color w:val="auto"/>
                <w:sz w:val="24"/>
              </w:rPr>
              <w:t>危险废物的贮存</w:t>
            </w:r>
          </w:p>
          <w:p w14:paraId="312416B5">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auto"/>
                <w:sz w:val="24"/>
              </w:rPr>
            </w:pPr>
            <w:r>
              <w:rPr>
                <w:rFonts w:hint="eastAsia" w:ascii="Times New Roman" w:hAnsi="Times New Roman" w:eastAsia="宋体" w:cs="Times New Roman"/>
                <w:bCs/>
                <w:color w:val="auto"/>
                <w:sz w:val="24"/>
              </w:rPr>
              <w:t>①</w:t>
            </w:r>
            <w:r>
              <w:rPr>
                <w:rFonts w:hint="default" w:ascii="Times New Roman" w:hAnsi="Times New Roman" w:eastAsia="宋体" w:cs="Times New Roman"/>
                <w:bCs/>
                <w:color w:val="auto"/>
                <w:sz w:val="24"/>
              </w:rPr>
              <w:t>危险废物贮存可分为产生单位内部贮存、中转贮存及集中性贮存。所对应的贮存设施分别为：产生危险废物的单位用于暂时贮存的设施；拥有危险废物收集经营许可证的单位用于临时贮存危险废物的设施；以及危险废物经营单位所配置的贮存设施。</w:t>
            </w:r>
          </w:p>
          <w:p w14:paraId="7A92E02B">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auto"/>
                <w:sz w:val="24"/>
              </w:rPr>
            </w:pPr>
            <w:r>
              <w:rPr>
                <w:rFonts w:hint="eastAsia" w:ascii="Times New Roman" w:hAnsi="Times New Roman" w:eastAsia="宋体" w:cs="Times New Roman"/>
                <w:bCs/>
                <w:color w:val="auto"/>
                <w:sz w:val="24"/>
              </w:rPr>
              <w:t>②</w:t>
            </w:r>
            <w:r>
              <w:rPr>
                <w:rFonts w:hint="default" w:ascii="Times New Roman" w:hAnsi="Times New Roman" w:eastAsia="宋体" w:cs="Times New Roman"/>
                <w:bCs/>
                <w:color w:val="auto"/>
                <w:sz w:val="24"/>
              </w:rPr>
              <w:t>危险废物贮存设施的选址、设计、建设、运行管理应满足GB18597、GBZ1和GBZ2的有关要求。</w:t>
            </w:r>
          </w:p>
          <w:p w14:paraId="2FD02B36">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auto"/>
                <w:sz w:val="24"/>
              </w:rPr>
            </w:pPr>
            <w:r>
              <w:rPr>
                <w:rFonts w:hint="eastAsia" w:ascii="Times New Roman" w:hAnsi="Times New Roman" w:eastAsia="宋体" w:cs="Times New Roman"/>
                <w:bCs/>
                <w:color w:val="auto"/>
                <w:sz w:val="24"/>
              </w:rPr>
              <w:t>③</w:t>
            </w:r>
            <w:r>
              <w:rPr>
                <w:rFonts w:hint="default" w:ascii="Times New Roman" w:hAnsi="Times New Roman" w:eastAsia="宋体" w:cs="Times New Roman"/>
                <w:bCs/>
                <w:color w:val="auto"/>
                <w:sz w:val="24"/>
              </w:rPr>
              <w:t>危险废物贮存设施应配备通讯设备、照明设施和消防设施。</w:t>
            </w:r>
          </w:p>
          <w:p w14:paraId="4286576A">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auto"/>
                <w:sz w:val="24"/>
              </w:rPr>
            </w:pPr>
            <w:r>
              <w:rPr>
                <w:rFonts w:hint="eastAsia" w:ascii="Times New Roman" w:hAnsi="Times New Roman" w:eastAsia="宋体" w:cs="Times New Roman"/>
                <w:bCs/>
                <w:color w:val="auto"/>
                <w:sz w:val="24"/>
              </w:rPr>
              <w:t>④</w:t>
            </w:r>
            <w:r>
              <w:rPr>
                <w:rFonts w:hint="default" w:ascii="Times New Roman" w:hAnsi="Times New Roman" w:eastAsia="宋体" w:cs="Times New Roman"/>
                <w:bCs/>
                <w:color w:val="auto"/>
                <w:sz w:val="24"/>
              </w:rPr>
              <w:t>贮存危险废物时应按危险废物的种类和特性进行分区贮存，每个贮存区域之间宜设置挡墙间隔，并应设置防雨、防火、防雷、防扬尘装置。</w:t>
            </w:r>
          </w:p>
          <w:p w14:paraId="6B84A31A">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auto"/>
                <w:sz w:val="24"/>
              </w:rPr>
            </w:pPr>
            <w:r>
              <w:rPr>
                <w:rFonts w:hint="eastAsia" w:ascii="Times New Roman" w:hAnsi="Times New Roman" w:eastAsia="宋体" w:cs="Times New Roman"/>
                <w:bCs/>
                <w:color w:val="auto"/>
                <w:sz w:val="24"/>
              </w:rPr>
              <w:t>⑤</w:t>
            </w:r>
            <w:r>
              <w:rPr>
                <w:rFonts w:hint="default" w:ascii="Times New Roman" w:hAnsi="Times New Roman" w:eastAsia="宋体" w:cs="Times New Roman"/>
                <w:bCs/>
                <w:color w:val="auto"/>
                <w:sz w:val="24"/>
              </w:rPr>
              <w:t>贮存易燃易爆危险废物应配置有机气体报警、火灾报警装置和导</w:t>
            </w:r>
            <w:r>
              <w:rPr>
                <w:rFonts w:hint="eastAsia" w:cs="Times New Roman"/>
                <w:bCs/>
                <w:color w:val="auto"/>
                <w:sz w:val="24"/>
                <w:lang w:eastAsia="zh-CN"/>
              </w:rPr>
              <w:t>除静电</w:t>
            </w:r>
            <w:r>
              <w:rPr>
                <w:rFonts w:hint="default" w:ascii="Times New Roman" w:hAnsi="Times New Roman" w:eastAsia="宋体" w:cs="Times New Roman"/>
                <w:bCs/>
                <w:color w:val="auto"/>
                <w:sz w:val="24"/>
              </w:rPr>
              <w:t>的接地装置。</w:t>
            </w:r>
          </w:p>
          <w:p w14:paraId="4E48693C">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auto"/>
                <w:sz w:val="24"/>
              </w:rPr>
            </w:pPr>
            <w:r>
              <w:rPr>
                <w:rFonts w:hint="eastAsia" w:ascii="Times New Roman" w:hAnsi="Times New Roman" w:eastAsia="宋体" w:cs="Times New Roman"/>
                <w:bCs/>
                <w:color w:val="auto"/>
                <w:sz w:val="24"/>
              </w:rPr>
              <w:t>⑥</w:t>
            </w:r>
            <w:r>
              <w:rPr>
                <w:rFonts w:hint="default" w:ascii="Times New Roman" w:hAnsi="Times New Roman" w:eastAsia="宋体" w:cs="Times New Roman"/>
                <w:bCs/>
                <w:color w:val="auto"/>
                <w:sz w:val="24"/>
              </w:rPr>
              <w:t>危险废物贮存期限，不得超过一年，应符合《中华人民共和国固体废物污染环境防治法》的有关规定。</w:t>
            </w:r>
          </w:p>
          <w:p w14:paraId="29001E20">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auto"/>
                <w:sz w:val="24"/>
              </w:rPr>
            </w:pPr>
            <w:r>
              <w:rPr>
                <w:rFonts w:hint="eastAsia" w:ascii="Times New Roman" w:hAnsi="Times New Roman" w:eastAsia="宋体" w:cs="Times New Roman"/>
                <w:bCs/>
                <w:color w:val="auto"/>
                <w:sz w:val="24"/>
              </w:rPr>
              <w:t>⑦</w:t>
            </w:r>
            <w:r>
              <w:rPr>
                <w:rFonts w:hint="default" w:ascii="Times New Roman" w:hAnsi="Times New Roman" w:eastAsia="宋体" w:cs="Times New Roman"/>
                <w:bCs/>
                <w:color w:val="auto"/>
                <w:sz w:val="24"/>
              </w:rPr>
              <w:t>危险废物贮存单位应建立危险废物贮存</w:t>
            </w:r>
            <w:r>
              <w:rPr>
                <w:rFonts w:hint="eastAsia" w:ascii="Times New Roman" w:hAnsi="Times New Roman" w:eastAsia="宋体" w:cs="Times New Roman"/>
                <w:bCs/>
                <w:color w:val="auto"/>
                <w:sz w:val="24"/>
              </w:rPr>
              <w:t>台账</w:t>
            </w:r>
            <w:r>
              <w:rPr>
                <w:rFonts w:hint="default" w:ascii="Times New Roman" w:hAnsi="Times New Roman" w:eastAsia="宋体" w:cs="Times New Roman"/>
                <w:bCs/>
                <w:color w:val="auto"/>
                <w:sz w:val="24"/>
              </w:rPr>
              <w:t>制度，危险废物出入库交接应按照相关要求记录内容。</w:t>
            </w:r>
          </w:p>
          <w:p w14:paraId="5238C5E4">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auto"/>
                <w:sz w:val="24"/>
              </w:rPr>
            </w:pPr>
            <w:r>
              <w:rPr>
                <w:rFonts w:hint="eastAsia" w:ascii="Times New Roman" w:hAnsi="Times New Roman" w:eastAsia="宋体" w:cs="Times New Roman"/>
                <w:bCs/>
                <w:color w:val="auto"/>
                <w:sz w:val="24"/>
              </w:rPr>
              <w:t>⑧</w:t>
            </w:r>
            <w:r>
              <w:rPr>
                <w:rFonts w:hint="default" w:ascii="Times New Roman" w:hAnsi="Times New Roman" w:eastAsia="宋体" w:cs="Times New Roman"/>
                <w:bCs/>
                <w:color w:val="auto"/>
                <w:sz w:val="24"/>
              </w:rPr>
              <w:t>危险废物贮存设施应根据贮存废物种类和特性按照GB18597附录A设置标志。</w:t>
            </w:r>
          </w:p>
          <w:p w14:paraId="13C77AB8">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auto"/>
                <w:sz w:val="24"/>
              </w:rPr>
            </w:pPr>
            <w:r>
              <w:rPr>
                <w:rFonts w:hint="eastAsia" w:ascii="Times New Roman" w:hAnsi="Times New Roman" w:eastAsia="宋体" w:cs="Times New Roman"/>
                <w:bCs/>
                <w:color w:val="auto"/>
                <w:sz w:val="24"/>
              </w:rPr>
              <w:t>⑨</w:t>
            </w:r>
            <w:r>
              <w:rPr>
                <w:rFonts w:hint="default" w:ascii="Times New Roman" w:hAnsi="Times New Roman" w:eastAsia="宋体" w:cs="Times New Roman"/>
                <w:bCs/>
                <w:color w:val="auto"/>
                <w:sz w:val="24"/>
              </w:rPr>
              <w:t>危险废物贮存设施的关闭应按照GB18597和《危险废物经营许可证管理办法》的有关规定执行。</w:t>
            </w:r>
          </w:p>
          <w:p w14:paraId="6384078D">
            <w:pPr>
              <w:keepNext w:val="0"/>
              <w:keepLines w:val="0"/>
              <w:suppressLineNumbers w:val="0"/>
              <w:spacing w:before="0" w:beforeAutospacing="0" w:after="0" w:afterAutospacing="0" w:line="360" w:lineRule="auto"/>
              <w:ind w:left="0" w:right="0" w:firstLine="482" w:firstLineChars="200"/>
              <w:jc w:val="left"/>
              <w:rPr>
                <w:rFonts w:hint="default" w:ascii="Times New Roman" w:hAnsi="Times New Roman" w:eastAsia="宋体" w:cs="Times New Roman"/>
                <w:b/>
                <w:bCs w:val="0"/>
                <w:color w:val="auto"/>
                <w:sz w:val="24"/>
              </w:rPr>
            </w:pPr>
            <w:r>
              <w:rPr>
                <w:rFonts w:hint="eastAsia" w:ascii="Times New Roman" w:hAnsi="Times New Roman" w:eastAsia="宋体" w:cs="Times New Roman"/>
                <w:b/>
                <w:bCs w:val="0"/>
                <w:color w:val="auto"/>
                <w:sz w:val="24"/>
              </w:rPr>
              <w:t>（4）</w:t>
            </w:r>
            <w:r>
              <w:rPr>
                <w:rFonts w:hint="default" w:ascii="Times New Roman" w:hAnsi="Times New Roman" w:eastAsia="宋体" w:cs="Times New Roman"/>
                <w:b/>
                <w:bCs w:val="0"/>
                <w:color w:val="auto"/>
                <w:sz w:val="24"/>
              </w:rPr>
              <w:t>危险废物的运输</w:t>
            </w:r>
          </w:p>
          <w:p w14:paraId="2E844831">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auto"/>
                <w:sz w:val="24"/>
              </w:rPr>
            </w:pPr>
            <w:r>
              <w:rPr>
                <w:rFonts w:hint="eastAsia" w:ascii="Times New Roman" w:hAnsi="Times New Roman" w:eastAsia="宋体" w:cs="Times New Roman"/>
                <w:bCs/>
                <w:color w:val="auto"/>
                <w:sz w:val="24"/>
              </w:rPr>
              <w:t>①</w:t>
            </w:r>
            <w:r>
              <w:rPr>
                <w:rFonts w:hint="default" w:ascii="Times New Roman" w:hAnsi="Times New Roman" w:eastAsia="宋体" w:cs="Times New Roman"/>
                <w:bCs/>
                <w:color w:val="auto"/>
                <w:sz w:val="24"/>
              </w:rPr>
              <w:t>危险废物运输应由持有危险废物经营许可证的单位按照其许可证的经营范围组织实施，承担危险废物运输的单位应获得交通运输部门颁发的危险货物运输资质。</w:t>
            </w:r>
          </w:p>
          <w:p w14:paraId="5FBED8B8">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Cs/>
                <w:sz w:val="24"/>
              </w:rPr>
            </w:pPr>
            <w:r>
              <w:rPr>
                <w:rFonts w:hint="default" w:ascii="Times New Roman" w:hAnsi="Times New Roman" w:eastAsia="宋体" w:cs="Times New Roman"/>
                <w:b/>
                <w:bCs/>
                <w:color w:val="auto"/>
                <w:sz w:val="24"/>
              </w:rPr>
              <w:t>综上所述，项目产生的固体废物去向明确，处置措施合理可行，均得到了妥善处置，有效地防止了固体废物的逸散和对环境的二次污染，不会对周围环境造成不利影响。</w:t>
            </w:r>
          </w:p>
          <w:p w14:paraId="1561635F">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eastAsia="宋体" w:cs="Times New Roman"/>
                <w:b/>
                <w:sz w:val="24"/>
              </w:rPr>
            </w:pPr>
            <w:r>
              <w:rPr>
                <w:rFonts w:hint="eastAsia" w:ascii="Times New Roman" w:hAnsi="Times New Roman" w:eastAsia="宋体" w:cs="Times New Roman"/>
                <w:b/>
                <w:sz w:val="24"/>
              </w:rPr>
              <w:t>五、地下水、土壤环境影响和保护措施</w:t>
            </w:r>
          </w:p>
          <w:p w14:paraId="04DC20AE">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sz w:val="24"/>
                <w:szCs w:val="21"/>
              </w:rPr>
            </w:pPr>
            <w:r>
              <w:rPr>
                <w:rFonts w:hint="eastAsia" w:ascii="Times New Roman" w:hAnsi="Times New Roman" w:eastAsia="宋体" w:cs="Times New Roman"/>
                <w:sz w:val="24"/>
                <w:szCs w:val="21"/>
              </w:rPr>
              <w:t>污染物进入土壤、地下水的途径主要是由降雨或废水排放等通过垂直渗透进入包气带，进入包气带的污染物在物理、化学和生物作用下经吸附、转化、迁移和分解后输入地下水。</w:t>
            </w:r>
          </w:p>
          <w:p w14:paraId="08F17526">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szCs w:val="21"/>
              </w:rPr>
              <w:t>为避免本项目建设对区域土壤和地下水造成污染，本项目厂区进行了分区防渗。根据分区防渗原则，将厂区按物料或者污染物泄漏的途径和区域功能单元所处的位置划分为重点防渗区、一般防渗区和简单防渗区。</w:t>
            </w:r>
          </w:p>
          <w:p w14:paraId="54CE3913">
            <w:pPr>
              <w:keepNext w:val="0"/>
              <w:keepLines w:val="0"/>
              <w:suppressLineNumbers w:val="0"/>
              <w:spacing w:before="0" w:beforeAutospacing="0" w:after="0" w:afterAutospacing="0" w:line="360" w:lineRule="auto"/>
              <w:ind w:left="0" w:right="0" w:firstLine="482" w:firstLineChars="200"/>
              <w:rPr>
                <w:rFonts w:hint="eastAsia" w:ascii="Times New Roman" w:hAnsi="Times New Roman" w:eastAsia="宋体" w:cs="Times New Roman"/>
                <w:sz w:val="24"/>
              </w:rPr>
            </w:pPr>
            <w:r>
              <w:rPr>
                <w:rFonts w:hint="default" w:ascii="Times New Roman" w:hAnsi="Times New Roman" w:eastAsia="宋体" w:cs="Times New Roman"/>
                <w:b/>
                <w:bCs/>
                <w:sz w:val="24"/>
              </w:rPr>
              <w:t>重点防渗区</w:t>
            </w:r>
            <w:r>
              <w:rPr>
                <w:rFonts w:hint="default" w:ascii="Times New Roman" w:hAnsi="Times New Roman" w:eastAsia="宋体" w:cs="Times New Roman"/>
                <w:sz w:val="24"/>
              </w:rPr>
              <w:t>：危废暂存间</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油品库房、机械加工区</w:t>
            </w:r>
            <w:r>
              <w:rPr>
                <w:rFonts w:hint="default" w:ascii="Times New Roman" w:hAnsi="Times New Roman" w:eastAsia="宋体" w:cs="Times New Roman"/>
                <w:sz w:val="24"/>
              </w:rPr>
              <w:t>。</w:t>
            </w:r>
          </w:p>
          <w:p w14:paraId="218D7B6C">
            <w:pPr>
              <w:keepNext w:val="0"/>
              <w:keepLines w:val="0"/>
              <w:suppressLineNumbers w:val="0"/>
              <w:spacing w:before="0" w:beforeAutospacing="0" w:after="0" w:afterAutospacing="0" w:line="360" w:lineRule="auto"/>
              <w:ind w:left="0" w:right="0" w:firstLine="482" w:firstLineChars="200"/>
              <w:rPr>
                <w:rFonts w:hint="eastAsia" w:ascii="Times New Roman" w:hAnsi="Times New Roman" w:eastAsia="宋体" w:cs="Times New Roman"/>
                <w:sz w:val="24"/>
              </w:rPr>
            </w:pPr>
            <w:r>
              <w:rPr>
                <w:rFonts w:hint="eastAsia" w:ascii="Times New Roman" w:hAnsi="Times New Roman" w:eastAsia="宋体" w:cs="Times New Roman"/>
                <w:b/>
                <w:bCs/>
                <w:sz w:val="24"/>
              </w:rPr>
              <w:t>一般</w:t>
            </w:r>
            <w:r>
              <w:rPr>
                <w:rFonts w:hint="default" w:ascii="Times New Roman" w:hAnsi="Times New Roman" w:eastAsia="宋体" w:cs="Times New Roman"/>
                <w:b/>
                <w:bCs/>
                <w:sz w:val="24"/>
              </w:rPr>
              <w:t>防渗区</w:t>
            </w:r>
            <w:r>
              <w:rPr>
                <w:rFonts w:hint="eastAsia" w:ascii="Times New Roman" w:hAnsi="Times New Roman" w:eastAsia="宋体" w:cs="Times New Roman"/>
                <w:sz w:val="24"/>
              </w:rPr>
              <w:t>：</w:t>
            </w:r>
            <w:r>
              <w:rPr>
                <w:rFonts w:hint="eastAsia" w:ascii="Times New Roman" w:hAnsi="Times New Roman" w:eastAsia="宋体" w:cs="宋体"/>
                <w:kern w:val="0"/>
                <w:sz w:val="24"/>
                <w:lang w:bidi="ar"/>
              </w:rPr>
              <w:t>预处理池、隔油池</w:t>
            </w:r>
            <w:r>
              <w:rPr>
                <w:rFonts w:hint="eastAsia" w:ascii="Times New Roman" w:hAnsi="Times New Roman" w:eastAsia="宋体" w:cs="宋体"/>
                <w:kern w:val="0"/>
                <w:sz w:val="24"/>
                <w:lang w:val="en-US" w:eastAsia="zh-CN" w:bidi="ar"/>
              </w:rPr>
              <w:t>、一般固废间</w:t>
            </w:r>
            <w:r>
              <w:rPr>
                <w:rFonts w:hint="eastAsia" w:ascii="Times New Roman" w:hAnsi="Times New Roman" w:eastAsia="宋体" w:cs="Times New Roman"/>
                <w:sz w:val="24"/>
              </w:rPr>
              <w:t>。</w:t>
            </w:r>
          </w:p>
          <w:p w14:paraId="496DE0E1">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szCs w:val="21"/>
              </w:rPr>
            </w:pPr>
            <w:r>
              <w:rPr>
                <w:rFonts w:hint="eastAsia" w:ascii="Times New Roman" w:hAnsi="Times New Roman" w:eastAsia="宋体" w:cs="Times New Roman"/>
                <w:b/>
                <w:bCs/>
                <w:sz w:val="24"/>
              </w:rPr>
              <w:t>简单</w:t>
            </w:r>
            <w:r>
              <w:rPr>
                <w:rFonts w:hint="default" w:ascii="Times New Roman" w:hAnsi="Times New Roman" w:eastAsia="宋体" w:cs="Times New Roman"/>
                <w:b/>
                <w:bCs/>
                <w:sz w:val="24"/>
              </w:rPr>
              <w:t>防渗区</w:t>
            </w:r>
            <w:r>
              <w:rPr>
                <w:rFonts w:hint="eastAsia" w:ascii="Times New Roman" w:hAnsi="Times New Roman" w:eastAsia="宋体" w:cs="Times New Roman"/>
                <w:sz w:val="24"/>
              </w:rPr>
              <w:t>：除重点防渗区和一般防渗区以外的其他区域。</w:t>
            </w:r>
          </w:p>
          <w:p w14:paraId="19420EC9">
            <w:pPr>
              <w:keepNext w:val="0"/>
              <w:keepLines w:val="0"/>
              <w:suppressLineNumbers w:val="0"/>
              <w:spacing w:before="0" w:beforeAutospacing="0" w:after="0" w:afterAutospacing="0"/>
              <w:ind w:left="0" w:right="0" w:firstLine="413" w:firstLineChars="196"/>
              <w:jc w:val="center"/>
              <w:rPr>
                <w:rFonts w:hint="default" w:ascii="Times New Roman" w:hAnsi="Times New Roman" w:eastAsia="宋体" w:cs="Times New Roman"/>
                <w:b/>
                <w:bCs/>
                <w:sz w:val="24"/>
              </w:rPr>
            </w:pPr>
            <w:r>
              <w:rPr>
                <w:rFonts w:hint="default" w:ascii="Times New Roman" w:hAnsi="Times New Roman" w:eastAsia="宋体" w:cs="Times New Roman"/>
                <w:b/>
                <w:bCs/>
                <w:szCs w:val="21"/>
              </w:rPr>
              <w:t>表4-1</w:t>
            </w:r>
            <w:r>
              <w:rPr>
                <w:rFonts w:hint="eastAsia" w:cs="Times New Roman"/>
                <w:b/>
                <w:bCs/>
                <w:szCs w:val="21"/>
                <w:lang w:val="en-US" w:eastAsia="zh-CN"/>
              </w:rPr>
              <w:t>5</w:t>
            </w:r>
            <w:r>
              <w:rPr>
                <w:rFonts w:hint="default" w:ascii="Times New Roman" w:hAnsi="Times New Roman" w:eastAsia="宋体" w:cs="Times New Roman"/>
                <w:b/>
                <w:bCs/>
                <w:szCs w:val="21"/>
              </w:rPr>
              <w:t xml:space="preserve"> </w:t>
            </w:r>
            <w:r>
              <w:rPr>
                <w:rFonts w:hint="eastAsia" w:ascii="Times New Roman" w:hAnsi="Times New Roman" w:eastAsia="宋体" w:cs="Times New Roman"/>
                <w:b/>
                <w:bCs/>
                <w:szCs w:val="21"/>
              </w:rPr>
              <w:t xml:space="preserve"> </w:t>
            </w:r>
            <w:r>
              <w:rPr>
                <w:rFonts w:hint="default" w:ascii="Times New Roman" w:hAnsi="Times New Roman" w:eastAsia="宋体" w:cs="Times New Roman"/>
                <w:b/>
                <w:bCs/>
                <w:szCs w:val="21"/>
              </w:rPr>
              <w:t>地下水污染防治措施一览表</w:t>
            </w:r>
          </w:p>
          <w:tbl>
            <w:tblPr>
              <w:tblStyle w:val="26"/>
              <w:tblW w:w="4993"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27"/>
              <w:gridCol w:w="1064"/>
              <w:gridCol w:w="2904"/>
              <w:gridCol w:w="2953"/>
            </w:tblGrid>
            <w:tr w14:paraId="626D4D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6" w:type="pct"/>
                  <w:tcBorders>
                    <w:tl2br w:val="nil"/>
                    <w:tr2bl w:val="nil"/>
                  </w:tcBorders>
                  <w:noWrap w:val="0"/>
                  <w:vAlign w:val="center"/>
                </w:tcPr>
                <w:p w14:paraId="3B73B56B">
                  <w:pPr>
                    <w:keepNext w:val="0"/>
                    <w:keepLines w:val="0"/>
                    <w:widowControl/>
                    <w:suppressLineNumbers w:val="0"/>
                    <w:spacing w:before="0" w:beforeAutospacing="0" w:after="0" w:afterAutospacing="0" w:line="260" w:lineRule="exact"/>
                    <w:ind w:left="0" w:right="0"/>
                    <w:jc w:val="center"/>
                    <w:rPr>
                      <w:rFonts w:hint="default" w:ascii="Times New Roman" w:hAnsi="Times New Roman" w:eastAsia="宋体" w:cs="宋体"/>
                      <w:color w:val="auto"/>
                      <w:kern w:val="0"/>
                      <w:sz w:val="24"/>
                      <w:lang w:bidi="ar"/>
                    </w:rPr>
                  </w:pPr>
                  <w:r>
                    <w:rPr>
                      <w:rFonts w:hint="default" w:ascii="Times New Roman" w:hAnsi="Times New Roman" w:eastAsia="宋体" w:cs="Times New Roman"/>
                      <w:b/>
                      <w:color w:val="auto"/>
                      <w:spacing w:val="-20"/>
                      <w:szCs w:val="21"/>
                    </w:rPr>
                    <w:t>防渗分区</w:t>
                  </w:r>
                </w:p>
              </w:tc>
              <w:tc>
                <w:tcPr>
                  <w:tcW w:w="669" w:type="pct"/>
                  <w:tcBorders>
                    <w:tl2br w:val="nil"/>
                    <w:tr2bl w:val="nil"/>
                  </w:tcBorders>
                  <w:noWrap w:val="0"/>
                  <w:vAlign w:val="center"/>
                </w:tcPr>
                <w:p w14:paraId="2843BD66">
                  <w:pPr>
                    <w:keepNext w:val="0"/>
                    <w:keepLines w:val="0"/>
                    <w:widowControl/>
                    <w:suppressLineNumbers w:val="0"/>
                    <w:spacing w:before="0" w:beforeAutospacing="0" w:after="0" w:afterAutospacing="0" w:line="260" w:lineRule="exact"/>
                    <w:ind w:left="0" w:right="0"/>
                    <w:jc w:val="center"/>
                    <w:rPr>
                      <w:rFonts w:hint="default" w:ascii="Times New Roman" w:hAnsi="Times New Roman" w:eastAsia="宋体" w:cs="宋体"/>
                      <w:color w:val="auto"/>
                      <w:kern w:val="0"/>
                      <w:sz w:val="24"/>
                      <w:lang w:bidi="ar"/>
                    </w:rPr>
                  </w:pPr>
                  <w:r>
                    <w:rPr>
                      <w:rFonts w:hint="default" w:ascii="Times New Roman" w:hAnsi="Times New Roman" w:eastAsia="宋体" w:cs="Times New Roman"/>
                      <w:b/>
                      <w:color w:val="auto"/>
                      <w:szCs w:val="21"/>
                    </w:rPr>
                    <w:t>包括内容</w:t>
                  </w:r>
                </w:p>
              </w:tc>
              <w:tc>
                <w:tcPr>
                  <w:tcW w:w="1826" w:type="pct"/>
                  <w:tcBorders>
                    <w:tl2br w:val="nil"/>
                    <w:tr2bl w:val="nil"/>
                  </w:tcBorders>
                  <w:noWrap w:val="0"/>
                  <w:vAlign w:val="center"/>
                </w:tcPr>
                <w:p w14:paraId="20919395">
                  <w:pPr>
                    <w:keepNext w:val="0"/>
                    <w:keepLines w:val="0"/>
                    <w:widowControl/>
                    <w:suppressLineNumbers w:val="0"/>
                    <w:spacing w:before="0" w:beforeAutospacing="0" w:after="0" w:afterAutospacing="0" w:line="260" w:lineRule="exact"/>
                    <w:ind w:left="0" w:right="0"/>
                    <w:jc w:val="center"/>
                    <w:rPr>
                      <w:rFonts w:hint="default" w:ascii="Times New Roman" w:hAnsi="Times New Roman" w:eastAsia="宋体" w:cs="宋体"/>
                      <w:color w:val="auto"/>
                      <w:kern w:val="0"/>
                      <w:sz w:val="24"/>
                      <w:lang w:bidi="ar"/>
                    </w:rPr>
                  </w:pPr>
                  <w:r>
                    <w:rPr>
                      <w:rFonts w:hint="default" w:ascii="Times New Roman" w:hAnsi="Times New Roman" w:eastAsia="宋体" w:cs="Times New Roman"/>
                      <w:b/>
                      <w:color w:val="auto"/>
                      <w:szCs w:val="21"/>
                    </w:rPr>
                    <w:t>防渗要求</w:t>
                  </w:r>
                </w:p>
              </w:tc>
              <w:tc>
                <w:tcPr>
                  <w:tcW w:w="1857" w:type="pct"/>
                  <w:tcBorders>
                    <w:tl2br w:val="nil"/>
                    <w:tr2bl w:val="nil"/>
                  </w:tcBorders>
                  <w:noWrap w:val="0"/>
                  <w:vAlign w:val="center"/>
                </w:tcPr>
                <w:p w14:paraId="5D56E050">
                  <w:pPr>
                    <w:keepNext w:val="0"/>
                    <w:keepLines w:val="0"/>
                    <w:widowControl/>
                    <w:suppressLineNumbers w:val="0"/>
                    <w:spacing w:before="0" w:beforeAutospacing="0" w:after="0" w:afterAutospacing="0" w:line="260" w:lineRule="exact"/>
                    <w:ind w:left="0" w:right="0"/>
                    <w:jc w:val="center"/>
                    <w:rPr>
                      <w:rFonts w:hint="default" w:ascii="Times New Roman" w:hAnsi="Times New Roman" w:eastAsia="宋体" w:cs="宋体"/>
                      <w:color w:val="auto"/>
                      <w:kern w:val="0"/>
                      <w:sz w:val="24"/>
                      <w:lang w:bidi="ar"/>
                    </w:rPr>
                  </w:pPr>
                  <w:r>
                    <w:rPr>
                      <w:rFonts w:hint="eastAsia" w:ascii="Times New Roman" w:hAnsi="Times New Roman" w:eastAsia="宋体" w:cs="Times New Roman"/>
                      <w:b/>
                      <w:color w:val="auto"/>
                      <w:szCs w:val="21"/>
                    </w:rPr>
                    <w:t>拟采取的环境风险防范和应急措施</w:t>
                  </w:r>
                </w:p>
              </w:tc>
            </w:tr>
            <w:tr w14:paraId="1787D3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46" w:type="pct"/>
                  <w:tcBorders>
                    <w:tl2br w:val="nil"/>
                    <w:tr2bl w:val="nil"/>
                  </w:tcBorders>
                  <w:noWrap w:val="0"/>
                  <w:vAlign w:val="center"/>
                </w:tcPr>
                <w:p w14:paraId="7E651C06">
                  <w:pPr>
                    <w:keepNext w:val="0"/>
                    <w:keepLines w:val="0"/>
                    <w:widowControl/>
                    <w:suppressLineNumbers w:val="0"/>
                    <w:spacing w:before="0" w:beforeAutospacing="0" w:after="0" w:afterAutospacing="0" w:line="260" w:lineRule="exact"/>
                    <w:ind w:left="0" w:right="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重点</w:t>
                  </w:r>
                </w:p>
                <w:p w14:paraId="6AB53663">
                  <w:pPr>
                    <w:keepNext w:val="0"/>
                    <w:keepLines w:val="0"/>
                    <w:widowControl/>
                    <w:suppressLineNumbers w:val="0"/>
                    <w:spacing w:before="0" w:beforeAutospacing="0" w:after="0" w:afterAutospacing="0" w:line="26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防渗</w:t>
                  </w:r>
                </w:p>
                <w:p w14:paraId="233D4AB3">
                  <w:pPr>
                    <w:keepNext w:val="0"/>
                    <w:keepLines w:val="0"/>
                    <w:widowControl/>
                    <w:suppressLineNumbers w:val="0"/>
                    <w:spacing w:before="0" w:beforeAutospacing="0" w:after="0" w:afterAutospacing="0" w:line="260" w:lineRule="exact"/>
                    <w:ind w:left="0" w:right="0"/>
                    <w:jc w:val="center"/>
                    <w:rPr>
                      <w:rFonts w:hint="default" w:ascii="Times New Roman" w:hAnsi="Times New Roman" w:eastAsia="宋体" w:cs="宋体"/>
                      <w:color w:val="auto"/>
                      <w:kern w:val="0"/>
                      <w:sz w:val="24"/>
                      <w:lang w:bidi="ar"/>
                    </w:rPr>
                  </w:pPr>
                  <w:r>
                    <w:rPr>
                      <w:rFonts w:hint="default" w:ascii="Times New Roman" w:hAnsi="Times New Roman" w:eastAsia="宋体" w:cs="Times New Roman"/>
                      <w:color w:val="auto"/>
                      <w:szCs w:val="21"/>
                    </w:rPr>
                    <w:t>区</w:t>
                  </w:r>
                </w:p>
              </w:tc>
              <w:tc>
                <w:tcPr>
                  <w:tcW w:w="669" w:type="pct"/>
                  <w:tcBorders>
                    <w:tl2br w:val="nil"/>
                    <w:tr2bl w:val="nil"/>
                  </w:tcBorders>
                  <w:noWrap w:val="0"/>
                  <w:vAlign w:val="center"/>
                </w:tcPr>
                <w:p w14:paraId="7983B598">
                  <w:pPr>
                    <w:keepNext w:val="0"/>
                    <w:keepLines w:val="0"/>
                    <w:widowControl/>
                    <w:suppressLineNumbers w:val="0"/>
                    <w:spacing w:before="0" w:beforeAutospacing="0" w:after="0" w:afterAutospacing="0" w:line="260" w:lineRule="exact"/>
                    <w:ind w:left="0" w:right="0"/>
                    <w:jc w:val="center"/>
                    <w:rPr>
                      <w:rFonts w:hint="default" w:ascii="Times New Roman" w:hAnsi="Times New Roman" w:eastAsia="宋体" w:cs="宋体"/>
                      <w:color w:val="auto"/>
                      <w:kern w:val="0"/>
                      <w:szCs w:val="21"/>
                      <w:lang w:bidi="ar"/>
                    </w:rPr>
                  </w:pPr>
                  <w:r>
                    <w:rPr>
                      <w:rFonts w:hint="eastAsia" w:ascii="Times New Roman" w:hAnsi="Times New Roman" w:eastAsia="宋体" w:cs="Times New Roman"/>
                      <w:bCs/>
                      <w:color w:val="auto"/>
                      <w:szCs w:val="21"/>
                    </w:rPr>
                    <w:t>危废暂存间</w:t>
                  </w:r>
                </w:p>
              </w:tc>
              <w:tc>
                <w:tcPr>
                  <w:tcW w:w="1826" w:type="pct"/>
                  <w:tcBorders>
                    <w:tl2br w:val="nil"/>
                    <w:tr2bl w:val="nil"/>
                  </w:tcBorders>
                  <w:noWrap w:val="0"/>
                  <w:vAlign w:val="center"/>
                </w:tcPr>
                <w:p w14:paraId="539406F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eastAsia" w:ascii="Times New Roman" w:hAnsi="Times New Roman" w:eastAsia="宋体" w:cs="Times New Roman"/>
                      <w:bCs/>
                      <w:color w:val="auto"/>
                      <w:szCs w:val="21"/>
                    </w:rPr>
                    <w:t>至少1m厚黏土层（渗透系数不大于10</w:t>
                  </w:r>
                  <w:r>
                    <w:rPr>
                      <w:rFonts w:hint="eastAsia" w:ascii="Times New Roman" w:hAnsi="Times New Roman" w:eastAsia="宋体" w:cs="Times New Roman"/>
                      <w:bCs/>
                      <w:color w:val="auto"/>
                      <w:szCs w:val="21"/>
                      <w:vertAlign w:val="superscript"/>
                    </w:rPr>
                    <w:t>-7</w:t>
                  </w:r>
                  <w:r>
                    <w:rPr>
                      <w:rFonts w:hint="eastAsia" w:ascii="Times New Roman" w:hAnsi="Times New Roman" w:eastAsia="宋体" w:cs="Times New Roman"/>
                      <w:bCs/>
                      <w:color w:val="auto"/>
                      <w:szCs w:val="21"/>
                    </w:rPr>
                    <w:t>cm/s），或至少2mm厚高密度聚乙烯膜等人工防渗材料（渗透系数不大于10</w:t>
                  </w:r>
                  <w:r>
                    <w:rPr>
                      <w:rFonts w:hint="eastAsia" w:ascii="Times New Roman" w:hAnsi="Times New Roman" w:eastAsia="宋体" w:cs="Times New Roman"/>
                      <w:bCs/>
                      <w:color w:val="auto"/>
                      <w:szCs w:val="21"/>
                      <w:vertAlign w:val="superscript"/>
                    </w:rPr>
                    <w:t>-10</w:t>
                  </w:r>
                  <w:r>
                    <w:rPr>
                      <w:rFonts w:hint="eastAsia" w:ascii="Times New Roman" w:hAnsi="Times New Roman" w:eastAsia="宋体" w:cs="Times New Roman"/>
                      <w:bCs/>
                      <w:color w:val="auto"/>
                      <w:szCs w:val="21"/>
                    </w:rPr>
                    <w:t>cm/s），或其他防渗性能等效的材料</w:t>
                  </w:r>
                </w:p>
              </w:tc>
              <w:tc>
                <w:tcPr>
                  <w:tcW w:w="1857" w:type="pct"/>
                  <w:tcBorders>
                    <w:tl2br w:val="nil"/>
                    <w:tr2bl w:val="nil"/>
                  </w:tcBorders>
                  <w:noWrap w:val="0"/>
                  <w:vAlign w:val="center"/>
                </w:tcPr>
                <w:p w14:paraId="62F2EED4">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rPr>
                  </w:pPr>
                  <w:r>
                    <w:rPr>
                      <w:rFonts w:hint="eastAsia" w:ascii="Times New Roman" w:hAnsi="Times New Roman" w:eastAsia="宋体" w:cs="宋体"/>
                      <w:color w:val="auto"/>
                      <w:sz w:val="21"/>
                      <w:szCs w:val="21"/>
                      <w:lang w:val="en-US" w:eastAsia="zh-CN"/>
                    </w:rPr>
                    <w:t>地面采取</w:t>
                  </w:r>
                  <w:r>
                    <w:rPr>
                      <w:rFonts w:hint="eastAsia" w:ascii="Times New Roman" w:hAnsi="Times New Roman" w:eastAsia="宋体" w:cs="宋体"/>
                      <w:color w:val="auto"/>
                      <w:kern w:val="2"/>
                      <w:sz w:val="21"/>
                      <w:szCs w:val="21"/>
                    </w:rPr>
                    <w:t>防渗混凝土</w:t>
                  </w:r>
                  <w:r>
                    <w:rPr>
                      <w:rFonts w:hint="eastAsia" w:ascii="Times New Roman" w:hAnsi="Times New Roman" w:eastAsia="宋体" w:cs="宋体"/>
                      <w:color w:val="auto"/>
                      <w:sz w:val="21"/>
                      <w:szCs w:val="21"/>
                    </w:rPr>
                    <w:t>垫层+2mm厚环氧树脂</w:t>
                  </w:r>
                  <w:r>
                    <w:rPr>
                      <w:rFonts w:hint="eastAsia" w:ascii="Times New Roman" w:hAnsi="Times New Roman" w:eastAsia="宋体" w:cs="Times New Roman"/>
                      <w:bCs/>
                      <w:color w:val="auto"/>
                      <w:szCs w:val="21"/>
                    </w:rPr>
                    <w:t>，</w:t>
                  </w:r>
                  <w:r>
                    <w:rPr>
                      <w:rFonts w:hint="default" w:ascii="Times New Roman" w:hAnsi="Times New Roman" w:eastAsia="宋体" w:cs="Times New Roman"/>
                      <w:bCs/>
                      <w:color w:val="auto"/>
                      <w:szCs w:val="21"/>
                    </w:rPr>
                    <w:t>液态危废采用密闭容器存储</w:t>
                  </w:r>
                  <w:r>
                    <w:rPr>
                      <w:rFonts w:hint="eastAsia" w:ascii="Times New Roman" w:hAnsi="Times New Roman" w:eastAsia="宋体" w:cs="Times New Roman"/>
                      <w:bCs/>
                      <w:color w:val="auto"/>
                      <w:szCs w:val="21"/>
                    </w:rPr>
                    <w:t>，</w:t>
                  </w:r>
                  <w:r>
                    <w:rPr>
                      <w:rFonts w:hint="default" w:ascii="Times New Roman" w:hAnsi="Times New Roman" w:eastAsia="宋体" w:cs="Times New Roman"/>
                      <w:bCs/>
                      <w:color w:val="auto"/>
                      <w:szCs w:val="21"/>
                    </w:rPr>
                    <w:t>底部设置防渗托盘</w:t>
                  </w:r>
                  <w:r>
                    <w:rPr>
                      <w:rFonts w:hint="eastAsia" w:ascii="Times New Roman" w:hAnsi="Times New Roman" w:eastAsia="宋体" w:cs="Times New Roman"/>
                      <w:bCs/>
                      <w:color w:val="auto"/>
                      <w:szCs w:val="21"/>
                    </w:rPr>
                    <w:t>，并</w:t>
                  </w:r>
                  <w:r>
                    <w:rPr>
                      <w:rFonts w:hint="default" w:ascii="Times New Roman" w:hAnsi="Times New Roman" w:eastAsia="宋体" w:cs="Times New Roman"/>
                      <w:bCs/>
                      <w:color w:val="auto"/>
                      <w:szCs w:val="21"/>
                    </w:rPr>
                    <w:t>设置备用空桶，防止液体</w:t>
                  </w:r>
                  <w:r>
                    <w:rPr>
                      <w:rFonts w:hint="eastAsia" w:ascii="Times New Roman" w:hAnsi="Times New Roman" w:eastAsia="宋体" w:cs="Times New Roman"/>
                      <w:bCs/>
                      <w:color w:val="auto"/>
                      <w:szCs w:val="21"/>
                    </w:rPr>
                    <w:t>泄漏</w:t>
                  </w:r>
                </w:p>
              </w:tc>
            </w:tr>
            <w:tr w14:paraId="16B422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6" w:type="pct"/>
                  <w:vMerge w:val="restart"/>
                  <w:tcBorders>
                    <w:tl2br w:val="nil"/>
                    <w:tr2bl w:val="nil"/>
                  </w:tcBorders>
                  <w:noWrap w:val="0"/>
                  <w:vAlign w:val="center"/>
                </w:tcPr>
                <w:p w14:paraId="36B8A5FF">
                  <w:pPr>
                    <w:keepNext w:val="0"/>
                    <w:keepLines w:val="0"/>
                    <w:widowControl/>
                    <w:suppressLineNumbers w:val="0"/>
                    <w:spacing w:before="0" w:beforeAutospacing="0" w:after="0" w:afterAutospacing="0" w:line="260" w:lineRule="exact"/>
                    <w:ind w:left="0" w:right="0"/>
                    <w:jc w:val="center"/>
                    <w:rPr>
                      <w:rFonts w:hint="default" w:ascii="Times New Roman" w:hAnsi="Times New Roman" w:eastAsia="宋体" w:cs="宋体"/>
                      <w:color w:val="auto"/>
                      <w:kern w:val="0"/>
                      <w:sz w:val="24"/>
                      <w:lang w:bidi="ar"/>
                    </w:rPr>
                  </w:pPr>
                  <w:r>
                    <w:rPr>
                      <w:rFonts w:hint="default" w:ascii="Times New Roman" w:hAnsi="Times New Roman" w:eastAsia="宋体" w:cs="Times New Roman"/>
                      <w:bCs/>
                      <w:color w:val="auto"/>
                      <w:szCs w:val="21"/>
                    </w:rPr>
                    <w:t>一般防渗区</w:t>
                  </w:r>
                </w:p>
              </w:tc>
              <w:tc>
                <w:tcPr>
                  <w:tcW w:w="669" w:type="pct"/>
                  <w:tcBorders>
                    <w:tl2br w:val="nil"/>
                    <w:tr2bl w:val="nil"/>
                  </w:tcBorders>
                  <w:noWrap w:val="0"/>
                  <w:vAlign w:val="center"/>
                </w:tcPr>
                <w:p w14:paraId="5FD01467">
                  <w:pPr>
                    <w:keepNext w:val="0"/>
                    <w:keepLines w:val="0"/>
                    <w:widowControl/>
                    <w:suppressLineNumbers w:val="0"/>
                    <w:spacing w:before="0" w:beforeAutospacing="0" w:after="0" w:afterAutospacing="0" w:line="260" w:lineRule="exact"/>
                    <w:ind w:left="0" w:right="0"/>
                    <w:jc w:val="center"/>
                    <w:rPr>
                      <w:rFonts w:hint="default" w:ascii="Times New Roman" w:hAnsi="Times New Roman" w:eastAsia="宋体" w:cs="Times New Roman"/>
                      <w:bCs/>
                      <w:color w:val="auto"/>
                      <w:szCs w:val="21"/>
                    </w:rPr>
                  </w:pPr>
                  <w:r>
                    <w:rPr>
                      <w:rFonts w:hint="eastAsia" w:ascii="Times New Roman" w:hAnsi="Times New Roman" w:eastAsia="宋体" w:cs="Times New Roman"/>
                      <w:bCs/>
                      <w:color w:val="auto"/>
                      <w:szCs w:val="21"/>
                    </w:rPr>
                    <w:t>预处理池</w:t>
                  </w:r>
                </w:p>
              </w:tc>
              <w:tc>
                <w:tcPr>
                  <w:tcW w:w="1826" w:type="pct"/>
                  <w:vMerge w:val="restart"/>
                  <w:tcBorders>
                    <w:tl2br w:val="nil"/>
                    <w:tr2bl w:val="nil"/>
                  </w:tcBorders>
                  <w:noWrap w:val="0"/>
                  <w:vAlign w:val="center"/>
                </w:tcPr>
                <w:p w14:paraId="7B72C0B2">
                  <w:pPr>
                    <w:pStyle w:val="21"/>
                    <w:keepNext w:val="0"/>
                    <w:keepLines w:val="0"/>
                    <w:suppressLineNumbers w:val="0"/>
                    <w:spacing w:before="0" w:beforeAutospacing="0" w:afterAutospacing="0" w:line="240" w:lineRule="auto"/>
                    <w:ind w:left="0" w:right="0" w:firstLine="0" w:firstLineChars="0"/>
                    <w:jc w:val="center"/>
                    <w:rPr>
                      <w:rFonts w:hint="default" w:ascii="Times New Roman" w:hAnsi="Times New Roman" w:eastAsia="宋体"/>
                      <w:color w:val="auto"/>
                      <w:sz w:val="21"/>
                      <w:szCs w:val="21"/>
                    </w:rPr>
                  </w:pPr>
                  <w:r>
                    <w:rPr>
                      <w:rFonts w:hint="eastAsia" w:ascii="Times New Roman" w:hAnsi="Times New Roman" w:eastAsia="宋体"/>
                      <w:color w:val="auto"/>
                      <w:sz w:val="21"/>
                      <w:szCs w:val="21"/>
                    </w:rPr>
                    <w:t>等效黏土防渗层Mb≥1.5m，K≤1×10</w:t>
                  </w:r>
                  <w:r>
                    <w:rPr>
                      <w:rFonts w:hint="eastAsia" w:ascii="Times New Roman" w:hAnsi="Times New Roman" w:eastAsia="宋体"/>
                      <w:color w:val="auto"/>
                      <w:sz w:val="21"/>
                      <w:szCs w:val="21"/>
                      <w:vertAlign w:val="superscript"/>
                    </w:rPr>
                    <w:t>-7</w:t>
                  </w:r>
                  <w:r>
                    <w:rPr>
                      <w:rFonts w:hint="eastAsia" w:ascii="Times New Roman" w:hAnsi="Times New Roman" w:eastAsia="宋体"/>
                      <w:color w:val="auto"/>
                      <w:sz w:val="21"/>
                      <w:szCs w:val="21"/>
                    </w:rPr>
                    <w:t>cm/s</w:t>
                  </w:r>
                </w:p>
              </w:tc>
              <w:tc>
                <w:tcPr>
                  <w:tcW w:w="1857" w:type="pct"/>
                  <w:vMerge w:val="restart"/>
                  <w:tcBorders>
                    <w:tl2br w:val="nil"/>
                    <w:tr2bl w:val="nil"/>
                  </w:tcBorders>
                  <w:noWrap w:val="0"/>
                  <w:vAlign w:val="center"/>
                </w:tcPr>
                <w:p w14:paraId="3AA536D5">
                  <w:pPr>
                    <w:keepNext w:val="0"/>
                    <w:keepLines w:val="0"/>
                    <w:widowControl/>
                    <w:suppressLineNumbers w:val="0"/>
                    <w:spacing w:before="0" w:beforeAutospacing="0" w:after="0" w:afterAutospacing="0" w:line="260" w:lineRule="exact"/>
                    <w:ind w:left="0" w:right="0"/>
                    <w:jc w:val="center"/>
                    <w:rPr>
                      <w:rFonts w:hint="default" w:ascii="Times New Roman" w:hAnsi="Times New Roman" w:eastAsia="宋体" w:cs="Times New Roman"/>
                      <w:color w:val="auto"/>
                      <w:szCs w:val="21"/>
                    </w:rPr>
                  </w:pPr>
                  <w:r>
                    <w:rPr>
                      <w:rFonts w:hint="eastAsia" w:cs="宋体"/>
                      <w:color w:val="auto"/>
                      <w:kern w:val="2"/>
                      <w:sz w:val="21"/>
                      <w:szCs w:val="21"/>
                      <w:lang w:val="en-US" w:eastAsia="zh-CN"/>
                    </w:rPr>
                    <w:t>池体均采用防渗混凝土构筑</w:t>
                  </w:r>
                </w:p>
              </w:tc>
            </w:tr>
            <w:tr w14:paraId="0A8979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6" w:type="pct"/>
                  <w:vMerge w:val="continue"/>
                  <w:tcBorders>
                    <w:tl2br w:val="nil"/>
                    <w:tr2bl w:val="nil"/>
                  </w:tcBorders>
                  <w:noWrap w:val="0"/>
                  <w:vAlign w:val="center"/>
                </w:tcPr>
                <w:p w14:paraId="78585402">
                  <w:pPr>
                    <w:keepNext w:val="0"/>
                    <w:keepLines w:val="0"/>
                    <w:widowControl/>
                    <w:suppressLineNumbers w:val="0"/>
                    <w:spacing w:before="0" w:beforeAutospacing="0" w:after="0" w:afterAutospacing="0" w:line="260" w:lineRule="exact"/>
                    <w:ind w:left="0" w:right="0"/>
                    <w:jc w:val="center"/>
                    <w:rPr>
                      <w:rFonts w:hint="default" w:ascii="Times New Roman" w:hAnsi="Times New Roman" w:eastAsia="宋体" w:cs="Times New Roman"/>
                      <w:bCs/>
                      <w:color w:val="auto"/>
                      <w:szCs w:val="21"/>
                    </w:rPr>
                  </w:pPr>
                </w:p>
              </w:tc>
              <w:tc>
                <w:tcPr>
                  <w:tcW w:w="669" w:type="pct"/>
                  <w:tcBorders>
                    <w:tl2br w:val="nil"/>
                    <w:tr2bl w:val="nil"/>
                  </w:tcBorders>
                  <w:noWrap w:val="0"/>
                  <w:vAlign w:val="center"/>
                </w:tcPr>
                <w:p w14:paraId="4A275206">
                  <w:pPr>
                    <w:keepNext w:val="0"/>
                    <w:keepLines w:val="0"/>
                    <w:widowControl/>
                    <w:suppressLineNumbers w:val="0"/>
                    <w:spacing w:before="0" w:beforeAutospacing="0" w:after="0" w:afterAutospacing="0" w:line="260" w:lineRule="exact"/>
                    <w:ind w:left="0" w:right="0"/>
                    <w:jc w:val="center"/>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废水收集池</w:t>
                  </w:r>
                </w:p>
              </w:tc>
              <w:tc>
                <w:tcPr>
                  <w:tcW w:w="1826" w:type="pct"/>
                  <w:vMerge w:val="continue"/>
                  <w:tcBorders>
                    <w:tl2br w:val="nil"/>
                    <w:tr2bl w:val="nil"/>
                  </w:tcBorders>
                  <w:noWrap w:val="0"/>
                  <w:vAlign w:val="center"/>
                </w:tcPr>
                <w:p w14:paraId="4AD52BE6">
                  <w:pPr>
                    <w:pStyle w:val="21"/>
                    <w:keepNext w:val="0"/>
                    <w:keepLines w:val="0"/>
                    <w:suppressLineNumbers w:val="0"/>
                    <w:spacing w:before="0" w:beforeAutospacing="0" w:afterAutospacing="0" w:line="240" w:lineRule="auto"/>
                    <w:ind w:left="0" w:right="0" w:firstLine="0" w:firstLineChars="0"/>
                    <w:jc w:val="center"/>
                    <w:rPr>
                      <w:rFonts w:hint="eastAsia" w:ascii="Times New Roman" w:hAnsi="Times New Roman" w:eastAsia="宋体"/>
                      <w:color w:val="auto"/>
                      <w:sz w:val="21"/>
                      <w:szCs w:val="21"/>
                    </w:rPr>
                  </w:pPr>
                </w:p>
              </w:tc>
              <w:tc>
                <w:tcPr>
                  <w:tcW w:w="1857" w:type="pct"/>
                  <w:vMerge w:val="continue"/>
                  <w:tcBorders>
                    <w:tl2br w:val="nil"/>
                    <w:tr2bl w:val="nil"/>
                  </w:tcBorders>
                  <w:noWrap w:val="0"/>
                  <w:vAlign w:val="center"/>
                </w:tcPr>
                <w:p w14:paraId="7531626A">
                  <w:pPr>
                    <w:keepNext w:val="0"/>
                    <w:keepLines w:val="0"/>
                    <w:widowControl/>
                    <w:suppressLineNumbers w:val="0"/>
                    <w:spacing w:before="0" w:beforeAutospacing="0" w:after="0" w:afterAutospacing="0" w:line="260" w:lineRule="exact"/>
                    <w:ind w:left="0" w:right="0"/>
                    <w:jc w:val="center"/>
                    <w:rPr>
                      <w:rFonts w:hint="eastAsia" w:cs="宋体"/>
                      <w:color w:val="auto"/>
                      <w:kern w:val="2"/>
                      <w:sz w:val="21"/>
                      <w:szCs w:val="21"/>
                      <w:lang w:val="en-US" w:eastAsia="zh-CN"/>
                    </w:rPr>
                  </w:pPr>
                </w:p>
              </w:tc>
            </w:tr>
            <w:tr w14:paraId="7B9F49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6" w:type="pct"/>
                  <w:vMerge w:val="continue"/>
                  <w:tcBorders>
                    <w:tl2br w:val="nil"/>
                    <w:tr2bl w:val="nil"/>
                  </w:tcBorders>
                  <w:noWrap w:val="0"/>
                  <w:vAlign w:val="center"/>
                </w:tcPr>
                <w:p w14:paraId="6E27B177">
                  <w:pPr>
                    <w:keepNext w:val="0"/>
                    <w:keepLines w:val="0"/>
                    <w:widowControl/>
                    <w:suppressLineNumbers w:val="0"/>
                    <w:spacing w:before="0" w:beforeAutospacing="0" w:after="0" w:afterAutospacing="0" w:line="260" w:lineRule="exact"/>
                    <w:ind w:left="0" w:right="0"/>
                    <w:jc w:val="center"/>
                    <w:rPr>
                      <w:rFonts w:hint="default" w:ascii="Times New Roman" w:hAnsi="Times New Roman" w:eastAsia="宋体" w:cs="Times New Roman"/>
                      <w:bCs/>
                      <w:color w:val="auto"/>
                      <w:szCs w:val="21"/>
                    </w:rPr>
                  </w:pPr>
                </w:p>
              </w:tc>
              <w:tc>
                <w:tcPr>
                  <w:tcW w:w="669" w:type="pct"/>
                  <w:tcBorders>
                    <w:tl2br w:val="nil"/>
                    <w:tr2bl w:val="nil"/>
                  </w:tcBorders>
                  <w:noWrap w:val="0"/>
                  <w:vAlign w:val="center"/>
                </w:tcPr>
                <w:p w14:paraId="2CDF3621">
                  <w:pPr>
                    <w:keepNext w:val="0"/>
                    <w:keepLines w:val="0"/>
                    <w:widowControl/>
                    <w:suppressLineNumbers w:val="0"/>
                    <w:spacing w:before="0" w:beforeAutospacing="0" w:after="0" w:afterAutospacing="0" w:line="260" w:lineRule="exact"/>
                    <w:ind w:left="0" w:right="0"/>
                    <w:jc w:val="center"/>
                    <w:rPr>
                      <w:rFonts w:hint="default" w:cs="Times New Roman"/>
                      <w:bCs/>
                      <w:color w:val="auto"/>
                      <w:szCs w:val="21"/>
                      <w:lang w:val="en-US" w:eastAsia="zh-CN"/>
                    </w:rPr>
                  </w:pPr>
                  <w:r>
                    <w:rPr>
                      <w:rFonts w:hint="eastAsia" w:cs="Times New Roman"/>
                      <w:bCs/>
                      <w:color w:val="auto"/>
                      <w:szCs w:val="21"/>
                      <w:lang w:val="en-US" w:eastAsia="zh-CN"/>
                    </w:rPr>
                    <w:t>沉砂池</w:t>
                  </w:r>
                </w:p>
              </w:tc>
              <w:tc>
                <w:tcPr>
                  <w:tcW w:w="1826" w:type="pct"/>
                  <w:vMerge w:val="continue"/>
                  <w:tcBorders>
                    <w:tl2br w:val="nil"/>
                    <w:tr2bl w:val="nil"/>
                  </w:tcBorders>
                  <w:noWrap w:val="0"/>
                  <w:vAlign w:val="center"/>
                </w:tcPr>
                <w:p w14:paraId="0CB28A11">
                  <w:pPr>
                    <w:pStyle w:val="21"/>
                    <w:keepNext w:val="0"/>
                    <w:keepLines w:val="0"/>
                    <w:suppressLineNumbers w:val="0"/>
                    <w:spacing w:before="0" w:beforeAutospacing="0" w:afterAutospacing="0" w:line="240" w:lineRule="auto"/>
                    <w:ind w:left="0" w:right="0" w:firstLine="0" w:firstLineChars="0"/>
                    <w:jc w:val="center"/>
                    <w:rPr>
                      <w:rFonts w:hint="eastAsia" w:ascii="Times New Roman" w:hAnsi="Times New Roman" w:eastAsia="宋体"/>
                      <w:color w:val="auto"/>
                      <w:sz w:val="21"/>
                      <w:szCs w:val="21"/>
                    </w:rPr>
                  </w:pPr>
                </w:p>
              </w:tc>
              <w:tc>
                <w:tcPr>
                  <w:tcW w:w="1857" w:type="pct"/>
                  <w:vMerge w:val="continue"/>
                  <w:tcBorders>
                    <w:tl2br w:val="nil"/>
                    <w:tr2bl w:val="nil"/>
                  </w:tcBorders>
                  <w:noWrap w:val="0"/>
                  <w:vAlign w:val="center"/>
                </w:tcPr>
                <w:p w14:paraId="104F02FD">
                  <w:pPr>
                    <w:keepNext w:val="0"/>
                    <w:keepLines w:val="0"/>
                    <w:widowControl/>
                    <w:suppressLineNumbers w:val="0"/>
                    <w:spacing w:before="0" w:beforeAutospacing="0" w:after="0" w:afterAutospacing="0" w:line="260" w:lineRule="exact"/>
                    <w:ind w:left="0" w:right="0"/>
                    <w:jc w:val="center"/>
                    <w:rPr>
                      <w:rFonts w:hint="eastAsia" w:cs="宋体"/>
                      <w:color w:val="auto"/>
                      <w:kern w:val="2"/>
                      <w:sz w:val="21"/>
                      <w:szCs w:val="21"/>
                      <w:lang w:val="en-US" w:eastAsia="zh-CN"/>
                    </w:rPr>
                  </w:pPr>
                </w:p>
              </w:tc>
            </w:tr>
            <w:tr w14:paraId="11A22E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6" w:type="pct"/>
                  <w:vMerge w:val="continue"/>
                  <w:tcBorders>
                    <w:tl2br w:val="nil"/>
                    <w:tr2bl w:val="nil"/>
                  </w:tcBorders>
                  <w:noWrap w:val="0"/>
                  <w:vAlign w:val="center"/>
                </w:tcPr>
                <w:p w14:paraId="347B292E">
                  <w:pPr>
                    <w:keepNext w:val="0"/>
                    <w:keepLines w:val="0"/>
                    <w:widowControl/>
                    <w:suppressLineNumbers w:val="0"/>
                    <w:spacing w:before="0" w:beforeAutospacing="0" w:after="0" w:afterAutospacing="0" w:line="260" w:lineRule="exact"/>
                    <w:ind w:left="0" w:right="0"/>
                    <w:jc w:val="center"/>
                    <w:rPr>
                      <w:rFonts w:hint="default" w:ascii="Times New Roman" w:hAnsi="Times New Roman" w:eastAsia="宋体" w:cs="Times New Roman"/>
                      <w:bCs/>
                      <w:color w:val="auto"/>
                      <w:szCs w:val="21"/>
                    </w:rPr>
                  </w:pPr>
                </w:p>
              </w:tc>
              <w:tc>
                <w:tcPr>
                  <w:tcW w:w="669" w:type="pct"/>
                  <w:tcBorders>
                    <w:tl2br w:val="nil"/>
                    <w:tr2bl w:val="nil"/>
                  </w:tcBorders>
                  <w:noWrap w:val="0"/>
                  <w:vAlign w:val="center"/>
                </w:tcPr>
                <w:p w14:paraId="651B550E">
                  <w:pPr>
                    <w:keepNext w:val="0"/>
                    <w:keepLines w:val="0"/>
                    <w:widowControl/>
                    <w:suppressLineNumbers w:val="0"/>
                    <w:spacing w:before="0" w:beforeAutospacing="0" w:after="0" w:afterAutospacing="0" w:line="260" w:lineRule="exact"/>
                    <w:ind w:left="0" w:right="0"/>
                    <w:jc w:val="center"/>
                    <w:rPr>
                      <w:rFonts w:hint="default" w:cs="Times New Roman"/>
                      <w:bCs/>
                      <w:color w:val="auto"/>
                      <w:szCs w:val="21"/>
                      <w:lang w:val="en-US" w:eastAsia="zh-CN"/>
                    </w:rPr>
                  </w:pPr>
                  <w:r>
                    <w:rPr>
                      <w:rFonts w:hint="eastAsia" w:cs="Times New Roman"/>
                      <w:bCs/>
                      <w:color w:val="auto"/>
                      <w:szCs w:val="21"/>
                      <w:lang w:val="en-US" w:eastAsia="zh-CN"/>
                    </w:rPr>
                    <w:t>循环水池</w:t>
                  </w:r>
                </w:p>
              </w:tc>
              <w:tc>
                <w:tcPr>
                  <w:tcW w:w="1826" w:type="pct"/>
                  <w:vMerge w:val="continue"/>
                  <w:tcBorders>
                    <w:tl2br w:val="nil"/>
                    <w:tr2bl w:val="nil"/>
                  </w:tcBorders>
                  <w:noWrap w:val="0"/>
                  <w:vAlign w:val="center"/>
                </w:tcPr>
                <w:p w14:paraId="20BB474B">
                  <w:pPr>
                    <w:pStyle w:val="21"/>
                    <w:keepNext w:val="0"/>
                    <w:keepLines w:val="0"/>
                    <w:suppressLineNumbers w:val="0"/>
                    <w:spacing w:before="0" w:beforeAutospacing="0" w:afterAutospacing="0" w:line="240" w:lineRule="auto"/>
                    <w:ind w:left="0" w:right="0" w:firstLine="0" w:firstLineChars="0"/>
                    <w:jc w:val="center"/>
                    <w:rPr>
                      <w:rFonts w:hint="eastAsia" w:ascii="Times New Roman" w:hAnsi="Times New Roman" w:eastAsia="宋体"/>
                      <w:color w:val="auto"/>
                      <w:sz w:val="21"/>
                      <w:szCs w:val="21"/>
                    </w:rPr>
                  </w:pPr>
                </w:p>
              </w:tc>
              <w:tc>
                <w:tcPr>
                  <w:tcW w:w="1857" w:type="pct"/>
                  <w:vMerge w:val="continue"/>
                  <w:tcBorders>
                    <w:tl2br w:val="nil"/>
                    <w:tr2bl w:val="nil"/>
                  </w:tcBorders>
                  <w:noWrap w:val="0"/>
                  <w:vAlign w:val="center"/>
                </w:tcPr>
                <w:p w14:paraId="776F4849">
                  <w:pPr>
                    <w:keepNext w:val="0"/>
                    <w:keepLines w:val="0"/>
                    <w:widowControl/>
                    <w:suppressLineNumbers w:val="0"/>
                    <w:spacing w:before="0" w:beforeAutospacing="0" w:after="0" w:afterAutospacing="0" w:line="260" w:lineRule="exact"/>
                    <w:ind w:left="0" w:right="0"/>
                    <w:jc w:val="center"/>
                    <w:rPr>
                      <w:rFonts w:hint="eastAsia" w:cs="宋体"/>
                      <w:color w:val="auto"/>
                      <w:kern w:val="2"/>
                      <w:sz w:val="21"/>
                      <w:szCs w:val="21"/>
                      <w:lang w:val="en-US" w:eastAsia="zh-CN"/>
                    </w:rPr>
                  </w:pPr>
                </w:p>
              </w:tc>
            </w:tr>
            <w:tr w14:paraId="34D65D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6" w:type="pct"/>
                  <w:vMerge w:val="continue"/>
                  <w:tcBorders>
                    <w:tl2br w:val="nil"/>
                    <w:tr2bl w:val="nil"/>
                  </w:tcBorders>
                  <w:noWrap w:val="0"/>
                  <w:vAlign w:val="center"/>
                </w:tcPr>
                <w:p w14:paraId="0498CFA2">
                  <w:pPr>
                    <w:keepNext w:val="0"/>
                    <w:keepLines w:val="0"/>
                    <w:widowControl/>
                    <w:suppressLineNumbers w:val="0"/>
                    <w:spacing w:before="0" w:beforeAutospacing="0" w:after="0" w:afterAutospacing="0" w:line="260" w:lineRule="exact"/>
                    <w:ind w:left="0" w:right="0"/>
                    <w:jc w:val="center"/>
                    <w:rPr>
                      <w:rFonts w:hint="default" w:ascii="Times New Roman" w:hAnsi="Times New Roman" w:eastAsia="宋体" w:cs="Times New Roman"/>
                      <w:bCs/>
                      <w:color w:val="auto"/>
                      <w:szCs w:val="21"/>
                    </w:rPr>
                  </w:pPr>
                </w:p>
              </w:tc>
              <w:tc>
                <w:tcPr>
                  <w:tcW w:w="669" w:type="pct"/>
                  <w:tcBorders>
                    <w:tl2br w:val="nil"/>
                    <w:tr2bl w:val="nil"/>
                  </w:tcBorders>
                  <w:noWrap w:val="0"/>
                  <w:vAlign w:val="center"/>
                </w:tcPr>
                <w:p w14:paraId="0549F2B1">
                  <w:pPr>
                    <w:keepNext w:val="0"/>
                    <w:keepLines w:val="0"/>
                    <w:widowControl/>
                    <w:suppressLineNumbers w:val="0"/>
                    <w:spacing w:before="0" w:beforeAutospacing="0" w:after="0" w:afterAutospacing="0" w:line="260" w:lineRule="exact"/>
                    <w:ind w:left="0" w:right="0"/>
                    <w:jc w:val="center"/>
                    <w:rPr>
                      <w:rFonts w:hint="default" w:cs="Times New Roman"/>
                      <w:bCs/>
                      <w:color w:val="auto"/>
                      <w:szCs w:val="21"/>
                      <w:lang w:val="en-US" w:eastAsia="zh-CN"/>
                    </w:rPr>
                  </w:pPr>
                  <w:r>
                    <w:rPr>
                      <w:rFonts w:hint="eastAsia" w:cs="Times New Roman"/>
                      <w:bCs/>
                      <w:color w:val="auto"/>
                      <w:szCs w:val="21"/>
                      <w:lang w:val="en-US" w:eastAsia="zh-CN"/>
                    </w:rPr>
                    <w:t>压滤间</w:t>
                  </w:r>
                </w:p>
              </w:tc>
              <w:tc>
                <w:tcPr>
                  <w:tcW w:w="1826" w:type="pct"/>
                  <w:vMerge w:val="continue"/>
                  <w:tcBorders>
                    <w:tl2br w:val="nil"/>
                    <w:tr2bl w:val="nil"/>
                  </w:tcBorders>
                  <w:noWrap w:val="0"/>
                  <w:vAlign w:val="center"/>
                </w:tcPr>
                <w:p w14:paraId="67BCB36E">
                  <w:pPr>
                    <w:pStyle w:val="21"/>
                    <w:keepNext w:val="0"/>
                    <w:keepLines w:val="0"/>
                    <w:suppressLineNumbers w:val="0"/>
                    <w:spacing w:before="0" w:beforeAutospacing="0" w:afterAutospacing="0" w:line="240" w:lineRule="auto"/>
                    <w:ind w:left="0" w:right="0" w:firstLine="0" w:firstLineChars="0"/>
                    <w:jc w:val="center"/>
                    <w:rPr>
                      <w:rFonts w:hint="eastAsia" w:ascii="Times New Roman" w:hAnsi="Times New Roman" w:eastAsia="宋体"/>
                      <w:color w:val="auto"/>
                      <w:sz w:val="21"/>
                      <w:szCs w:val="21"/>
                    </w:rPr>
                  </w:pPr>
                </w:p>
              </w:tc>
              <w:tc>
                <w:tcPr>
                  <w:tcW w:w="1857" w:type="pct"/>
                  <w:tcBorders>
                    <w:tl2br w:val="nil"/>
                    <w:tr2bl w:val="nil"/>
                  </w:tcBorders>
                  <w:noWrap w:val="0"/>
                  <w:vAlign w:val="center"/>
                </w:tcPr>
                <w:p w14:paraId="36F7317F">
                  <w:pPr>
                    <w:keepNext w:val="0"/>
                    <w:keepLines w:val="0"/>
                    <w:widowControl/>
                    <w:suppressLineNumbers w:val="0"/>
                    <w:spacing w:before="0" w:beforeAutospacing="0" w:after="0" w:afterAutospacing="0" w:line="260" w:lineRule="exact"/>
                    <w:ind w:left="0" w:right="0"/>
                    <w:jc w:val="center"/>
                    <w:rPr>
                      <w:rFonts w:hint="default" w:cs="宋体"/>
                      <w:color w:val="auto"/>
                      <w:kern w:val="2"/>
                      <w:sz w:val="21"/>
                      <w:szCs w:val="21"/>
                      <w:lang w:val="en-US" w:eastAsia="zh-CN"/>
                    </w:rPr>
                  </w:pPr>
                  <w:r>
                    <w:rPr>
                      <w:rFonts w:hint="eastAsia" w:cs="宋体"/>
                      <w:color w:val="auto"/>
                      <w:kern w:val="2"/>
                      <w:sz w:val="21"/>
                      <w:szCs w:val="21"/>
                      <w:lang w:val="en-US" w:eastAsia="zh-CN"/>
                    </w:rPr>
                    <w:t>地面铺设抗渗混凝土垫层</w:t>
                  </w:r>
                </w:p>
              </w:tc>
            </w:tr>
            <w:tr w14:paraId="716D3E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6" w:type="pct"/>
                  <w:tcBorders>
                    <w:tl2br w:val="nil"/>
                    <w:tr2bl w:val="nil"/>
                  </w:tcBorders>
                  <w:noWrap w:val="0"/>
                  <w:vAlign w:val="center"/>
                </w:tcPr>
                <w:p w14:paraId="7186B1CE">
                  <w:pPr>
                    <w:keepNext w:val="0"/>
                    <w:keepLines w:val="0"/>
                    <w:widowControl/>
                    <w:suppressLineNumbers w:val="0"/>
                    <w:spacing w:before="0" w:beforeAutospacing="0" w:after="0" w:afterAutospacing="0" w:line="260" w:lineRule="exact"/>
                    <w:ind w:left="0" w:right="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简单</w:t>
                  </w:r>
                </w:p>
                <w:p w14:paraId="50D25154">
                  <w:pPr>
                    <w:keepNext w:val="0"/>
                    <w:keepLines w:val="0"/>
                    <w:widowControl/>
                    <w:suppressLineNumbers w:val="0"/>
                    <w:spacing w:before="0" w:beforeAutospacing="0" w:after="0" w:afterAutospacing="0" w:line="260" w:lineRule="exact"/>
                    <w:ind w:left="0" w:right="0"/>
                    <w:jc w:val="center"/>
                    <w:rPr>
                      <w:rFonts w:hint="default" w:ascii="Times New Roman" w:hAnsi="Times New Roman" w:eastAsia="宋体" w:cs="宋体"/>
                      <w:color w:val="auto"/>
                      <w:kern w:val="0"/>
                      <w:sz w:val="24"/>
                      <w:lang w:bidi="ar"/>
                    </w:rPr>
                  </w:pPr>
                  <w:r>
                    <w:rPr>
                      <w:rFonts w:hint="default" w:ascii="Times New Roman" w:hAnsi="Times New Roman" w:eastAsia="宋体" w:cs="Times New Roman"/>
                      <w:bCs/>
                      <w:color w:val="auto"/>
                      <w:szCs w:val="21"/>
                    </w:rPr>
                    <w:t>防渗区</w:t>
                  </w:r>
                </w:p>
              </w:tc>
              <w:tc>
                <w:tcPr>
                  <w:tcW w:w="669" w:type="pct"/>
                  <w:tcBorders>
                    <w:tl2br w:val="nil"/>
                    <w:tr2bl w:val="nil"/>
                  </w:tcBorders>
                  <w:noWrap w:val="0"/>
                  <w:vAlign w:val="center"/>
                </w:tcPr>
                <w:p w14:paraId="54B60752">
                  <w:pPr>
                    <w:keepNext w:val="0"/>
                    <w:keepLines w:val="0"/>
                    <w:widowControl/>
                    <w:suppressLineNumbers w:val="0"/>
                    <w:spacing w:before="0" w:beforeAutospacing="0" w:after="0" w:afterAutospacing="0" w:line="260" w:lineRule="exact"/>
                    <w:ind w:left="0" w:right="0"/>
                    <w:jc w:val="center"/>
                    <w:rPr>
                      <w:rFonts w:hint="default" w:ascii="Times New Roman" w:hAnsi="Times New Roman" w:eastAsia="宋体" w:cs="宋体"/>
                      <w:color w:val="auto"/>
                      <w:kern w:val="0"/>
                      <w:szCs w:val="21"/>
                      <w:lang w:bidi="ar"/>
                    </w:rPr>
                  </w:pPr>
                  <w:r>
                    <w:rPr>
                      <w:rFonts w:hint="eastAsia" w:cs="宋体"/>
                      <w:color w:val="auto"/>
                      <w:szCs w:val="21"/>
                      <w:lang w:val="en-US" w:eastAsia="zh-CN"/>
                    </w:rPr>
                    <w:t>办公生活区</w:t>
                  </w:r>
                  <w:r>
                    <w:rPr>
                      <w:rFonts w:hint="eastAsia" w:ascii="Times New Roman" w:hAnsi="Times New Roman" w:eastAsia="宋体" w:cs="宋体"/>
                      <w:color w:val="auto"/>
                      <w:szCs w:val="21"/>
                    </w:rPr>
                    <w:t>、厂区道路等除</w:t>
                  </w:r>
                  <w:r>
                    <w:rPr>
                      <w:rFonts w:hint="eastAsia" w:ascii="Times New Roman" w:hAnsi="Times New Roman" w:eastAsia="宋体" w:cs="Times New Roman"/>
                      <w:color w:val="auto"/>
                      <w:szCs w:val="21"/>
                    </w:rPr>
                    <w:t>重点防渗区和一般防渗区以外区域</w:t>
                  </w:r>
                </w:p>
              </w:tc>
              <w:tc>
                <w:tcPr>
                  <w:tcW w:w="1826" w:type="pct"/>
                  <w:tcBorders>
                    <w:tl2br w:val="nil"/>
                    <w:tr2bl w:val="nil"/>
                  </w:tcBorders>
                  <w:noWrap w:val="0"/>
                  <w:vAlign w:val="center"/>
                </w:tcPr>
                <w:p w14:paraId="17A3BBA3">
                  <w:pPr>
                    <w:pStyle w:val="21"/>
                    <w:keepNext w:val="0"/>
                    <w:keepLines w:val="0"/>
                    <w:suppressLineNumbers w:val="0"/>
                    <w:spacing w:before="0" w:beforeAutospacing="0" w:afterAutospacing="0" w:line="240" w:lineRule="auto"/>
                    <w:ind w:left="0" w:right="0" w:firstLine="0" w:firstLineChars="0"/>
                    <w:jc w:val="center"/>
                    <w:rPr>
                      <w:rFonts w:hint="default" w:ascii="Times New Roman" w:hAnsi="Times New Roman" w:eastAsia="宋体"/>
                      <w:color w:val="auto"/>
                      <w:sz w:val="21"/>
                      <w:szCs w:val="21"/>
                    </w:rPr>
                  </w:pPr>
                  <w:r>
                    <w:rPr>
                      <w:rFonts w:hint="eastAsia" w:ascii="Times New Roman" w:hAnsi="Times New Roman" w:eastAsia="宋体"/>
                      <w:color w:val="auto"/>
                      <w:sz w:val="21"/>
                      <w:szCs w:val="21"/>
                    </w:rPr>
                    <w:t>一般硬化处理</w:t>
                  </w:r>
                </w:p>
              </w:tc>
              <w:tc>
                <w:tcPr>
                  <w:tcW w:w="1857" w:type="pct"/>
                  <w:tcBorders>
                    <w:tl2br w:val="nil"/>
                    <w:tr2bl w:val="nil"/>
                  </w:tcBorders>
                  <w:noWrap w:val="0"/>
                  <w:vAlign w:val="center"/>
                </w:tcPr>
                <w:p w14:paraId="48BEBF48">
                  <w:pPr>
                    <w:keepNext w:val="0"/>
                    <w:keepLines w:val="0"/>
                    <w:widowControl/>
                    <w:suppressLineNumbers w:val="0"/>
                    <w:spacing w:before="0" w:beforeAutospacing="0" w:after="0" w:afterAutospacing="0" w:line="260" w:lineRule="exact"/>
                    <w:ind w:left="0" w:right="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采用混凝土硬化</w:t>
                  </w:r>
                </w:p>
              </w:tc>
            </w:tr>
          </w:tbl>
          <w:p w14:paraId="77E9EF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Times New Roman" w:hAnsi="Times New Roman" w:eastAsia="宋体" w:cs="Times New Roman"/>
                <w:b/>
                <w:bCs/>
                <w:color w:val="auto"/>
                <w:sz w:val="24"/>
                <w:szCs w:val="21"/>
              </w:rPr>
            </w:pPr>
            <w:r>
              <w:rPr>
                <w:rFonts w:hint="eastAsia" w:ascii="Times New Roman" w:hAnsi="Times New Roman" w:eastAsia="宋体" w:cs="Times New Roman"/>
                <w:b/>
                <w:bCs/>
                <w:color w:val="auto"/>
                <w:sz w:val="24"/>
                <w:szCs w:val="21"/>
              </w:rPr>
              <w:t>采取上述治理措施后，本项目防渗措施基本满足《环境影响评价技术导则 地下水环境》（HJ610-2016）中防渗技术要求，可从污染源头和途径上避免因废水或物料泄漏渗、漏入土壤和地下水，本项目的建设不会对区域土壤和地下水环境造成不利影响。</w:t>
            </w:r>
          </w:p>
          <w:p w14:paraId="579C17A2">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sz w:val="24"/>
              </w:rPr>
            </w:pPr>
            <w:r>
              <w:rPr>
                <w:rFonts w:hint="eastAsia" w:ascii="Times New Roman" w:hAnsi="Times New Roman" w:eastAsia="宋体" w:cs="Times New Roman"/>
                <w:b/>
                <w:sz w:val="24"/>
              </w:rPr>
              <w:t>六</w:t>
            </w:r>
            <w:r>
              <w:rPr>
                <w:rFonts w:hint="default" w:ascii="Times New Roman" w:hAnsi="Times New Roman" w:eastAsia="宋体" w:cs="Times New Roman"/>
                <w:b/>
                <w:sz w:val="24"/>
              </w:rPr>
              <w:t>、生态影响分析</w:t>
            </w:r>
          </w:p>
          <w:p w14:paraId="45B5A073">
            <w:pPr>
              <w:pStyle w:val="11"/>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rPr>
            </w:pPr>
            <w:r>
              <w:rPr>
                <w:rFonts w:hint="default" w:ascii="Times New Roman" w:hAnsi="Times New Roman" w:eastAsia="宋体" w:cs="Times New Roman"/>
                <w:kern w:val="2"/>
                <w:sz w:val="24"/>
                <w:szCs w:val="24"/>
              </w:rPr>
              <w:t>本项目位于</w:t>
            </w:r>
            <w:r>
              <w:rPr>
                <w:rFonts w:hint="eastAsia" w:cs="Times New Roman"/>
                <w:kern w:val="2"/>
                <w:sz w:val="24"/>
                <w:szCs w:val="24"/>
                <w:lang w:eastAsia="zh-CN"/>
              </w:rPr>
              <w:t>邻水县石滓镇晒金村8组</w:t>
            </w:r>
            <w:r>
              <w:rPr>
                <w:rFonts w:hint="default" w:ascii="Times New Roman" w:hAnsi="Times New Roman" w:eastAsia="宋体" w:cs="Times New Roman"/>
                <w:kern w:val="2"/>
                <w:sz w:val="24"/>
                <w:szCs w:val="24"/>
              </w:rPr>
              <w:t>，</w:t>
            </w:r>
            <w:r>
              <w:rPr>
                <w:rFonts w:hint="eastAsia" w:cs="Times New Roman"/>
                <w:kern w:val="2"/>
                <w:sz w:val="24"/>
                <w:szCs w:val="24"/>
                <w:lang w:val="en-US" w:eastAsia="zh-CN"/>
              </w:rPr>
              <w:t>项目所在地块已由出租方进行初步的土地平整，现阶段</w:t>
            </w:r>
            <w:r>
              <w:rPr>
                <w:rFonts w:hint="default" w:ascii="Times New Roman" w:hAnsi="Times New Roman" w:eastAsia="宋体" w:cs="Times New Roman"/>
                <w:kern w:val="2"/>
                <w:sz w:val="24"/>
                <w:szCs w:val="24"/>
              </w:rPr>
              <w:t>项目用地内无生态环境保护目标，项目不直接构成对地表植被的破坏。项目运营生产过程中使用清洁能源电，不使用燃煤。生产过程中产生的各项污染物均采取了有效的防治措施，项目生产不会对当地生态环境造成影响，生态环境质量维持原有水平。</w:t>
            </w:r>
          </w:p>
          <w:p w14:paraId="241A0636">
            <w:pPr>
              <w:pStyle w:val="48"/>
              <w:keepNext w:val="0"/>
              <w:keepLines w:val="0"/>
              <w:suppressLineNumbers w:val="0"/>
              <w:spacing w:before="0" w:beforeAutospacing="0" w:after="0" w:afterAutospacing="0" w:line="360" w:lineRule="auto"/>
              <w:ind w:left="0" w:right="0" w:firstLine="0"/>
              <w:rPr>
                <w:rFonts w:hint="default" w:ascii="Times New Roman" w:hAnsi="Times New Roman" w:eastAsia="宋体" w:cs="Times New Roman"/>
                <w:b/>
                <w:spacing w:val="0"/>
                <w:kern w:val="2"/>
                <w:sz w:val="24"/>
                <w:szCs w:val="24"/>
              </w:rPr>
            </w:pPr>
            <w:r>
              <w:rPr>
                <w:rFonts w:hint="eastAsia" w:ascii="Times New Roman" w:hAnsi="Times New Roman" w:eastAsia="宋体" w:cs="Times New Roman"/>
                <w:b/>
                <w:spacing w:val="0"/>
                <w:kern w:val="2"/>
                <w:sz w:val="24"/>
                <w:szCs w:val="24"/>
              </w:rPr>
              <w:t>七、环境风险</w:t>
            </w:r>
          </w:p>
          <w:p w14:paraId="46845D26">
            <w:pPr>
              <w:keepNext w:val="0"/>
              <w:keepLines w:val="0"/>
              <w:suppressLineNumbers w:val="0"/>
              <w:spacing w:before="0" w:beforeAutospacing="0" w:after="0" w:afterAutospacing="0" w:line="360" w:lineRule="auto"/>
              <w:ind w:left="0" w:right="0" w:firstLine="482" w:firstLineChars="200"/>
              <w:jc w:val="left"/>
              <w:rPr>
                <w:rFonts w:hint="default" w:ascii="Times New Roman" w:hAnsi="Times New Roman" w:eastAsia="宋体" w:cs="Times New Roman"/>
                <w:b/>
                <w:color w:val="auto"/>
                <w:sz w:val="24"/>
              </w:rPr>
            </w:pPr>
            <w:r>
              <w:rPr>
                <w:rFonts w:hint="eastAsia" w:ascii="Times New Roman" w:hAnsi="Times New Roman" w:eastAsia="宋体" w:cs="Times New Roman"/>
                <w:b/>
                <w:color w:val="auto"/>
                <w:sz w:val="24"/>
              </w:rPr>
              <w:t>1、评价依据</w:t>
            </w:r>
          </w:p>
          <w:p w14:paraId="49A63FCA">
            <w:pPr>
              <w:keepNext w:val="0"/>
              <w:keepLines w:val="0"/>
              <w:suppressLineNumbers w:val="0"/>
              <w:spacing w:before="0" w:beforeAutospacing="0" w:after="0" w:afterAutospacing="0" w:line="360" w:lineRule="auto"/>
              <w:ind w:left="0" w:right="0" w:firstLine="482" w:firstLineChars="200"/>
              <w:jc w:val="left"/>
              <w:rPr>
                <w:rFonts w:hint="default" w:ascii="Times New Roman" w:hAnsi="Times New Roman" w:eastAsia="宋体" w:cs="Times New Roman"/>
                <w:b/>
                <w:color w:val="auto"/>
                <w:sz w:val="24"/>
              </w:rPr>
            </w:pPr>
            <w:r>
              <w:rPr>
                <w:rFonts w:hint="eastAsia" w:ascii="Times New Roman" w:hAnsi="Times New Roman" w:eastAsia="宋体" w:cs="Times New Roman"/>
                <w:b/>
                <w:color w:val="auto"/>
                <w:sz w:val="24"/>
              </w:rPr>
              <w:t xml:space="preserve">1.1 </w:t>
            </w:r>
            <w:r>
              <w:rPr>
                <w:rFonts w:hint="default" w:ascii="Times New Roman" w:hAnsi="Times New Roman" w:eastAsia="宋体" w:cs="Times New Roman"/>
                <w:b/>
                <w:color w:val="auto"/>
                <w:sz w:val="24"/>
              </w:rPr>
              <w:t>风险调查</w:t>
            </w:r>
          </w:p>
          <w:p w14:paraId="4BEDC617">
            <w:pPr>
              <w:pStyle w:val="72"/>
              <w:keepNext w:val="0"/>
              <w:keepLines w:val="0"/>
              <w:suppressLineNumbers w:val="0"/>
              <w:spacing w:before="0" w:beforeAutospacing="0" w:after="0" w:afterAutospacing="0"/>
              <w:ind w:left="0" w:right="0" w:firstLine="480" w:firstLineChars="200"/>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通过对本项目营运期主要原辅材料及其分布情况、生产工艺特点进行分析同时对比《建设项目环境风险评价技术导则》（HJ169-2018）附录B和《企业突发环境事件风险分级方法》（HJ941-2018）附录A中环境风险物质可知，本项目营运过程中涉及的环境风险物质为机油和</w:t>
            </w:r>
            <w:r>
              <w:rPr>
                <w:rFonts w:hint="eastAsia" w:ascii="Times New Roman" w:hAnsi="Times New Roman" w:eastAsia="宋体" w:cs="Times New Roman"/>
                <w:color w:val="auto"/>
                <w:sz w:val="24"/>
                <w:szCs w:val="24"/>
                <w:lang w:val="en-US" w:eastAsia="zh-CN"/>
              </w:rPr>
              <w:t>液压油及危险废物</w:t>
            </w:r>
            <w:r>
              <w:rPr>
                <w:rFonts w:hint="eastAsia" w:ascii="Times New Roman" w:hAnsi="Times New Roman" w:eastAsia="宋体" w:cs="Times New Roman"/>
                <w:color w:val="auto"/>
                <w:sz w:val="24"/>
                <w:szCs w:val="24"/>
              </w:rPr>
              <w:t>。</w:t>
            </w:r>
          </w:p>
          <w:p w14:paraId="0DC5DB75">
            <w:pPr>
              <w:pStyle w:val="72"/>
              <w:keepNext w:val="0"/>
              <w:keepLines w:val="0"/>
              <w:suppressLineNumbers w:val="0"/>
              <w:spacing w:before="0" w:beforeAutospacing="0" w:after="0" w:afterAutospacing="0"/>
              <w:ind w:left="0" w:right="0" w:firstLine="482" w:firstLineChars="200"/>
              <w:rPr>
                <w:rFonts w:hint="default" w:ascii="Times New Roman" w:hAnsi="Times New Roman" w:eastAsia="宋体" w:cs="Times New Roman"/>
                <w:b/>
                <w:bCs/>
                <w:color w:val="auto"/>
              </w:rPr>
            </w:pPr>
            <w:r>
              <w:rPr>
                <w:rFonts w:hint="eastAsia" w:ascii="Times New Roman" w:hAnsi="Times New Roman" w:eastAsia="宋体" w:cs="Times New Roman"/>
                <w:b/>
                <w:bCs/>
                <w:color w:val="auto"/>
              </w:rPr>
              <w:t xml:space="preserve">1.2 </w:t>
            </w:r>
            <w:r>
              <w:rPr>
                <w:rFonts w:hint="eastAsia" w:ascii="Times New Roman" w:hAnsi="Times New Roman" w:eastAsia="宋体" w:cs="Times New Roman"/>
                <w:b/>
                <w:color w:val="auto"/>
              </w:rPr>
              <w:t>风险潜势初判</w:t>
            </w:r>
          </w:p>
          <w:p w14:paraId="13EAD5DA">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建设项目环境风险潜势划分为I、II、III、IV</w:t>
            </w:r>
            <w:r>
              <w:rPr>
                <w:rFonts w:hint="default" w:ascii="Times New Roman" w:hAnsi="Times New Roman" w:eastAsia="宋体" w:cs="Times New Roman"/>
                <w:color w:val="auto"/>
                <w:sz w:val="24"/>
                <w:szCs w:val="24"/>
              </w:rPr>
              <w:t>/IV</w:t>
            </w:r>
            <w:r>
              <w:rPr>
                <w:rFonts w:hint="eastAsia"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rPr>
              <w:t>级</w:t>
            </w:r>
            <w:r>
              <w:rPr>
                <w:rFonts w:hint="eastAsia"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rPr>
              <w:t>主要根据建设项目涉及的物质和工艺系统的危险性及其所在地的环境敏感</w:t>
            </w:r>
            <w:r>
              <w:rPr>
                <w:rFonts w:hint="eastAsia" w:ascii="Times New Roman" w:hAnsi="Times New Roman" w:eastAsia="宋体" w:cs="Times New Roman"/>
                <w:color w:val="auto"/>
                <w:sz w:val="24"/>
                <w:szCs w:val="24"/>
              </w:rPr>
              <w:t>程度，</w:t>
            </w:r>
            <w:r>
              <w:rPr>
                <w:rFonts w:hint="default" w:ascii="Times New Roman" w:hAnsi="Times New Roman" w:eastAsia="宋体" w:cs="Times New Roman"/>
                <w:color w:val="auto"/>
                <w:sz w:val="24"/>
                <w:szCs w:val="24"/>
              </w:rPr>
              <w:t>结合事故情形下环境影响途径</w:t>
            </w:r>
            <w:r>
              <w:rPr>
                <w:rFonts w:hint="eastAsia"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rPr>
              <w:t>按照</w:t>
            </w:r>
            <w:r>
              <w:rPr>
                <w:rFonts w:hint="eastAsia" w:ascii="Times New Roman" w:hAnsi="Times New Roman" w:eastAsia="宋体" w:cs="Times New Roman"/>
                <w:color w:val="auto"/>
                <w:sz w:val="24"/>
                <w:szCs w:val="24"/>
              </w:rPr>
              <w:t>《建设项目环境风险评价技术导则》（HJ169-2018）表2进行确定，其中：危险物质数量与临界量比值（Q）为每种</w:t>
            </w:r>
            <w:r>
              <w:rPr>
                <w:rFonts w:hint="default" w:ascii="Times New Roman" w:hAnsi="Times New Roman" w:eastAsia="宋体" w:cs="Times New Roman"/>
                <w:color w:val="auto"/>
                <w:sz w:val="24"/>
                <w:szCs w:val="24"/>
              </w:rPr>
              <w:t>危险物质在厂界内的最大存在总量与其在</w:t>
            </w:r>
            <w:r>
              <w:rPr>
                <w:rFonts w:hint="eastAsia" w:ascii="Times New Roman" w:hAnsi="Times New Roman" w:eastAsia="宋体" w:cs="Times New Roman"/>
                <w:color w:val="auto"/>
                <w:sz w:val="24"/>
                <w:szCs w:val="24"/>
              </w:rPr>
              <w:t>HJ169-2018附录B中对应临界量的比值，即：</w:t>
            </w:r>
          </w:p>
          <w:p w14:paraId="66A01032">
            <w:pPr>
              <w:keepNext w:val="0"/>
              <w:keepLines w:val="0"/>
              <w:suppressLineNumbers w:val="0"/>
              <w:spacing w:before="0" w:beforeAutospacing="0" w:after="0" w:afterAutospacing="0" w:line="360" w:lineRule="auto"/>
              <w:ind w:left="0" w:right="0" w:firstLine="480" w:firstLineChars="20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position w:val="-30"/>
                <w:sz w:val="24"/>
                <w:szCs w:val="24"/>
              </w:rPr>
              <w:drawing>
                <wp:inline distT="0" distB="0" distL="114300" distR="114300">
                  <wp:extent cx="1130300" cy="406400"/>
                  <wp:effectExtent l="0" t="0" r="12700" b="13970"/>
                  <wp:docPr id="37" name="图片 1"/>
                  <wp:cNvGraphicFramePr/>
                  <a:graphic xmlns:a="http://schemas.openxmlformats.org/drawingml/2006/main">
                    <a:graphicData uri="http://schemas.openxmlformats.org/drawingml/2006/picture">
                      <pic:pic xmlns:pic="http://schemas.openxmlformats.org/drawingml/2006/picture">
                        <pic:nvPicPr>
                          <pic:cNvPr id="37" name="图片 1"/>
                          <pic:cNvPicPr/>
                        </pic:nvPicPr>
                        <pic:blipFill>
                          <a:blip r:embed="rId37"/>
                          <a:stretch>
                            <a:fillRect/>
                          </a:stretch>
                        </pic:blipFill>
                        <pic:spPr>
                          <a:xfrm>
                            <a:off x="0" y="0"/>
                            <a:ext cx="1130300" cy="406400"/>
                          </a:xfrm>
                          <a:prstGeom prst="rect">
                            <a:avLst/>
                          </a:prstGeom>
                          <a:noFill/>
                          <a:ln>
                            <a:noFill/>
                          </a:ln>
                        </pic:spPr>
                      </pic:pic>
                    </a:graphicData>
                  </a:graphic>
                </wp:inline>
              </w:drawing>
            </w:r>
          </w:p>
          <w:p w14:paraId="694992F0">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i/>
                <w:color w:val="auto"/>
                <w:sz w:val="24"/>
                <w:szCs w:val="24"/>
              </w:rPr>
            </w:pPr>
            <w:r>
              <w:rPr>
                <w:rFonts w:hint="eastAsia" w:ascii="Times New Roman" w:hAnsi="Times New Roman" w:eastAsia="宋体" w:cs="Times New Roman"/>
                <w:color w:val="auto"/>
                <w:sz w:val="24"/>
                <w:szCs w:val="24"/>
              </w:rPr>
              <w:t>式中：</w:t>
            </w:r>
            <w:r>
              <w:rPr>
                <w:rFonts w:hint="default" w:ascii="Times New Roman" w:hAnsi="Times New Roman" w:eastAsia="宋体" w:cs="Times New Roman"/>
                <w:i/>
                <w:color w:val="auto"/>
                <w:sz w:val="24"/>
                <w:szCs w:val="24"/>
              </w:rPr>
              <w:t>q</w:t>
            </w:r>
            <w:r>
              <w:rPr>
                <w:rFonts w:hint="default" w:ascii="Times New Roman" w:hAnsi="Times New Roman" w:eastAsia="宋体" w:cs="Times New Roman"/>
                <w:color w:val="auto"/>
                <w:sz w:val="24"/>
                <w:szCs w:val="24"/>
                <w:vertAlign w:val="subscript"/>
              </w:rPr>
              <w:t>1</w:t>
            </w:r>
            <w:r>
              <w:rPr>
                <w:rFonts w:hint="eastAsia" w:ascii="Times New Roman" w:hAnsi="Times New Roman" w:eastAsia="宋体" w:cs="Times New Roman"/>
                <w:color w:val="auto"/>
                <w:sz w:val="24"/>
                <w:szCs w:val="24"/>
              </w:rPr>
              <w:t>，</w:t>
            </w:r>
            <w:r>
              <w:rPr>
                <w:rFonts w:hint="default" w:ascii="Times New Roman" w:hAnsi="Times New Roman" w:eastAsia="宋体" w:cs="Times New Roman"/>
                <w:i/>
                <w:color w:val="auto"/>
                <w:sz w:val="24"/>
                <w:szCs w:val="24"/>
              </w:rPr>
              <w:t>q</w:t>
            </w:r>
            <w:r>
              <w:rPr>
                <w:rFonts w:hint="default" w:ascii="Times New Roman" w:hAnsi="Times New Roman" w:eastAsia="宋体" w:cs="Times New Roman"/>
                <w:color w:val="auto"/>
                <w:sz w:val="24"/>
                <w:szCs w:val="24"/>
                <w:vertAlign w:val="subscript"/>
              </w:rPr>
              <w:t>2</w:t>
            </w:r>
            <w:r>
              <w:rPr>
                <w:rFonts w:hint="eastAsia" w:ascii="Times New Roman" w:hAnsi="Times New Roman" w:eastAsia="宋体" w:cs="Times New Roman"/>
                <w:color w:val="auto"/>
                <w:sz w:val="24"/>
                <w:szCs w:val="24"/>
              </w:rPr>
              <w:t>，</w:t>
            </w:r>
            <w:r>
              <w:rPr>
                <w:rFonts w:hint="default" w:ascii="Times New Roman" w:hAnsi="Times New Roman" w:eastAsia="宋体" w:cs="Calibri"/>
                <w:color w:val="auto"/>
                <w:sz w:val="24"/>
                <w:szCs w:val="24"/>
              </w:rPr>
              <w:t>···，</w:t>
            </w:r>
            <w:r>
              <w:rPr>
                <w:rFonts w:hint="default" w:ascii="Times New Roman" w:hAnsi="Times New Roman" w:eastAsia="宋体" w:cs="Times New Roman"/>
                <w:i/>
                <w:color w:val="auto"/>
                <w:sz w:val="24"/>
                <w:szCs w:val="24"/>
              </w:rPr>
              <w:t>q</w:t>
            </w:r>
            <w:r>
              <w:rPr>
                <w:rFonts w:hint="default" w:ascii="Times New Roman" w:hAnsi="Times New Roman" w:eastAsia="宋体" w:cs="Times New Roman"/>
                <w:i/>
                <w:color w:val="auto"/>
                <w:sz w:val="24"/>
                <w:szCs w:val="24"/>
                <w:vertAlign w:val="subscript"/>
              </w:rPr>
              <w:t>n</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每种危险物质的最大存在总量，t；</w:t>
            </w:r>
          </w:p>
          <w:p w14:paraId="58B3DCE4">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i/>
                <w:color w:val="auto"/>
                <w:sz w:val="24"/>
                <w:szCs w:val="24"/>
              </w:rPr>
              <w:t>Q</w:t>
            </w:r>
            <w:r>
              <w:rPr>
                <w:rFonts w:hint="default" w:ascii="Times New Roman" w:hAnsi="Times New Roman" w:eastAsia="宋体" w:cs="Times New Roman"/>
                <w:color w:val="auto"/>
                <w:sz w:val="24"/>
                <w:szCs w:val="24"/>
                <w:vertAlign w:val="subscript"/>
              </w:rPr>
              <w:t>1</w:t>
            </w:r>
            <w:r>
              <w:rPr>
                <w:rFonts w:hint="eastAsia" w:ascii="Times New Roman" w:hAnsi="Times New Roman" w:eastAsia="宋体" w:cs="Times New Roman"/>
                <w:color w:val="auto"/>
                <w:sz w:val="24"/>
                <w:szCs w:val="24"/>
              </w:rPr>
              <w:t>，</w:t>
            </w:r>
            <w:r>
              <w:rPr>
                <w:rFonts w:hint="default" w:ascii="Times New Roman" w:hAnsi="Times New Roman" w:eastAsia="宋体" w:cs="Times New Roman"/>
                <w:i/>
                <w:color w:val="auto"/>
                <w:sz w:val="24"/>
                <w:szCs w:val="24"/>
              </w:rPr>
              <w:t>Q</w:t>
            </w:r>
            <w:r>
              <w:rPr>
                <w:rFonts w:hint="default" w:ascii="Times New Roman" w:hAnsi="Times New Roman" w:eastAsia="宋体" w:cs="Times New Roman"/>
                <w:color w:val="auto"/>
                <w:sz w:val="24"/>
                <w:szCs w:val="24"/>
                <w:vertAlign w:val="subscript"/>
              </w:rPr>
              <w:t>2</w:t>
            </w:r>
            <w:r>
              <w:rPr>
                <w:rFonts w:hint="eastAsia" w:ascii="Times New Roman" w:hAnsi="Times New Roman" w:eastAsia="宋体" w:cs="Times New Roman"/>
                <w:color w:val="auto"/>
                <w:sz w:val="24"/>
                <w:szCs w:val="24"/>
              </w:rPr>
              <w:t>，</w:t>
            </w:r>
            <w:r>
              <w:rPr>
                <w:rFonts w:hint="default" w:ascii="Times New Roman" w:hAnsi="Times New Roman" w:eastAsia="宋体" w:cs="Calibri"/>
                <w:color w:val="auto"/>
                <w:sz w:val="24"/>
                <w:szCs w:val="24"/>
              </w:rPr>
              <w:t>···，</w:t>
            </w:r>
            <w:r>
              <w:rPr>
                <w:rFonts w:hint="default" w:ascii="Times New Roman" w:hAnsi="Times New Roman" w:eastAsia="宋体" w:cs="Times New Roman"/>
                <w:i/>
                <w:color w:val="auto"/>
                <w:sz w:val="24"/>
                <w:szCs w:val="24"/>
              </w:rPr>
              <w:t>Q</w:t>
            </w:r>
            <w:r>
              <w:rPr>
                <w:rFonts w:hint="default" w:ascii="Times New Roman" w:hAnsi="Times New Roman" w:eastAsia="宋体" w:cs="Times New Roman"/>
                <w:i/>
                <w:color w:val="auto"/>
                <w:sz w:val="24"/>
                <w:szCs w:val="24"/>
                <w:vertAlign w:val="subscript"/>
              </w:rPr>
              <w:t>n</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每种危险物质的临界量，t。</w:t>
            </w:r>
          </w:p>
          <w:p w14:paraId="07248E3D">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Calibri"/>
                <w:color w:val="auto"/>
                <w:sz w:val="24"/>
                <w:szCs w:val="24"/>
              </w:rPr>
            </w:pPr>
            <w:r>
              <w:rPr>
                <w:rFonts w:hint="default" w:ascii="Times New Roman" w:hAnsi="Times New Roman" w:eastAsia="宋体" w:cs="Calibri"/>
                <w:color w:val="auto"/>
                <w:sz w:val="24"/>
                <w:szCs w:val="24"/>
              </w:rPr>
              <w:t>当</w:t>
            </w:r>
            <w:r>
              <w:rPr>
                <w:rFonts w:hint="default" w:ascii="Times New Roman" w:hAnsi="Times New Roman" w:eastAsia="宋体" w:cs="Calibri"/>
                <w:i/>
                <w:color w:val="auto"/>
                <w:sz w:val="24"/>
                <w:szCs w:val="24"/>
              </w:rPr>
              <w:t>Q</w:t>
            </w:r>
            <w:r>
              <w:rPr>
                <w:rFonts w:hint="default" w:ascii="Times New Roman" w:hAnsi="Times New Roman" w:eastAsia="宋体" w:cs="Calibri"/>
                <w:color w:val="auto"/>
                <w:sz w:val="24"/>
                <w:szCs w:val="24"/>
              </w:rPr>
              <w:t>&lt;1时，该项目环境风险潜势为I；当</w:t>
            </w:r>
            <w:r>
              <w:rPr>
                <w:rFonts w:hint="default" w:ascii="Times New Roman" w:hAnsi="Times New Roman" w:eastAsia="宋体" w:cs="Calibri"/>
                <w:i/>
                <w:color w:val="auto"/>
                <w:sz w:val="24"/>
                <w:szCs w:val="24"/>
              </w:rPr>
              <w:t>Q</w:t>
            </w:r>
            <w:r>
              <w:rPr>
                <w:rFonts w:hint="default" w:ascii="Times New Roman" w:hAnsi="Times New Roman" w:eastAsia="宋体" w:cs="Calibri"/>
                <w:color w:val="auto"/>
                <w:sz w:val="24"/>
                <w:szCs w:val="24"/>
              </w:rPr>
              <w:t>≥1时</w:t>
            </w:r>
            <w:r>
              <w:rPr>
                <w:rFonts w:hint="eastAsia" w:ascii="Times New Roman" w:hAnsi="Times New Roman" w:eastAsia="宋体" w:cs="Calibri"/>
                <w:color w:val="auto"/>
                <w:sz w:val="24"/>
                <w:szCs w:val="24"/>
              </w:rPr>
              <w:t>，</w:t>
            </w:r>
            <w:r>
              <w:rPr>
                <w:rFonts w:hint="default" w:ascii="Times New Roman" w:hAnsi="Times New Roman" w:eastAsia="宋体" w:cs="Calibri"/>
                <w:color w:val="auto"/>
                <w:sz w:val="24"/>
                <w:szCs w:val="24"/>
              </w:rPr>
              <w:t>将</w:t>
            </w:r>
            <w:r>
              <w:rPr>
                <w:rFonts w:hint="default" w:ascii="Times New Roman" w:hAnsi="Times New Roman" w:eastAsia="宋体" w:cs="Calibri"/>
                <w:i/>
                <w:color w:val="auto"/>
                <w:sz w:val="24"/>
                <w:szCs w:val="24"/>
              </w:rPr>
              <w:t>Q</w:t>
            </w:r>
            <w:r>
              <w:rPr>
                <w:rFonts w:hint="default" w:ascii="Times New Roman" w:hAnsi="Times New Roman" w:eastAsia="宋体" w:cs="Calibri"/>
                <w:color w:val="auto"/>
                <w:sz w:val="24"/>
                <w:szCs w:val="24"/>
              </w:rPr>
              <w:t>值划分为：a.1≤</w:t>
            </w:r>
            <w:r>
              <w:rPr>
                <w:rFonts w:hint="default" w:ascii="Times New Roman" w:hAnsi="Times New Roman" w:eastAsia="宋体" w:cs="Calibri"/>
                <w:i/>
                <w:color w:val="auto"/>
                <w:sz w:val="24"/>
                <w:szCs w:val="24"/>
              </w:rPr>
              <w:t>Q</w:t>
            </w:r>
            <w:r>
              <w:rPr>
                <w:rFonts w:hint="default" w:ascii="Times New Roman" w:hAnsi="Times New Roman" w:eastAsia="宋体" w:cs="Calibri"/>
                <w:color w:val="auto"/>
                <w:sz w:val="24"/>
                <w:szCs w:val="24"/>
              </w:rPr>
              <w:t>&lt;10</w:t>
            </w:r>
            <w:r>
              <w:rPr>
                <w:rFonts w:hint="eastAsia" w:ascii="Times New Roman" w:hAnsi="Times New Roman" w:eastAsia="宋体" w:cs="Calibri"/>
                <w:color w:val="auto"/>
                <w:sz w:val="24"/>
                <w:szCs w:val="24"/>
              </w:rPr>
              <w:t>；</w:t>
            </w:r>
            <w:r>
              <w:rPr>
                <w:rFonts w:hint="default" w:ascii="Times New Roman" w:hAnsi="Times New Roman" w:eastAsia="宋体" w:cs="Calibri"/>
                <w:color w:val="auto"/>
                <w:sz w:val="24"/>
                <w:szCs w:val="24"/>
              </w:rPr>
              <w:t>b. 10≤</w:t>
            </w:r>
            <w:r>
              <w:rPr>
                <w:rFonts w:hint="default" w:ascii="Times New Roman" w:hAnsi="Times New Roman" w:eastAsia="宋体" w:cs="Calibri"/>
                <w:i/>
                <w:color w:val="auto"/>
                <w:sz w:val="24"/>
                <w:szCs w:val="24"/>
              </w:rPr>
              <w:t>Q</w:t>
            </w:r>
            <w:r>
              <w:rPr>
                <w:rFonts w:hint="default" w:ascii="Times New Roman" w:hAnsi="Times New Roman" w:eastAsia="宋体" w:cs="Calibri"/>
                <w:color w:val="auto"/>
                <w:sz w:val="24"/>
                <w:szCs w:val="24"/>
              </w:rPr>
              <w:t>&lt;100</w:t>
            </w:r>
            <w:r>
              <w:rPr>
                <w:rFonts w:hint="eastAsia" w:ascii="Times New Roman" w:hAnsi="Times New Roman" w:eastAsia="宋体" w:cs="Calibri"/>
                <w:color w:val="auto"/>
                <w:sz w:val="24"/>
                <w:szCs w:val="24"/>
              </w:rPr>
              <w:t>；c</w:t>
            </w:r>
            <w:r>
              <w:rPr>
                <w:rFonts w:hint="default" w:ascii="Times New Roman" w:hAnsi="Times New Roman" w:eastAsia="宋体" w:cs="Calibri"/>
                <w:color w:val="auto"/>
                <w:sz w:val="24"/>
                <w:szCs w:val="24"/>
              </w:rPr>
              <w:t>.</w:t>
            </w:r>
            <w:r>
              <w:rPr>
                <w:rFonts w:hint="default" w:ascii="Times New Roman" w:hAnsi="Times New Roman" w:eastAsia="宋体" w:cs="Calibri"/>
                <w:i/>
                <w:color w:val="auto"/>
                <w:sz w:val="24"/>
                <w:szCs w:val="24"/>
              </w:rPr>
              <w:t>Q</w:t>
            </w:r>
            <w:r>
              <w:rPr>
                <w:rFonts w:hint="default" w:ascii="Times New Roman" w:hAnsi="Times New Roman" w:eastAsia="宋体" w:cs="Calibri"/>
                <w:color w:val="auto"/>
                <w:sz w:val="24"/>
                <w:szCs w:val="24"/>
              </w:rPr>
              <w:t>≥100</w:t>
            </w:r>
            <w:r>
              <w:rPr>
                <w:rFonts w:hint="eastAsia" w:ascii="Times New Roman" w:hAnsi="Times New Roman" w:eastAsia="宋体" w:cs="Calibri"/>
                <w:color w:val="auto"/>
                <w:sz w:val="24"/>
                <w:szCs w:val="24"/>
              </w:rPr>
              <w:t>。</w:t>
            </w:r>
          </w:p>
          <w:p w14:paraId="39C9FC74">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宋体"/>
                <w:b/>
                <w:bCs/>
                <w:color w:val="auto"/>
                <w:sz w:val="24"/>
                <w:szCs w:val="24"/>
              </w:rPr>
            </w:pPr>
            <w:r>
              <w:rPr>
                <w:rFonts w:hint="default" w:ascii="Times New Roman" w:hAnsi="Times New Roman" w:eastAsia="宋体" w:cs="Times New Roman"/>
                <w:color w:val="auto"/>
                <w:sz w:val="24"/>
                <w:szCs w:val="24"/>
              </w:rPr>
              <w:t>根据计算</w:t>
            </w:r>
            <w:r>
              <w:rPr>
                <w:rFonts w:hint="eastAsia"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rPr>
              <w:t>本项目</w:t>
            </w:r>
            <w:r>
              <w:rPr>
                <w:rFonts w:hint="eastAsia" w:ascii="Times New Roman" w:hAnsi="Times New Roman" w:eastAsia="宋体" w:cs="Times New Roman"/>
                <w:color w:val="auto"/>
                <w:sz w:val="24"/>
                <w:szCs w:val="24"/>
              </w:rPr>
              <w:t>危险物质数量与临界量比值见下表所示。</w:t>
            </w:r>
          </w:p>
          <w:p w14:paraId="1D133C6E">
            <w:pPr>
              <w:keepNext w:val="0"/>
              <w:keepLines w:val="0"/>
              <w:suppressLineNumbers w:val="0"/>
              <w:spacing w:before="0" w:beforeAutospacing="0" w:after="0" w:afterAutospacing="0"/>
              <w:ind w:left="0" w:right="0"/>
              <w:jc w:val="center"/>
              <w:rPr>
                <w:rFonts w:hint="default" w:ascii="Times New Roman" w:hAnsi="Times New Roman" w:eastAsia="宋体" w:cs="宋体"/>
                <w:b/>
                <w:bCs/>
                <w:color w:val="auto"/>
                <w:szCs w:val="21"/>
              </w:rPr>
            </w:pPr>
            <w:r>
              <w:rPr>
                <w:rFonts w:hint="eastAsia" w:ascii="Times New Roman" w:hAnsi="Times New Roman" w:eastAsia="宋体" w:cs="宋体"/>
                <w:b/>
                <w:bCs/>
                <w:color w:val="auto"/>
                <w:szCs w:val="21"/>
              </w:rPr>
              <w:t>表4-</w:t>
            </w:r>
            <w:r>
              <w:rPr>
                <w:rFonts w:hint="eastAsia" w:cs="宋体"/>
                <w:b/>
                <w:bCs/>
                <w:color w:val="auto"/>
                <w:szCs w:val="21"/>
                <w:lang w:val="en-US" w:eastAsia="zh-CN"/>
              </w:rPr>
              <w:t>16</w:t>
            </w:r>
            <w:r>
              <w:rPr>
                <w:rFonts w:hint="eastAsia" w:ascii="Times New Roman" w:hAnsi="Times New Roman" w:eastAsia="宋体" w:cs="宋体"/>
                <w:b/>
                <w:bCs/>
                <w:color w:val="auto"/>
                <w:szCs w:val="21"/>
              </w:rPr>
              <w:t xml:space="preserve">  危险物质数量与临界量比值表</w:t>
            </w:r>
          </w:p>
          <w:tbl>
            <w:tblPr>
              <w:tblStyle w:val="25"/>
              <w:tblW w:w="499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449"/>
              <w:gridCol w:w="1958"/>
              <w:gridCol w:w="1329"/>
              <w:gridCol w:w="1343"/>
              <w:gridCol w:w="1901"/>
              <w:gridCol w:w="965"/>
            </w:tblGrid>
            <w:tr w14:paraId="6F1A16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83" w:type="pct"/>
                  <w:tcBorders>
                    <w:tl2br w:val="nil"/>
                    <w:tr2bl w:val="nil"/>
                  </w:tcBorders>
                  <w:noWrap w:val="0"/>
                  <w:vAlign w:val="center"/>
                </w:tcPr>
                <w:p w14:paraId="0A406B03">
                  <w:pPr>
                    <w:keepNext w:val="0"/>
                    <w:keepLines w:val="0"/>
                    <w:suppressLineNumbers w:val="0"/>
                    <w:spacing w:before="0" w:beforeAutospacing="0" w:after="0" w:afterAutospacing="0"/>
                    <w:ind w:left="0" w:right="0"/>
                    <w:jc w:val="center"/>
                    <w:rPr>
                      <w:rFonts w:hint="default" w:ascii="Times New Roman" w:hAnsi="Times New Roman" w:eastAsia="宋体" w:cs="宋体"/>
                      <w:b/>
                      <w:color w:val="auto"/>
                      <w:szCs w:val="21"/>
                    </w:rPr>
                  </w:pPr>
                  <w:r>
                    <w:rPr>
                      <w:rFonts w:hint="eastAsia" w:ascii="Times New Roman" w:hAnsi="Times New Roman" w:eastAsia="宋体" w:cs="宋体"/>
                      <w:b/>
                      <w:color w:val="auto"/>
                      <w:szCs w:val="21"/>
                    </w:rPr>
                    <w:t>序号</w:t>
                  </w:r>
                </w:p>
              </w:tc>
              <w:tc>
                <w:tcPr>
                  <w:tcW w:w="1232" w:type="pct"/>
                  <w:tcBorders>
                    <w:tl2br w:val="nil"/>
                    <w:tr2bl w:val="nil"/>
                  </w:tcBorders>
                  <w:noWrap w:val="0"/>
                  <w:vAlign w:val="center"/>
                </w:tcPr>
                <w:p w14:paraId="22D42967">
                  <w:pPr>
                    <w:keepNext w:val="0"/>
                    <w:keepLines w:val="0"/>
                    <w:suppressLineNumbers w:val="0"/>
                    <w:spacing w:before="0" w:beforeAutospacing="0" w:after="0" w:afterAutospacing="0"/>
                    <w:ind w:left="0" w:right="0"/>
                    <w:jc w:val="center"/>
                    <w:rPr>
                      <w:rFonts w:hint="default" w:ascii="Times New Roman" w:hAnsi="Times New Roman" w:eastAsia="宋体" w:cs="宋体"/>
                      <w:b/>
                      <w:color w:val="auto"/>
                      <w:szCs w:val="21"/>
                    </w:rPr>
                  </w:pPr>
                  <w:r>
                    <w:rPr>
                      <w:rFonts w:hint="eastAsia" w:ascii="Times New Roman" w:hAnsi="Times New Roman" w:eastAsia="宋体" w:cs="宋体"/>
                      <w:b/>
                      <w:color w:val="auto"/>
                      <w:szCs w:val="21"/>
                    </w:rPr>
                    <w:t>危险化学品名称</w:t>
                  </w:r>
                </w:p>
              </w:tc>
              <w:tc>
                <w:tcPr>
                  <w:tcW w:w="836" w:type="pct"/>
                  <w:tcBorders>
                    <w:tl2br w:val="nil"/>
                    <w:tr2bl w:val="nil"/>
                  </w:tcBorders>
                  <w:noWrap w:val="0"/>
                  <w:vAlign w:val="center"/>
                </w:tcPr>
                <w:p w14:paraId="190E1038">
                  <w:pPr>
                    <w:keepNext w:val="0"/>
                    <w:keepLines w:val="0"/>
                    <w:suppressLineNumbers w:val="0"/>
                    <w:spacing w:before="0" w:beforeAutospacing="0" w:after="0" w:afterAutospacing="0"/>
                    <w:ind w:left="0" w:right="0"/>
                    <w:jc w:val="center"/>
                    <w:rPr>
                      <w:rFonts w:hint="default" w:ascii="Times New Roman" w:hAnsi="Times New Roman" w:eastAsia="宋体" w:cs="宋体"/>
                      <w:b/>
                      <w:color w:val="auto"/>
                      <w:szCs w:val="21"/>
                    </w:rPr>
                  </w:pPr>
                  <w:r>
                    <w:rPr>
                      <w:rFonts w:hint="eastAsia" w:ascii="Times New Roman" w:hAnsi="Times New Roman" w:eastAsia="宋体" w:cs="宋体"/>
                      <w:b/>
                      <w:color w:val="auto"/>
                      <w:szCs w:val="21"/>
                    </w:rPr>
                    <w:t>最大在线量（t）</w:t>
                  </w:r>
                </w:p>
              </w:tc>
              <w:tc>
                <w:tcPr>
                  <w:tcW w:w="844" w:type="pct"/>
                  <w:tcBorders>
                    <w:tl2br w:val="nil"/>
                    <w:tr2bl w:val="nil"/>
                  </w:tcBorders>
                  <w:noWrap w:val="0"/>
                  <w:vAlign w:val="center"/>
                </w:tcPr>
                <w:p w14:paraId="40651FFA">
                  <w:pPr>
                    <w:keepNext w:val="0"/>
                    <w:keepLines w:val="0"/>
                    <w:suppressLineNumbers w:val="0"/>
                    <w:spacing w:before="0" w:beforeAutospacing="0" w:after="0" w:afterAutospacing="0"/>
                    <w:ind w:left="0" w:right="0"/>
                    <w:jc w:val="center"/>
                    <w:rPr>
                      <w:rFonts w:hint="default" w:ascii="Times New Roman" w:hAnsi="Times New Roman" w:eastAsia="宋体" w:cs="宋体"/>
                      <w:b/>
                      <w:color w:val="auto"/>
                      <w:szCs w:val="21"/>
                    </w:rPr>
                  </w:pPr>
                  <w:r>
                    <w:rPr>
                      <w:rFonts w:hint="eastAsia" w:ascii="Times New Roman" w:hAnsi="Times New Roman" w:eastAsia="宋体" w:cs="宋体"/>
                      <w:b/>
                      <w:color w:val="auto"/>
                      <w:szCs w:val="21"/>
                    </w:rPr>
                    <w:t>临界量（t）</w:t>
                  </w:r>
                </w:p>
              </w:tc>
              <w:tc>
                <w:tcPr>
                  <w:tcW w:w="1196" w:type="pct"/>
                  <w:tcBorders>
                    <w:tl2br w:val="nil"/>
                    <w:tr2bl w:val="nil"/>
                  </w:tcBorders>
                  <w:noWrap w:val="0"/>
                  <w:vAlign w:val="center"/>
                </w:tcPr>
                <w:p w14:paraId="0F312CC4">
                  <w:pPr>
                    <w:keepNext w:val="0"/>
                    <w:keepLines w:val="0"/>
                    <w:suppressLineNumbers w:val="0"/>
                    <w:spacing w:before="0" w:beforeAutospacing="0" w:after="0" w:afterAutospacing="0"/>
                    <w:ind w:left="0" w:right="0"/>
                    <w:jc w:val="center"/>
                    <w:rPr>
                      <w:rFonts w:hint="default" w:ascii="Times New Roman" w:hAnsi="Times New Roman" w:eastAsia="宋体" w:cs="宋体"/>
                      <w:b/>
                      <w:color w:val="auto"/>
                      <w:szCs w:val="21"/>
                    </w:rPr>
                  </w:pPr>
                  <w:r>
                    <w:rPr>
                      <w:rFonts w:hint="eastAsia" w:ascii="Times New Roman" w:hAnsi="Times New Roman" w:eastAsia="宋体" w:cs="宋体"/>
                      <w:b/>
                      <w:color w:val="auto"/>
                      <w:szCs w:val="21"/>
                    </w:rPr>
                    <w:t>该种危险物质 Qi值</w:t>
                  </w:r>
                </w:p>
              </w:tc>
              <w:tc>
                <w:tcPr>
                  <w:tcW w:w="607" w:type="pct"/>
                  <w:tcBorders>
                    <w:tl2br w:val="nil"/>
                    <w:tr2bl w:val="nil"/>
                  </w:tcBorders>
                  <w:noWrap w:val="0"/>
                  <w:vAlign w:val="center"/>
                </w:tcPr>
                <w:p w14:paraId="52898951">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识别结果</w:t>
                  </w:r>
                </w:p>
              </w:tc>
            </w:tr>
            <w:tr w14:paraId="1454A0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1" w:hRule="atLeast"/>
                <w:jc w:val="center"/>
              </w:trPr>
              <w:tc>
                <w:tcPr>
                  <w:tcW w:w="283" w:type="pct"/>
                  <w:tcBorders>
                    <w:tl2br w:val="nil"/>
                    <w:tr2bl w:val="nil"/>
                  </w:tcBorders>
                  <w:noWrap w:val="0"/>
                  <w:vAlign w:val="center"/>
                </w:tcPr>
                <w:p w14:paraId="29B65590">
                  <w:pPr>
                    <w:keepNext w:val="0"/>
                    <w:keepLines w:val="0"/>
                    <w:suppressLineNumbers w:val="0"/>
                    <w:spacing w:before="0" w:beforeAutospacing="0" w:after="0" w:afterAutospacing="0"/>
                    <w:ind w:left="0" w:right="0"/>
                    <w:jc w:val="center"/>
                    <w:rPr>
                      <w:rFonts w:hint="default" w:ascii="Times New Roman" w:hAnsi="Times New Roman" w:eastAsia="宋体" w:cs="宋体"/>
                      <w:color w:val="auto"/>
                      <w:szCs w:val="21"/>
                    </w:rPr>
                  </w:pPr>
                  <w:r>
                    <w:rPr>
                      <w:rFonts w:hint="eastAsia" w:ascii="Times New Roman" w:hAnsi="Times New Roman" w:eastAsia="宋体" w:cs="宋体"/>
                      <w:color w:val="auto"/>
                      <w:szCs w:val="21"/>
                    </w:rPr>
                    <w:t>1</w:t>
                  </w:r>
                </w:p>
              </w:tc>
              <w:tc>
                <w:tcPr>
                  <w:tcW w:w="1232" w:type="pct"/>
                  <w:tcBorders>
                    <w:tl2br w:val="nil"/>
                    <w:tr2bl w:val="nil"/>
                  </w:tcBorders>
                  <w:noWrap w:val="0"/>
                  <w:vAlign w:val="center"/>
                </w:tcPr>
                <w:p w14:paraId="47F6C810">
                  <w:pPr>
                    <w:keepNext w:val="0"/>
                    <w:keepLines w:val="0"/>
                    <w:suppressLineNumbers w:val="0"/>
                    <w:spacing w:before="0" w:beforeAutospacing="0" w:after="0" w:afterAutospacing="0"/>
                    <w:ind w:left="0" w:right="0"/>
                    <w:jc w:val="center"/>
                    <w:rPr>
                      <w:rFonts w:hint="default" w:ascii="Times New Roman" w:hAnsi="Times New Roman" w:eastAsia="宋体" w:cs="宋体"/>
                      <w:color w:val="auto"/>
                      <w:szCs w:val="21"/>
                    </w:rPr>
                  </w:pPr>
                  <w:r>
                    <w:rPr>
                      <w:rFonts w:hint="eastAsia" w:ascii="Times New Roman" w:hAnsi="Times New Roman" w:eastAsia="宋体" w:cs="宋体"/>
                      <w:color w:val="auto"/>
                      <w:kern w:val="0"/>
                      <w:szCs w:val="21"/>
                      <w:lang w:bidi="ar"/>
                    </w:rPr>
                    <w:t>机油</w:t>
                  </w:r>
                </w:p>
              </w:tc>
              <w:tc>
                <w:tcPr>
                  <w:tcW w:w="836" w:type="pct"/>
                  <w:tcBorders>
                    <w:tl2br w:val="nil"/>
                    <w:tr2bl w:val="nil"/>
                  </w:tcBorders>
                  <w:noWrap w:val="0"/>
                  <w:vAlign w:val="center"/>
                </w:tcPr>
                <w:p w14:paraId="6FC63B44">
                  <w:pPr>
                    <w:keepNext w:val="0"/>
                    <w:keepLines w:val="0"/>
                    <w:suppressLineNumbers w:val="0"/>
                    <w:spacing w:before="0" w:beforeAutospacing="0" w:after="0" w:afterAutospacing="0"/>
                    <w:ind w:left="0" w:right="0"/>
                    <w:jc w:val="center"/>
                    <w:rPr>
                      <w:rFonts w:hint="default" w:ascii="Times New Roman" w:hAnsi="Times New Roman" w:eastAsia="宋体" w:cs="宋体"/>
                      <w:color w:val="auto"/>
                      <w:szCs w:val="21"/>
                      <w:lang w:val="en-US" w:eastAsia="zh-CN"/>
                    </w:rPr>
                  </w:pPr>
                  <w:r>
                    <w:rPr>
                      <w:rFonts w:hint="eastAsia" w:cs="宋体"/>
                      <w:color w:val="auto"/>
                      <w:kern w:val="0"/>
                      <w:szCs w:val="21"/>
                      <w:lang w:val="en-US" w:eastAsia="zh-CN" w:bidi="ar"/>
                    </w:rPr>
                    <w:t>0.05</w:t>
                  </w:r>
                </w:p>
              </w:tc>
              <w:tc>
                <w:tcPr>
                  <w:tcW w:w="844" w:type="pct"/>
                  <w:tcBorders>
                    <w:tl2br w:val="nil"/>
                    <w:tr2bl w:val="nil"/>
                  </w:tcBorders>
                  <w:noWrap w:val="0"/>
                  <w:vAlign w:val="center"/>
                </w:tcPr>
                <w:p w14:paraId="198216BC">
                  <w:pPr>
                    <w:keepNext w:val="0"/>
                    <w:keepLines w:val="0"/>
                    <w:suppressLineNumbers w:val="0"/>
                    <w:spacing w:before="0" w:beforeAutospacing="0" w:after="0" w:afterAutospacing="0"/>
                    <w:ind w:left="0" w:right="0"/>
                    <w:jc w:val="center"/>
                    <w:rPr>
                      <w:rFonts w:hint="default" w:ascii="Times New Roman" w:hAnsi="Times New Roman" w:eastAsia="宋体" w:cs="宋体"/>
                      <w:color w:val="auto"/>
                      <w:szCs w:val="21"/>
                    </w:rPr>
                  </w:pPr>
                  <w:r>
                    <w:rPr>
                      <w:rFonts w:hint="eastAsia" w:ascii="Times New Roman" w:hAnsi="Times New Roman" w:eastAsia="宋体" w:cs="宋体"/>
                      <w:color w:val="auto"/>
                      <w:kern w:val="0"/>
                      <w:szCs w:val="21"/>
                      <w:lang w:bidi="ar"/>
                    </w:rPr>
                    <w:t>2500</w:t>
                  </w:r>
                </w:p>
              </w:tc>
              <w:tc>
                <w:tcPr>
                  <w:tcW w:w="1196" w:type="pct"/>
                  <w:tcBorders>
                    <w:tl2br w:val="nil"/>
                    <w:tr2bl w:val="nil"/>
                  </w:tcBorders>
                  <w:noWrap w:val="0"/>
                  <w:vAlign w:val="center"/>
                </w:tcPr>
                <w:p w14:paraId="17FEB1E1">
                  <w:pPr>
                    <w:keepNext w:val="0"/>
                    <w:keepLines w:val="0"/>
                    <w:suppressLineNumbers w:val="0"/>
                    <w:spacing w:before="0" w:beforeAutospacing="0" w:after="0" w:afterAutospacing="0"/>
                    <w:ind w:left="0" w:right="0"/>
                    <w:jc w:val="center"/>
                    <w:rPr>
                      <w:rFonts w:hint="eastAsia" w:ascii="Times New Roman" w:hAnsi="Times New Roman" w:eastAsia="宋体" w:cs="宋体"/>
                      <w:color w:val="auto"/>
                      <w:szCs w:val="21"/>
                      <w:lang w:eastAsia="zh-CN"/>
                    </w:rPr>
                  </w:pPr>
                  <w:r>
                    <w:rPr>
                      <w:rFonts w:hint="eastAsia" w:ascii="Times New Roman" w:hAnsi="Times New Roman" w:eastAsia="宋体" w:cs="宋体"/>
                      <w:color w:val="auto"/>
                      <w:kern w:val="0"/>
                      <w:szCs w:val="21"/>
                      <w:lang w:bidi="ar"/>
                    </w:rPr>
                    <w:t>0.0000</w:t>
                  </w:r>
                  <w:r>
                    <w:rPr>
                      <w:rFonts w:hint="eastAsia" w:cs="宋体"/>
                      <w:color w:val="auto"/>
                      <w:kern w:val="0"/>
                      <w:szCs w:val="21"/>
                      <w:lang w:val="en-US" w:eastAsia="zh-CN" w:bidi="ar"/>
                    </w:rPr>
                    <w:t>2</w:t>
                  </w:r>
                </w:p>
              </w:tc>
              <w:tc>
                <w:tcPr>
                  <w:tcW w:w="607" w:type="pct"/>
                  <w:vMerge w:val="restart"/>
                  <w:tcBorders>
                    <w:tl2br w:val="nil"/>
                    <w:tr2bl w:val="nil"/>
                  </w:tcBorders>
                  <w:noWrap w:val="0"/>
                  <w:vAlign w:val="center"/>
                </w:tcPr>
                <w:p w14:paraId="4EAC9F4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环境风险</w:t>
                  </w:r>
                </w:p>
                <w:p w14:paraId="0337A58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潜势I</w:t>
                  </w:r>
                </w:p>
              </w:tc>
            </w:tr>
            <w:tr w14:paraId="4DD95A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1" w:hRule="atLeast"/>
                <w:jc w:val="center"/>
              </w:trPr>
              <w:tc>
                <w:tcPr>
                  <w:tcW w:w="283" w:type="pct"/>
                  <w:tcBorders>
                    <w:tl2br w:val="nil"/>
                    <w:tr2bl w:val="nil"/>
                  </w:tcBorders>
                  <w:noWrap w:val="0"/>
                  <w:vAlign w:val="center"/>
                </w:tcPr>
                <w:p w14:paraId="7A5525C8">
                  <w:pPr>
                    <w:keepNext w:val="0"/>
                    <w:keepLines w:val="0"/>
                    <w:suppressLineNumbers w:val="0"/>
                    <w:spacing w:before="0" w:beforeAutospacing="0" w:after="0" w:afterAutospacing="0"/>
                    <w:ind w:left="0" w:right="0"/>
                    <w:jc w:val="center"/>
                    <w:rPr>
                      <w:rFonts w:hint="eastAsia" w:ascii="Times New Roman" w:hAnsi="Times New Roman" w:eastAsia="宋体" w:cs="宋体"/>
                      <w:color w:val="auto"/>
                      <w:szCs w:val="21"/>
                      <w:lang w:val="en-US" w:eastAsia="zh-CN"/>
                    </w:rPr>
                  </w:pPr>
                  <w:r>
                    <w:rPr>
                      <w:rFonts w:hint="eastAsia" w:cs="宋体"/>
                      <w:color w:val="auto"/>
                      <w:szCs w:val="21"/>
                      <w:lang w:val="en-US" w:eastAsia="zh-CN"/>
                    </w:rPr>
                    <w:t>2</w:t>
                  </w:r>
                </w:p>
              </w:tc>
              <w:tc>
                <w:tcPr>
                  <w:tcW w:w="1232" w:type="pct"/>
                  <w:tcBorders>
                    <w:tl2br w:val="nil"/>
                    <w:tr2bl w:val="nil"/>
                  </w:tcBorders>
                  <w:noWrap w:val="0"/>
                  <w:vAlign w:val="center"/>
                </w:tcPr>
                <w:p w14:paraId="5E881FE7">
                  <w:pPr>
                    <w:keepNext w:val="0"/>
                    <w:keepLines w:val="0"/>
                    <w:suppressLineNumbers w:val="0"/>
                    <w:spacing w:before="0" w:beforeAutospacing="0" w:after="0" w:afterAutospacing="0"/>
                    <w:ind w:left="0" w:right="0"/>
                    <w:jc w:val="center"/>
                    <w:rPr>
                      <w:rFonts w:hint="default" w:ascii="Times New Roman" w:hAnsi="Times New Roman" w:eastAsia="宋体" w:cs="宋体"/>
                      <w:color w:val="auto"/>
                      <w:kern w:val="0"/>
                      <w:szCs w:val="21"/>
                      <w:lang w:val="en-US" w:eastAsia="zh-CN" w:bidi="ar"/>
                    </w:rPr>
                  </w:pPr>
                  <w:r>
                    <w:rPr>
                      <w:rFonts w:hint="eastAsia" w:cs="宋体"/>
                      <w:color w:val="auto"/>
                      <w:kern w:val="0"/>
                      <w:szCs w:val="21"/>
                      <w:lang w:val="en-US" w:eastAsia="zh-CN" w:bidi="ar"/>
                    </w:rPr>
                    <w:t>废矿物油</w:t>
                  </w:r>
                </w:p>
              </w:tc>
              <w:tc>
                <w:tcPr>
                  <w:tcW w:w="836" w:type="pct"/>
                  <w:tcBorders>
                    <w:tl2br w:val="nil"/>
                    <w:tr2bl w:val="nil"/>
                  </w:tcBorders>
                  <w:noWrap w:val="0"/>
                  <w:vAlign w:val="center"/>
                </w:tcPr>
                <w:p w14:paraId="0320F160">
                  <w:pPr>
                    <w:keepNext w:val="0"/>
                    <w:keepLines w:val="0"/>
                    <w:suppressLineNumbers w:val="0"/>
                    <w:spacing w:before="0" w:beforeAutospacing="0" w:after="0" w:afterAutospacing="0"/>
                    <w:ind w:left="0" w:right="0"/>
                    <w:jc w:val="center"/>
                    <w:rPr>
                      <w:rFonts w:hint="default" w:ascii="Times New Roman" w:hAnsi="Times New Roman" w:eastAsia="宋体" w:cs="宋体"/>
                      <w:color w:val="auto"/>
                      <w:kern w:val="0"/>
                      <w:szCs w:val="21"/>
                      <w:lang w:val="en-US" w:eastAsia="zh-CN" w:bidi="ar"/>
                    </w:rPr>
                  </w:pPr>
                  <w:r>
                    <w:rPr>
                      <w:rFonts w:hint="eastAsia" w:cs="宋体"/>
                      <w:color w:val="auto"/>
                      <w:kern w:val="0"/>
                      <w:szCs w:val="21"/>
                      <w:lang w:val="en-US" w:eastAsia="zh-CN" w:bidi="ar"/>
                    </w:rPr>
                    <w:t>0.05</w:t>
                  </w:r>
                </w:p>
              </w:tc>
              <w:tc>
                <w:tcPr>
                  <w:tcW w:w="844" w:type="pct"/>
                  <w:tcBorders>
                    <w:tl2br w:val="nil"/>
                    <w:tr2bl w:val="nil"/>
                  </w:tcBorders>
                  <w:noWrap w:val="0"/>
                  <w:vAlign w:val="center"/>
                </w:tcPr>
                <w:p w14:paraId="2E3DDC68">
                  <w:pPr>
                    <w:keepNext w:val="0"/>
                    <w:keepLines w:val="0"/>
                    <w:suppressLineNumbers w:val="0"/>
                    <w:spacing w:before="0" w:beforeAutospacing="0" w:after="0" w:afterAutospacing="0"/>
                    <w:ind w:left="0" w:right="0"/>
                    <w:jc w:val="center"/>
                    <w:rPr>
                      <w:rFonts w:hint="default" w:ascii="Times New Roman" w:hAnsi="Times New Roman" w:eastAsia="宋体" w:cs="宋体"/>
                      <w:color w:val="auto"/>
                      <w:kern w:val="0"/>
                      <w:szCs w:val="21"/>
                      <w:lang w:val="en-US" w:eastAsia="zh-CN" w:bidi="ar"/>
                    </w:rPr>
                  </w:pPr>
                  <w:r>
                    <w:rPr>
                      <w:rFonts w:hint="eastAsia" w:cs="宋体"/>
                      <w:color w:val="auto"/>
                      <w:kern w:val="0"/>
                      <w:szCs w:val="21"/>
                      <w:lang w:val="en-US" w:eastAsia="zh-CN" w:bidi="ar"/>
                    </w:rPr>
                    <w:t>2500</w:t>
                  </w:r>
                </w:p>
              </w:tc>
              <w:tc>
                <w:tcPr>
                  <w:tcW w:w="1196" w:type="pct"/>
                  <w:tcBorders>
                    <w:tl2br w:val="nil"/>
                    <w:tr2bl w:val="nil"/>
                  </w:tcBorders>
                  <w:noWrap w:val="0"/>
                  <w:vAlign w:val="center"/>
                </w:tcPr>
                <w:p w14:paraId="2D2C4BFC">
                  <w:pPr>
                    <w:keepNext w:val="0"/>
                    <w:keepLines w:val="0"/>
                    <w:suppressLineNumbers w:val="0"/>
                    <w:spacing w:before="0" w:beforeAutospacing="0" w:after="0" w:afterAutospacing="0"/>
                    <w:ind w:left="0" w:right="0"/>
                    <w:jc w:val="center"/>
                    <w:rPr>
                      <w:rFonts w:hint="eastAsia" w:ascii="Times New Roman" w:hAnsi="Times New Roman" w:eastAsia="宋体" w:cs="宋体"/>
                      <w:color w:val="auto"/>
                      <w:kern w:val="0"/>
                      <w:szCs w:val="21"/>
                      <w:lang w:bidi="ar"/>
                    </w:rPr>
                  </w:pPr>
                  <w:r>
                    <w:rPr>
                      <w:rFonts w:hint="eastAsia" w:ascii="Times New Roman" w:hAnsi="Times New Roman" w:eastAsia="宋体" w:cs="宋体"/>
                      <w:color w:val="auto"/>
                      <w:kern w:val="0"/>
                      <w:szCs w:val="21"/>
                      <w:lang w:bidi="ar"/>
                    </w:rPr>
                    <w:t>0.0000</w:t>
                  </w:r>
                  <w:r>
                    <w:rPr>
                      <w:rFonts w:hint="eastAsia" w:cs="宋体"/>
                      <w:color w:val="auto"/>
                      <w:kern w:val="0"/>
                      <w:szCs w:val="21"/>
                      <w:lang w:val="en-US" w:eastAsia="zh-CN" w:bidi="ar"/>
                    </w:rPr>
                    <w:t>2</w:t>
                  </w:r>
                </w:p>
              </w:tc>
              <w:tc>
                <w:tcPr>
                  <w:tcW w:w="607" w:type="pct"/>
                  <w:vMerge w:val="continue"/>
                  <w:tcBorders>
                    <w:tl2br w:val="nil"/>
                    <w:tr2bl w:val="nil"/>
                  </w:tcBorders>
                  <w:noWrap w:val="0"/>
                  <w:vAlign w:val="center"/>
                </w:tcPr>
                <w:p w14:paraId="2875625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r>
            <w:tr w14:paraId="6F8FEF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46" w:hRule="atLeast"/>
                <w:jc w:val="center"/>
              </w:trPr>
              <w:tc>
                <w:tcPr>
                  <w:tcW w:w="3196" w:type="pct"/>
                  <w:gridSpan w:val="4"/>
                  <w:tcBorders>
                    <w:tl2br w:val="nil"/>
                    <w:tr2bl w:val="nil"/>
                  </w:tcBorders>
                  <w:noWrap w:val="0"/>
                  <w:vAlign w:val="center"/>
                </w:tcPr>
                <w:p w14:paraId="49910E7C">
                  <w:pPr>
                    <w:keepNext w:val="0"/>
                    <w:keepLines w:val="0"/>
                    <w:suppressLineNumbers w:val="0"/>
                    <w:spacing w:before="0" w:beforeAutospacing="0" w:after="0" w:afterAutospacing="0"/>
                    <w:ind w:left="0" w:right="0"/>
                    <w:jc w:val="center"/>
                    <w:rPr>
                      <w:rFonts w:hint="default" w:ascii="Times New Roman" w:hAnsi="Times New Roman" w:eastAsia="宋体" w:cs="宋体"/>
                      <w:color w:val="auto"/>
                      <w:szCs w:val="21"/>
                    </w:rPr>
                  </w:pPr>
                  <w:r>
                    <w:rPr>
                      <w:rFonts w:hint="eastAsia" w:ascii="Times New Roman" w:hAnsi="Times New Roman" w:eastAsia="宋体" w:cs="宋体"/>
                      <w:color w:val="auto"/>
                      <w:szCs w:val="21"/>
                    </w:rPr>
                    <w:t>合计（Q）</w:t>
                  </w:r>
                </w:p>
              </w:tc>
              <w:tc>
                <w:tcPr>
                  <w:tcW w:w="1196" w:type="pct"/>
                  <w:tcBorders>
                    <w:tl2br w:val="nil"/>
                    <w:tr2bl w:val="nil"/>
                  </w:tcBorders>
                  <w:noWrap w:val="0"/>
                  <w:vAlign w:val="bottom"/>
                </w:tcPr>
                <w:p w14:paraId="69B0E1B2">
                  <w:pPr>
                    <w:keepNext w:val="0"/>
                    <w:keepLines w:val="0"/>
                    <w:suppressLineNumbers w:val="0"/>
                    <w:spacing w:before="0" w:beforeAutospacing="0" w:after="0" w:afterAutospacing="0"/>
                    <w:ind w:left="0" w:right="0"/>
                    <w:jc w:val="center"/>
                    <w:rPr>
                      <w:rFonts w:hint="default" w:ascii="Times New Roman" w:hAnsi="Times New Roman" w:eastAsia="宋体" w:cs="宋体"/>
                      <w:color w:val="auto"/>
                      <w:szCs w:val="21"/>
                      <w:lang w:val="en-US" w:eastAsia="zh-CN"/>
                    </w:rPr>
                  </w:pPr>
                  <w:r>
                    <w:rPr>
                      <w:rFonts w:hint="eastAsia" w:ascii="Times New Roman" w:hAnsi="Times New Roman" w:eastAsia="宋体" w:cs="宋体"/>
                      <w:color w:val="auto"/>
                      <w:kern w:val="0"/>
                      <w:szCs w:val="21"/>
                      <w:lang w:bidi="ar"/>
                    </w:rPr>
                    <w:t>0.00</w:t>
                  </w:r>
                  <w:r>
                    <w:rPr>
                      <w:rFonts w:hint="eastAsia" w:cs="宋体"/>
                      <w:color w:val="auto"/>
                      <w:kern w:val="0"/>
                      <w:szCs w:val="21"/>
                      <w:lang w:val="en-US" w:eastAsia="zh-CN" w:bidi="ar"/>
                    </w:rPr>
                    <w:t>004</w:t>
                  </w:r>
                </w:p>
              </w:tc>
              <w:tc>
                <w:tcPr>
                  <w:tcW w:w="607" w:type="pct"/>
                  <w:vMerge w:val="continue"/>
                  <w:tcBorders>
                    <w:tl2br w:val="nil"/>
                    <w:tr2bl w:val="nil"/>
                  </w:tcBorders>
                  <w:noWrap w:val="0"/>
                  <w:vAlign w:val="center"/>
                </w:tcPr>
                <w:p w14:paraId="5F3F3C5E">
                  <w:pPr>
                    <w:keepNext w:val="0"/>
                    <w:keepLines w:val="0"/>
                    <w:suppressLineNumbers w:val="0"/>
                    <w:spacing w:before="0" w:beforeAutospacing="0" w:after="0" w:afterAutospacing="0" w:line="360" w:lineRule="auto"/>
                    <w:ind w:left="0" w:right="0" w:firstLine="420" w:firstLineChars="200"/>
                    <w:jc w:val="left"/>
                    <w:rPr>
                      <w:rFonts w:hint="default" w:ascii="Times New Roman" w:hAnsi="Times New Roman" w:eastAsia="宋体" w:cs="Times New Roman"/>
                      <w:color w:val="auto"/>
                      <w:szCs w:val="21"/>
                    </w:rPr>
                  </w:pPr>
                </w:p>
              </w:tc>
            </w:tr>
          </w:tbl>
          <w:p w14:paraId="0F7B3EA4">
            <w:pPr>
              <w:keepNext w:val="0"/>
              <w:keepLines w:val="0"/>
              <w:suppressLineNumbers w:val="0"/>
              <w:spacing w:before="0" w:beforeAutospacing="0" w:after="0" w:afterAutospacing="0" w:line="360" w:lineRule="auto"/>
              <w:ind w:left="0" w:right="0" w:firstLine="480" w:firstLineChars="200"/>
              <w:jc w:val="left"/>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经计算，本项目Q=0.</w:t>
            </w:r>
            <w:r>
              <w:rPr>
                <w:rFonts w:hint="eastAsia" w:cs="Times New Roman"/>
                <w:color w:val="auto"/>
                <w:sz w:val="24"/>
                <w:lang w:val="en-US" w:eastAsia="zh-CN"/>
              </w:rPr>
              <w:t>00004</w:t>
            </w:r>
            <w:r>
              <w:rPr>
                <w:rFonts w:hint="eastAsia" w:ascii="Times New Roman" w:hAnsi="Times New Roman" w:eastAsia="宋体" w:cs="Times New Roman"/>
                <w:color w:val="auto"/>
                <w:sz w:val="24"/>
              </w:rPr>
              <w:t>＜1，根据《建设项目环境影响报告表编制技术指南（污染影响类）（试行）》本项目不进行环境风险专项评价，只需明确有毒有害和易燃易爆等危险物质和风险源分布情况及可能影响途径，并提出相应环境风险防范措施。</w:t>
            </w:r>
          </w:p>
          <w:p w14:paraId="1BB1C921">
            <w:pPr>
              <w:keepNext w:val="0"/>
              <w:keepLines w:val="0"/>
              <w:suppressLineNumbers w:val="0"/>
              <w:spacing w:before="0" w:beforeAutospacing="0" w:after="0" w:afterAutospacing="0" w:line="360" w:lineRule="auto"/>
              <w:ind w:left="0" w:right="0" w:firstLine="482" w:firstLineChars="200"/>
              <w:jc w:val="left"/>
              <w:rPr>
                <w:rStyle w:val="33"/>
                <w:rFonts w:hint="default" w:ascii="Times New Roman" w:hAnsi="Times New Roman" w:eastAsia="宋体" w:cs="Times New Roman"/>
                <w:color w:val="auto"/>
                <w:sz w:val="24"/>
                <w:szCs w:val="24"/>
              </w:rPr>
            </w:pPr>
            <w:r>
              <w:rPr>
                <w:rStyle w:val="33"/>
                <w:rFonts w:hint="eastAsia" w:cs="Times New Roman"/>
                <w:color w:val="auto"/>
                <w:sz w:val="24"/>
                <w:szCs w:val="24"/>
                <w:lang w:val="en-US" w:eastAsia="zh-CN"/>
              </w:rPr>
              <w:t>2</w:t>
            </w:r>
            <w:r>
              <w:rPr>
                <w:rStyle w:val="33"/>
                <w:rFonts w:hint="eastAsia" w:ascii="Times New Roman" w:hAnsi="Times New Roman" w:eastAsia="宋体" w:cs="Times New Roman"/>
                <w:color w:val="auto"/>
                <w:sz w:val="24"/>
                <w:szCs w:val="24"/>
              </w:rPr>
              <w:t>、</w:t>
            </w:r>
            <w:r>
              <w:rPr>
                <w:rStyle w:val="33"/>
                <w:rFonts w:hint="default" w:ascii="Times New Roman" w:hAnsi="Times New Roman" w:eastAsia="宋体" w:cs="Times New Roman"/>
                <w:color w:val="auto"/>
                <w:sz w:val="24"/>
                <w:szCs w:val="24"/>
              </w:rPr>
              <w:t>环境风险识别</w:t>
            </w:r>
          </w:p>
          <w:p w14:paraId="3543FB53">
            <w:pPr>
              <w:keepNext w:val="0"/>
              <w:keepLines w:val="0"/>
              <w:suppressLineNumbers w:val="0"/>
              <w:spacing w:before="0" w:beforeAutospacing="0" w:after="0" w:afterAutospacing="0" w:line="360" w:lineRule="auto"/>
              <w:ind w:left="0" w:right="0" w:firstLine="480" w:firstLineChars="200"/>
              <w:rPr>
                <w:rStyle w:val="33"/>
                <w:rFonts w:hint="eastAsia" w:ascii="Times New Roman" w:hAnsi="Times New Roman" w:eastAsia="宋体" w:cs="Times New Roman"/>
                <w:sz w:val="24"/>
                <w:szCs w:val="24"/>
              </w:rPr>
            </w:pPr>
            <w:r>
              <w:rPr>
                <w:rFonts w:hint="eastAsia" w:ascii="Times New Roman" w:hAnsi="Times New Roman" w:eastAsia="宋体" w:cs="Times New Roman"/>
                <w:color w:val="auto"/>
                <w:sz w:val="24"/>
                <w:szCs w:val="32"/>
              </w:rPr>
              <w:t>风险识别范围包括生产设施风险识别和生产过程所涉及的物质风险识别。根据有毒有害物质放散起因，本项目可能存在的环境风险类型可分为：</w:t>
            </w:r>
            <w:r>
              <w:rPr>
                <w:rFonts w:hint="eastAsia" w:ascii="Times New Roman" w:hAnsi="Times New Roman" w:eastAsia="宋体" w:cs="Times New Roman"/>
                <w:b/>
                <w:bCs/>
                <w:color w:val="auto"/>
                <w:sz w:val="24"/>
              </w:rPr>
              <w:t>①油类物质发生泄漏对土壤和地下水造成污染；②火灾产生的事故污水和大气污染物造成环境污染；③废水溢流直接外排，进入项目附近地表水域，造成污染事故</w:t>
            </w:r>
            <w:r>
              <w:rPr>
                <w:rFonts w:hint="eastAsia" w:cs="Times New Roman"/>
                <w:b/>
                <w:bCs/>
                <w:color w:val="auto"/>
                <w:sz w:val="24"/>
                <w:lang w:eastAsia="zh-CN"/>
              </w:rPr>
              <w:t>；</w:t>
            </w:r>
            <w:r>
              <w:rPr>
                <w:rFonts w:hint="eastAsia" w:ascii="Times New Roman" w:hAnsi="Times New Roman" w:eastAsia="宋体" w:cs="Times New Roman"/>
                <w:b/>
                <w:bCs/>
                <w:color w:val="auto"/>
                <w:sz w:val="24"/>
              </w:rPr>
              <w:t>④污染物治理设施故障导致污染物超标排放</w:t>
            </w:r>
            <w:r>
              <w:rPr>
                <w:rFonts w:hint="eastAsia" w:cs="Times New Roman"/>
                <w:b/>
                <w:bCs/>
                <w:color w:val="auto"/>
                <w:sz w:val="24"/>
                <w:lang w:val="en-US" w:eastAsia="zh-CN"/>
              </w:rPr>
              <w:t>4</w:t>
            </w:r>
            <w:r>
              <w:rPr>
                <w:rFonts w:hint="eastAsia" w:ascii="Times New Roman" w:hAnsi="Times New Roman" w:eastAsia="宋体" w:cs="Times New Roman"/>
                <w:b/>
                <w:bCs/>
                <w:color w:val="auto"/>
                <w:sz w:val="24"/>
              </w:rPr>
              <w:t>种类型。</w:t>
            </w:r>
            <w:r>
              <w:rPr>
                <w:rFonts w:hint="eastAsia" w:ascii="Times New Roman" w:hAnsi="Times New Roman" w:eastAsia="宋体" w:cs="Times New Roman"/>
                <w:color w:val="auto"/>
                <w:sz w:val="24"/>
                <w:szCs w:val="32"/>
              </w:rPr>
              <w:t>不考虑自然灾害如地震、洪水、台风等所引起的事故风险。</w:t>
            </w:r>
          </w:p>
          <w:p w14:paraId="2274A7C8">
            <w:pPr>
              <w:keepNext w:val="0"/>
              <w:keepLines w:val="0"/>
              <w:suppressLineNumbers w:val="0"/>
              <w:spacing w:before="0" w:beforeAutospacing="0" w:after="0" w:afterAutospacing="0" w:line="360" w:lineRule="auto"/>
              <w:ind w:left="0" w:right="0" w:firstLine="482" w:firstLineChars="200"/>
              <w:jc w:val="left"/>
              <w:rPr>
                <w:rFonts w:hint="default" w:ascii="Times New Roman" w:hAnsi="Times New Roman" w:eastAsia="宋体" w:cs="Times New Roman"/>
                <w:color w:val="auto"/>
              </w:rPr>
            </w:pPr>
            <w:r>
              <w:rPr>
                <w:rStyle w:val="33"/>
                <w:rFonts w:hint="eastAsia" w:cs="Times New Roman"/>
                <w:color w:val="auto"/>
                <w:sz w:val="24"/>
                <w:szCs w:val="24"/>
                <w:lang w:val="en-US" w:eastAsia="zh-CN"/>
              </w:rPr>
              <w:t>3</w:t>
            </w:r>
            <w:r>
              <w:rPr>
                <w:rStyle w:val="33"/>
                <w:rFonts w:hint="eastAsia" w:ascii="Times New Roman" w:hAnsi="Times New Roman" w:eastAsia="宋体" w:cs="Times New Roman"/>
                <w:color w:val="auto"/>
                <w:sz w:val="24"/>
                <w:szCs w:val="24"/>
              </w:rPr>
              <w:t>、</w:t>
            </w:r>
            <w:r>
              <w:rPr>
                <w:rStyle w:val="33"/>
                <w:rFonts w:hint="default" w:ascii="Times New Roman" w:hAnsi="Times New Roman" w:eastAsia="宋体" w:cs="Times New Roman"/>
                <w:color w:val="auto"/>
                <w:sz w:val="24"/>
                <w:szCs w:val="24"/>
              </w:rPr>
              <w:t>环境风险</w:t>
            </w:r>
            <w:r>
              <w:rPr>
                <w:rStyle w:val="33"/>
                <w:rFonts w:hint="eastAsia" w:ascii="Times New Roman" w:hAnsi="Times New Roman" w:eastAsia="宋体" w:cs="Times New Roman"/>
                <w:color w:val="auto"/>
                <w:sz w:val="24"/>
                <w:szCs w:val="24"/>
              </w:rPr>
              <w:t>防范措施及应急要求</w:t>
            </w:r>
          </w:p>
          <w:p w14:paraId="7239A9EE">
            <w:pPr>
              <w:keepNext w:val="0"/>
              <w:keepLines w:val="0"/>
              <w:widowControl/>
              <w:suppressLineNumbers w:val="0"/>
              <w:spacing w:before="0" w:beforeAutospacing="0" w:after="0" w:afterAutospacing="0" w:line="360" w:lineRule="auto"/>
              <w:ind w:left="0" w:right="0" w:firstLine="482" w:firstLineChars="200"/>
              <w:jc w:val="left"/>
              <w:rPr>
                <w:rFonts w:hint="default" w:ascii="Times New Roman" w:hAnsi="Times New Roman" w:eastAsia="宋体" w:cs="宋体"/>
                <w:b/>
                <w:bCs/>
                <w:color w:val="auto"/>
                <w:kern w:val="0"/>
                <w:sz w:val="24"/>
                <w:lang w:bidi="ar"/>
              </w:rPr>
            </w:pPr>
            <w:r>
              <w:rPr>
                <w:rFonts w:hint="eastAsia" w:ascii="Times New Roman" w:hAnsi="Times New Roman" w:eastAsia="宋体" w:cs="宋体"/>
                <w:b/>
                <w:bCs/>
                <w:color w:val="auto"/>
                <w:kern w:val="0"/>
                <w:sz w:val="24"/>
                <w:lang w:bidi="ar"/>
              </w:rPr>
              <w:t>（1）</w:t>
            </w:r>
            <w:r>
              <w:rPr>
                <w:rFonts w:hint="eastAsia" w:cs="宋体"/>
                <w:b/>
                <w:bCs/>
                <w:color w:val="auto"/>
                <w:kern w:val="0"/>
                <w:sz w:val="24"/>
                <w:lang w:val="en-US" w:eastAsia="zh-CN" w:bidi="ar"/>
              </w:rPr>
              <w:t>油类物质</w:t>
            </w:r>
            <w:r>
              <w:rPr>
                <w:rFonts w:hint="eastAsia" w:ascii="Times New Roman" w:hAnsi="Times New Roman" w:eastAsia="宋体" w:cs="宋体"/>
                <w:b/>
                <w:bCs/>
                <w:color w:val="auto"/>
                <w:kern w:val="0"/>
                <w:sz w:val="24"/>
                <w:lang w:bidi="ar"/>
              </w:rPr>
              <w:t>泄漏风险防范措施</w:t>
            </w:r>
          </w:p>
          <w:p w14:paraId="0E66A901">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宋体"/>
                <w:color w:val="auto"/>
                <w:sz w:val="24"/>
              </w:rPr>
            </w:pPr>
            <w:r>
              <w:rPr>
                <w:rFonts w:hint="eastAsia" w:ascii="Times New Roman" w:hAnsi="Times New Roman" w:eastAsia="宋体" w:cs="宋体"/>
                <w:color w:val="auto"/>
                <w:kern w:val="0"/>
                <w:sz w:val="24"/>
                <w:lang w:bidi="ar"/>
              </w:rPr>
              <w:t>①</w:t>
            </w:r>
            <w:r>
              <w:rPr>
                <w:rFonts w:hint="eastAsia" w:cs="宋体"/>
                <w:color w:val="auto"/>
                <w:kern w:val="0"/>
                <w:sz w:val="24"/>
                <w:lang w:val="en-US" w:eastAsia="zh-CN" w:bidi="ar"/>
              </w:rPr>
              <w:t>机油按需购买不在厂区存储，废矿物油</w:t>
            </w:r>
            <w:r>
              <w:rPr>
                <w:rFonts w:hint="eastAsia" w:ascii="Times New Roman" w:hAnsi="Times New Roman" w:eastAsia="宋体" w:cs="宋体"/>
                <w:color w:val="auto"/>
                <w:kern w:val="0"/>
                <w:sz w:val="24"/>
                <w:lang w:val="en-US" w:eastAsia="zh-CN" w:bidi="ar"/>
              </w:rPr>
              <w:t>设置</w:t>
            </w:r>
            <w:r>
              <w:rPr>
                <w:rFonts w:hint="eastAsia" w:ascii="Times New Roman" w:hAnsi="Times New Roman" w:eastAsia="宋体" w:cs="宋体"/>
                <w:color w:val="auto"/>
                <w:kern w:val="0"/>
                <w:sz w:val="24"/>
                <w:lang w:bidi="ar"/>
              </w:rPr>
              <w:t>危废间进行储存，</w:t>
            </w:r>
            <w:r>
              <w:rPr>
                <w:rFonts w:hint="eastAsia" w:cs="宋体"/>
                <w:color w:val="auto"/>
                <w:kern w:val="0"/>
                <w:sz w:val="24"/>
                <w:lang w:val="en-US" w:eastAsia="zh-CN" w:bidi="ar"/>
              </w:rPr>
              <w:t>危废暂存间</w:t>
            </w:r>
            <w:r>
              <w:rPr>
                <w:rFonts w:hint="eastAsia" w:ascii="Times New Roman" w:hAnsi="Times New Roman" w:eastAsia="宋体" w:cs="宋体"/>
                <w:color w:val="auto"/>
                <w:kern w:val="0"/>
                <w:sz w:val="24"/>
                <w:lang w:bidi="ar"/>
              </w:rPr>
              <w:t>地面采取</w:t>
            </w:r>
            <w:r>
              <w:rPr>
                <w:rFonts w:hint="eastAsia" w:ascii="Times New Roman" w:hAnsi="Times New Roman" w:eastAsia="宋体" w:cs="宋体"/>
                <w:color w:val="auto"/>
                <w:sz w:val="24"/>
              </w:rPr>
              <w:t>防渗混凝土+至少2mm厚环氧树脂防渗措施；</w:t>
            </w:r>
          </w:p>
          <w:p w14:paraId="19334C7D">
            <w:pPr>
              <w:pStyle w:val="10"/>
              <w:keepNext w:val="0"/>
              <w:keepLines w:val="0"/>
              <w:suppressLineNumbers w:val="0"/>
              <w:spacing w:before="0" w:beforeAutospacing="0" w:after="0" w:afterAutospacing="0" w:line="360" w:lineRule="auto"/>
              <w:ind w:left="0" w:right="0" w:firstLine="480"/>
              <w:rPr>
                <w:rFonts w:hint="default" w:ascii="Times New Roman" w:hAnsi="Times New Roman" w:eastAsia="宋体" w:cs="宋体"/>
                <w:color w:val="auto"/>
                <w:lang w:val="en-US" w:eastAsia="zh-CN" w:bidi="ar"/>
              </w:rPr>
            </w:pPr>
            <w:r>
              <w:rPr>
                <w:rFonts w:hint="eastAsia" w:ascii="Times New Roman" w:hAnsi="Times New Roman" w:eastAsia="宋体" w:cs="宋体"/>
                <w:color w:val="auto"/>
                <w:lang w:bidi="ar"/>
              </w:rPr>
              <w:t>②</w:t>
            </w:r>
            <w:r>
              <w:rPr>
                <w:rFonts w:hint="eastAsia" w:cs="宋体"/>
                <w:color w:val="auto"/>
                <w:lang w:val="en-US" w:eastAsia="zh-CN" w:bidi="ar"/>
              </w:rPr>
              <w:t>加强日常巡视，危废包装容器出现破损时及时进行处置；</w:t>
            </w:r>
          </w:p>
          <w:p w14:paraId="116B7FD6">
            <w:pPr>
              <w:pStyle w:val="10"/>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color w:val="auto"/>
                <w:sz w:val="24"/>
              </w:rPr>
            </w:pPr>
            <w:r>
              <w:rPr>
                <w:rFonts w:hint="eastAsia" w:ascii="Times New Roman" w:hAnsi="Times New Roman" w:eastAsia="宋体" w:cs="宋体"/>
                <w:color w:val="auto"/>
                <w:kern w:val="0"/>
                <w:sz w:val="24"/>
                <w:lang w:bidi="ar"/>
              </w:rPr>
              <w:t>③</w:t>
            </w:r>
            <w:r>
              <w:rPr>
                <w:rFonts w:hint="default" w:ascii="Times New Roman" w:hAnsi="Times New Roman" w:eastAsia="宋体" w:cs="Times New Roman"/>
                <w:bCs/>
                <w:color w:val="auto"/>
                <w:szCs w:val="21"/>
              </w:rPr>
              <w:t>设置备用空桶，</w:t>
            </w:r>
            <w:r>
              <w:rPr>
                <w:rFonts w:hint="eastAsia" w:cs="Times New Roman"/>
                <w:bCs/>
                <w:color w:val="auto"/>
                <w:szCs w:val="21"/>
                <w:lang w:val="en-US" w:eastAsia="zh-CN"/>
              </w:rPr>
              <w:t>吸油棉等，出现</w:t>
            </w:r>
            <w:r>
              <w:rPr>
                <w:rFonts w:hint="eastAsia" w:ascii="Times New Roman" w:hAnsi="Times New Roman" w:eastAsia="宋体" w:cs="Times New Roman"/>
                <w:bCs/>
                <w:color w:val="auto"/>
                <w:szCs w:val="21"/>
              </w:rPr>
              <w:t>泄漏</w:t>
            </w:r>
            <w:r>
              <w:rPr>
                <w:rFonts w:hint="eastAsia" w:cs="Times New Roman"/>
                <w:bCs/>
                <w:color w:val="auto"/>
                <w:szCs w:val="21"/>
                <w:lang w:val="en-US" w:eastAsia="zh-CN"/>
              </w:rPr>
              <w:t>事故后对泄漏液及时进行收集。</w:t>
            </w:r>
          </w:p>
          <w:p w14:paraId="019CFC73">
            <w:pPr>
              <w:keepNext w:val="0"/>
              <w:keepLines w:val="0"/>
              <w:widowControl/>
              <w:suppressLineNumbers w:val="0"/>
              <w:spacing w:before="0" w:beforeAutospacing="0" w:after="0" w:afterAutospacing="0" w:line="360" w:lineRule="auto"/>
              <w:ind w:left="0" w:right="0" w:firstLine="482" w:firstLineChars="200"/>
              <w:jc w:val="left"/>
              <w:rPr>
                <w:rFonts w:hint="default" w:ascii="Times New Roman" w:hAnsi="Times New Roman" w:eastAsia="宋体" w:cs="宋体"/>
                <w:b/>
                <w:bCs/>
                <w:color w:val="auto"/>
                <w:sz w:val="24"/>
              </w:rPr>
            </w:pPr>
            <w:r>
              <w:rPr>
                <w:rFonts w:hint="eastAsia" w:ascii="Times New Roman" w:hAnsi="Times New Roman" w:eastAsia="宋体" w:cs="宋体"/>
                <w:b/>
                <w:bCs/>
                <w:color w:val="auto"/>
                <w:sz w:val="24"/>
                <w:szCs w:val="24"/>
                <w:lang w:bidi="ar"/>
              </w:rPr>
              <w:t>（2）</w:t>
            </w:r>
            <w:r>
              <w:rPr>
                <w:rFonts w:hint="eastAsia" w:cs="宋体"/>
                <w:b/>
                <w:bCs/>
                <w:color w:val="auto"/>
                <w:kern w:val="0"/>
                <w:sz w:val="24"/>
                <w:szCs w:val="24"/>
                <w:lang w:val="en-US" w:eastAsia="zh-CN" w:bidi="ar"/>
              </w:rPr>
              <w:t>废水泄漏</w:t>
            </w:r>
            <w:r>
              <w:rPr>
                <w:rFonts w:hint="eastAsia" w:ascii="Times New Roman" w:hAnsi="Times New Roman" w:eastAsia="宋体" w:cs="宋体"/>
                <w:b/>
                <w:bCs/>
                <w:color w:val="auto"/>
                <w:kern w:val="0"/>
                <w:sz w:val="24"/>
                <w:szCs w:val="24"/>
                <w:lang w:bidi="ar"/>
              </w:rPr>
              <w:t>风</w:t>
            </w:r>
            <w:r>
              <w:rPr>
                <w:rFonts w:hint="eastAsia" w:ascii="Times New Roman" w:hAnsi="Times New Roman" w:eastAsia="宋体" w:cs="宋体"/>
                <w:b/>
                <w:bCs/>
                <w:color w:val="auto"/>
                <w:kern w:val="0"/>
                <w:sz w:val="24"/>
                <w:lang w:bidi="ar"/>
              </w:rPr>
              <w:t>险防范措施</w:t>
            </w:r>
          </w:p>
          <w:p w14:paraId="29A8C936">
            <w:pPr>
              <w:keepNext w:val="0"/>
              <w:keepLines w:val="0"/>
              <w:suppressLineNumbers w:val="0"/>
              <w:adjustRightInd w:val="0"/>
              <w:snapToGrid w:val="0"/>
              <w:spacing w:before="0" w:beforeAutospacing="0" w:after="0" w:afterAutospacing="0" w:line="360" w:lineRule="auto"/>
              <w:ind w:left="0" w:right="0" w:firstLine="480" w:firstLineChars="200"/>
              <w:rPr>
                <w:rFonts w:hint="eastAsia"/>
                <w:sz w:val="24"/>
              </w:rPr>
            </w:pPr>
            <w:r>
              <w:rPr>
                <w:rFonts w:hint="eastAsia" w:ascii="Times New Roman" w:hAnsi="Times New Roman" w:eastAsia="宋体" w:cs="宋体"/>
                <w:color w:val="auto"/>
                <w:kern w:val="0"/>
                <w:sz w:val="24"/>
                <w:lang w:bidi="ar"/>
              </w:rPr>
              <w:t>①</w:t>
            </w:r>
            <w:r>
              <w:rPr>
                <w:rFonts w:hint="eastAsia"/>
                <w:sz w:val="24"/>
              </w:rPr>
              <w:t>加强管理，</w:t>
            </w:r>
            <w:r>
              <w:rPr>
                <w:rFonts w:hint="eastAsia"/>
                <w:sz w:val="24"/>
                <w:lang w:val="en-US" w:eastAsia="zh-CN"/>
              </w:rPr>
              <w:t>确保</w:t>
            </w:r>
            <w:r>
              <w:rPr>
                <w:rFonts w:hint="eastAsia"/>
                <w:sz w:val="24"/>
              </w:rPr>
              <w:t>生产废水经处理后回用，严禁外排</w:t>
            </w:r>
            <w:r>
              <w:rPr>
                <w:rFonts w:hint="eastAsia"/>
                <w:sz w:val="24"/>
                <w:lang w:eastAsia="zh-CN"/>
              </w:rPr>
              <w:t>，</w:t>
            </w:r>
            <w:r>
              <w:rPr>
                <w:rFonts w:hint="eastAsia"/>
                <w:sz w:val="24"/>
              </w:rPr>
              <w:t>禁止设置废水、污水排放口；</w:t>
            </w:r>
          </w:p>
          <w:p w14:paraId="4DC9500B">
            <w:pPr>
              <w:keepNext w:val="0"/>
              <w:keepLines w:val="0"/>
              <w:suppressLineNumbers w:val="0"/>
              <w:adjustRightInd w:val="0"/>
              <w:snapToGrid w:val="0"/>
              <w:spacing w:before="0" w:beforeAutospacing="0" w:after="0" w:afterAutospacing="0" w:line="360" w:lineRule="auto"/>
              <w:ind w:left="0" w:right="0" w:firstLine="480" w:firstLineChars="200"/>
              <w:rPr>
                <w:rFonts w:hint="eastAsia"/>
                <w:sz w:val="24"/>
              </w:rPr>
            </w:pPr>
            <w:r>
              <w:rPr>
                <w:rFonts w:hint="eastAsia" w:ascii="Times New Roman" w:hAnsi="Times New Roman" w:eastAsia="宋体" w:cs="宋体"/>
                <w:color w:val="auto"/>
                <w:kern w:val="0"/>
                <w:sz w:val="24"/>
                <w:lang w:bidi="ar"/>
              </w:rPr>
              <w:t>②</w:t>
            </w:r>
            <w:r>
              <w:rPr>
                <w:rFonts w:hint="eastAsia"/>
                <w:sz w:val="24"/>
              </w:rPr>
              <w:t>生产区、厂区四周设置导流水沟，禁止废水、雨水等漫流；</w:t>
            </w:r>
          </w:p>
          <w:p w14:paraId="66C00CE6">
            <w:pPr>
              <w:keepNext w:val="0"/>
              <w:keepLines w:val="0"/>
              <w:suppressLineNumbers w:val="0"/>
              <w:adjustRightInd w:val="0"/>
              <w:snapToGrid w:val="0"/>
              <w:spacing w:before="0" w:beforeAutospacing="0" w:after="0" w:afterAutospacing="0" w:line="360" w:lineRule="auto"/>
              <w:ind w:left="0" w:right="0" w:firstLine="480" w:firstLineChars="200"/>
              <w:rPr>
                <w:rFonts w:hint="eastAsia" w:eastAsia="宋体"/>
                <w:sz w:val="24"/>
                <w:lang w:eastAsia="zh-CN"/>
              </w:rPr>
            </w:pPr>
            <w:r>
              <w:rPr>
                <w:rFonts w:hint="eastAsia" w:ascii="Times New Roman" w:hAnsi="Times New Roman" w:eastAsia="宋体" w:cs="宋体"/>
                <w:color w:val="auto"/>
                <w:kern w:val="0"/>
                <w:sz w:val="24"/>
                <w:lang w:bidi="ar"/>
              </w:rPr>
              <w:t>③</w:t>
            </w:r>
            <w:r>
              <w:rPr>
                <w:rFonts w:hint="eastAsia"/>
                <w:sz w:val="24"/>
              </w:rPr>
              <w:t>加强管理，</w:t>
            </w:r>
            <w:r>
              <w:rPr>
                <w:rFonts w:hint="eastAsia"/>
                <w:sz w:val="24"/>
                <w:lang w:val="en-US" w:eastAsia="zh-CN"/>
              </w:rPr>
              <w:t>制定厂区巡查制度</w:t>
            </w:r>
            <w:r>
              <w:rPr>
                <w:rFonts w:hint="eastAsia"/>
                <w:sz w:val="24"/>
              </w:rPr>
              <w:t>及时排除隐患</w:t>
            </w:r>
            <w:r>
              <w:rPr>
                <w:rFonts w:hint="eastAsia"/>
                <w:sz w:val="24"/>
                <w:lang w:eastAsia="zh-CN"/>
              </w:rPr>
              <w:t>。</w:t>
            </w:r>
          </w:p>
          <w:p w14:paraId="03C21BAD">
            <w:pPr>
              <w:keepNext w:val="0"/>
              <w:keepLines w:val="0"/>
              <w:widowControl/>
              <w:suppressLineNumbers w:val="0"/>
              <w:spacing w:before="0" w:beforeAutospacing="0" w:after="0" w:afterAutospacing="0" w:line="360" w:lineRule="auto"/>
              <w:ind w:left="0" w:right="0" w:firstLine="482" w:firstLineChars="200"/>
              <w:jc w:val="left"/>
              <w:rPr>
                <w:rFonts w:hint="default" w:ascii="Times New Roman" w:hAnsi="Times New Roman" w:eastAsia="宋体" w:cs="Times New Roman"/>
                <w:b/>
                <w:bCs/>
                <w:color w:val="auto"/>
                <w:sz w:val="24"/>
                <w:szCs w:val="32"/>
              </w:rPr>
            </w:pPr>
            <w:r>
              <w:rPr>
                <w:rFonts w:hint="eastAsia" w:ascii="Times New Roman" w:hAnsi="Times New Roman" w:eastAsia="宋体" w:cs="Times New Roman"/>
                <w:b/>
                <w:bCs/>
                <w:color w:val="auto"/>
                <w:sz w:val="24"/>
                <w:szCs w:val="32"/>
              </w:rPr>
              <w:t>（</w:t>
            </w:r>
            <w:r>
              <w:rPr>
                <w:rFonts w:hint="eastAsia" w:cs="Times New Roman"/>
                <w:b/>
                <w:bCs/>
                <w:color w:val="auto"/>
                <w:sz w:val="24"/>
                <w:szCs w:val="32"/>
                <w:lang w:val="en-US" w:eastAsia="zh-CN"/>
              </w:rPr>
              <w:t>3</w:t>
            </w:r>
            <w:r>
              <w:rPr>
                <w:rFonts w:hint="eastAsia" w:ascii="Times New Roman" w:hAnsi="Times New Roman" w:eastAsia="宋体" w:cs="Times New Roman"/>
                <w:b/>
                <w:bCs/>
                <w:color w:val="auto"/>
                <w:sz w:val="24"/>
                <w:szCs w:val="32"/>
              </w:rPr>
              <w:t>）火灾</w:t>
            </w:r>
            <w:r>
              <w:rPr>
                <w:rFonts w:hint="eastAsia" w:ascii="Times New Roman" w:hAnsi="Times New Roman" w:eastAsia="宋体" w:cs="宋体"/>
                <w:b/>
                <w:bCs/>
                <w:color w:val="auto"/>
                <w:kern w:val="0"/>
                <w:sz w:val="24"/>
                <w:lang w:bidi="ar"/>
              </w:rPr>
              <w:t>的风险防范措施</w:t>
            </w:r>
          </w:p>
          <w:p w14:paraId="189BB3B4">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宋体"/>
                <w:color w:val="auto"/>
                <w:kern w:val="0"/>
                <w:sz w:val="24"/>
                <w:lang w:bidi="ar"/>
              </w:rPr>
            </w:pPr>
            <w:r>
              <w:rPr>
                <w:rFonts w:hint="eastAsia" w:ascii="Times New Roman" w:hAnsi="Times New Roman" w:eastAsia="宋体" w:cs="宋体"/>
                <w:color w:val="auto"/>
                <w:kern w:val="0"/>
                <w:sz w:val="24"/>
                <w:lang w:bidi="ar"/>
              </w:rPr>
              <w:t>①按照《建筑灭火器配置设计规范》（GB50140-2005）之规定，项目生产车间应配置相应的灭火器类型与数量；</w:t>
            </w:r>
          </w:p>
          <w:p w14:paraId="6B1E1B5A">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宋体"/>
                <w:color w:val="auto"/>
                <w:sz w:val="24"/>
              </w:rPr>
            </w:pPr>
            <w:r>
              <w:rPr>
                <w:rFonts w:hint="eastAsia" w:ascii="Times New Roman" w:hAnsi="Times New Roman" w:eastAsia="宋体" w:cs="宋体"/>
                <w:color w:val="auto"/>
                <w:kern w:val="0"/>
                <w:sz w:val="24"/>
                <w:lang w:bidi="ar"/>
              </w:rPr>
              <w:t>②定期进行消防应急演练；</w:t>
            </w:r>
          </w:p>
          <w:p w14:paraId="25E06832">
            <w:pPr>
              <w:keepNext w:val="0"/>
              <w:keepLines w:val="0"/>
              <w:widowControl/>
              <w:suppressLineNumbers w:val="0"/>
              <w:spacing w:before="0" w:beforeAutospacing="0" w:after="0" w:afterAutospacing="0" w:line="360" w:lineRule="auto"/>
              <w:ind w:left="0" w:right="0" w:firstLine="482" w:firstLineChars="200"/>
              <w:jc w:val="left"/>
              <w:rPr>
                <w:rFonts w:hint="default" w:ascii="Times New Roman" w:hAnsi="Times New Roman" w:eastAsia="宋体" w:cs="宋体"/>
                <w:b/>
                <w:bCs/>
                <w:color w:val="auto"/>
                <w:sz w:val="24"/>
              </w:rPr>
            </w:pPr>
            <w:r>
              <w:rPr>
                <w:rFonts w:hint="eastAsia" w:ascii="Times New Roman" w:hAnsi="Times New Roman" w:eastAsia="宋体" w:cs="宋体"/>
                <w:b/>
                <w:bCs/>
                <w:color w:val="auto"/>
                <w:kern w:val="0"/>
                <w:sz w:val="24"/>
                <w:lang w:bidi="ar"/>
              </w:rPr>
              <w:t>（</w:t>
            </w:r>
            <w:r>
              <w:rPr>
                <w:rFonts w:hint="eastAsia" w:cs="宋体"/>
                <w:b/>
                <w:bCs/>
                <w:color w:val="auto"/>
                <w:kern w:val="0"/>
                <w:sz w:val="24"/>
                <w:lang w:val="en-US" w:eastAsia="zh-CN" w:bidi="ar"/>
              </w:rPr>
              <w:t>4</w:t>
            </w:r>
            <w:r>
              <w:rPr>
                <w:rFonts w:hint="eastAsia" w:ascii="Times New Roman" w:hAnsi="Times New Roman" w:eastAsia="宋体" w:cs="宋体"/>
                <w:b/>
                <w:bCs/>
                <w:color w:val="auto"/>
                <w:kern w:val="0"/>
                <w:sz w:val="24"/>
                <w:lang w:bidi="ar"/>
              </w:rPr>
              <w:t>）环保设施风险防范措施</w:t>
            </w:r>
          </w:p>
          <w:p w14:paraId="00DC608B">
            <w:pPr>
              <w:keepNext w:val="0"/>
              <w:keepLines w:val="0"/>
              <w:suppressLineNumbers w:val="0"/>
              <w:snapToGrid w:val="0"/>
              <w:spacing w:before="0" w:beforeAutospacing="0" w:after="0" w:afterAutospacing="0" w:line="360" w:lineRule="auto"/>
              <w:ind w:left="0" w:right="0" w:firstLine="480" w:firstLineChars="200"/>
              <w:jc w:val="left"/>
              <w:rPr>
                <w:rFonts w:hint="default" w:ascii="Times New Roman" w:hAnsi="Times New Roman" w:eastAsia="宋体" w:cs="宋体"/>
                <w:color w:val="auto"/>
                <w:kern w:val="0"/>
                <w:sz w:val="24"/>
                <w:lang w:bidi="ar"/>
              </w:rPr>
            </w:pPr>
            <w:r>
              <w:rPr>
                <w:rFonts w:hint="eastAsia" w:ascii="Times New Roman" w:hAnsi="Times New Roman" w:eastAsia="宋体" w:cs="宋体"/>
                <w:color w:val="auto"/>
                <w:kern w:val="0"/>
                <w:sz w:val="24"/>
                <w:lang w:bidi="ar"/>
              </w:rPr>
              <w:t>①废气处置措施的风险防范措施</w:t>
            </w:r>
          </w:p>
          <w:p w14:paraId="1B1EE2DD">
            <w:pPr>
              <w:keepNext w:val="0"/>
              <w:keepLines w:val="0"/>
              <w:suppressLineNumbers w:val="0"/>
              <w:snapToGrid w:val="0"/>
              <w:spacing w:before="0" w:beforeAutospacing="0" w:after="0" w:afterAutospacing="0" w:line="360" w:lineRule="auto"/>
              <w:ind w:left="0" w:right="0" w:firstLine="480" w:firstLineChars="200"/>
              <w:jc w:val="left"/>
              <w:rPr>
                <w:rFonts w:hint="default" w:ascii="Times New Roman" w:hAnsi="Times New Roman" w:eastAsia="宋体" w:cs="宋体"/>
                <w:color w:val="auto"/>
                <w:kern w:val="0"/>
                <w:sz w:val="24"/>
                <w:lang w:bidi="ar"/>
              </w:rPr>
            </w:pPr>
            <w:r>
              <w:rPr>
                <w:rFonts w:hint="eastAsia" w:ascii="Times New Roman" w:hAnsi="Times New Roman" w:eastAsia="宋体" w:cs="宋体"/>
                <w:color w:val="auto"/>
                <w:kern w:val="0"/>
                <w:sz w:val="24"/>
                <w:lang w:bidi="ar"/>
              </w:rPr>
              <w:t>加强废气治理设施的日常维护，定期检查</w:t>
            </w:r>
            <w:r>
              <w:rPr>
                <w:rFonts w:hint="eastAsia" w:cs="宋体"/>
                <w:color w:val="auto"/>
                <w:kern w:val="0"/>
                <w:sz w:val="24"/>
                <w:lang w:val="en-US" w:eastAsia="zh-CN" w:bidi="ar"/>
              </w:rPr>
              <w:t>喷淋降尘系统运行情况</w:t>
            </w:r>
            <w:r>
              <w:rPr>
                <w:rFonts w:hint="eastAsia" w:ascii="Times New Roman" w:hAnsi="Times New Roman" w:eastAsia="宋体" w:cs="宋体"/>
                <w:color w:val="auto"/>
                <w:kern w:val="0"/>
                <w:sz w:val="24"/>
                <w:lang w:bidi="ar"/>
              </w:rPr>
              <w:t>，若</w:t>
            </w:r>
            <w:r>
              <w:rPr>
                <w:rFonts w:hint="eastAsia" w:cs="宋体"/>
                <w:color w:val="auto"/>
                <w:kern w:val="0"/>
                <w:sz w:val="24"/>
                <w:lang w:val="en-US" w:eastAsia="zh-CN" w:bidi="ar"/>
              </w:rPr>
              <w:t>管道或喷淋头</w:t>
            </w:r>
            <w:r>
              <w:rPr>
                <w:rFonts w:hint="eastAsia" w:ascii="Times New Roman" w:hAnsi="Times New Roman" w:eastAsia="宋体" w:cs="宋体"/>
                <w:color w:val="auto"/>
                <w:kern w:val="0"/>
                <w:sz w:val="24"/>
                <w:lang w:bidi="ar"/>
              </w:rPr>
              <w:t>出现破损及时进行更换；当废气处理设施发生故障时，立即停止对应产污工序生产，待废气处理设施修复后方可进行生产；</w:t>
            </w:r>
          </w:p>
          <w:p w14:paraId="23E78171">
            <w:pPr>
              <w:keepNext w:val="0"/>
              <w:keepLines w:val="0"/>
              <w:suppressLineNumbers w:val="0"/>
              <w:snapToGrid w:val="0"/>
              <w:spacing w:before="0" w:beforeAutospacing="0" w:after="0" w:afterAutospacing="0" w:line="360" w:lineRule="auto"/>
              <w:ind w:left="0" w:right="0" w:firstLine="480" w:firstLineChars="200"/>
              <w:jc w:val="left"/>
              <w:rPr>
                <w:rFonts w:hint="default" w:ascii="Times New Roman" w:hAnsi="Times New Roman" w:eastAsia="宋体" w:cs="宋体"/>
                <w:color w:val="auto"/>
                <w:kern w:val="0"/>
                <w:sz w:val="24"/>
                <w:lang w:bidi="ar"/>
              </w:rPr>
            </w:pPr>
            <w:r>
              <w:rPr>
                <w:rFonts w:hint="eastAsia" w:ascii="Times New Roman" w:hAnsi="Times New Roman" w:eastAsia="宋体" w:cs="宋体"/>
                <w:color w:val="auto"/>
                <w:kern w:val="0"/>
                <w:sz w:val="24"/>
                <w:lang w:bidi="ar"/>
              </w:rPr>
              <w:t>②</w:t>
            </w:r>
            <w:r>
              <w:rPr>
                <w:rFonts w:hint="eastAsia" w:ascii="Times New Roman" w:hAnsi="Times New Roman" w:eastAsia="宋体" w:cs="Times New Roman"/>
                <w:color w:val="auto"/>
                <w:sz w:val="24"/>
              </w:rPr>
              <w:t>污水处理设施风险防范措施</w:t>
            </w:r>
          </w:p>
          <w:p w14:paraId="4EB59935">
            <w:pPr>
              <w:keepNext w:val="0"/>
              <w:keepLines w:val="0"/>
              <w:suppressLineNumbers w:val="0"/>
              <w:snapToGrid w:val="0"/>
              <w:spacing w:before="0" w:beforeAutospacing="0" w:after="0" w:afterAutospacing="0" w:line="360" w:lineRule="auto"/>
              <w:ind w:left="0" w:right="0" w:firstLine="480" w:firstLineChars="200"/>
              <w:jc w:val="left"/>
              <w:rPr>
                <w:rFonts w:hint="default" w:ascii="Times New Roman" w:hAnsi="Times New Roman" w:eastAsia="宋体" w:cs="宋体"/>
                <w:color w:val="auto"/>
                <w:kern w:val="0"/>
                <w:sz w:val="24"/>
                <w:lang w:bidi="ar"/>
              </w:rPr>
            </w:pPr>
            <w:r>
              <w:rPr>
                <w:rFonts w:hint="eastAsia" w:ascii="Times New Roman" w:hAnsi="Times New Roman" w:eastAsia="宋体" w:cs="宋体"/>
                <w:color w:val="auto"/>
                <w:kern w:val="0"/>
                <w:sz w:val="24"/>
                <w:lang w:bidi="ar"/>
              </w:rPr>
              <w:t>当</w:t>
            </w:r>
            <w:r>
              <w:rPr>
                <w:rFonts w:hint="eastAsia" w:cs="宋体"/>
                <w:color w:val="auto"/>
                <w:kern w:val="0"/>
                <w:sz w:val="24"/>
                <w:lang w:val="en-US" w:eastAsia="zh-CN" w:bidi="ar"/>
              </w:rPr>
              <w:t>废</w:t>
            </w:r>
            <w:r>
              <w:rPr>
                <w:rFonts w:hint="eastAsia" w:ascii="Times New Roman" w:hAnsi="Times New Roman" w:eastAsia="宋体" w:cs="宋体"/>
                <w:color w:val="auto"/>
                <w:kern w:val="0"/>
                <w:sz w:val="24"/>
                <w:lang w:bidi="ar"/>
              </w:rPr>
              <w:t>水处理设施发生故障时，立即停止生产，待</w:t>
            </w:r>
            <w:r>
              <w:rPr>
                <w:rFonts w:hint="eastAsia" w:cs="宋体"/>
                <w:color w:val="auto"/>
                <w:kern w:val="0"/>
                <w:sz w:val="24"/>
                <w:lang w:val="en-US" w:eastAsia="zh-CN" w:bidi="ar"/>
              </w:rPr>
              <w:t>废水</w:t>
            </w:r>
            <w:r>
              <w:rPr>
                <w:rFonts w:hint="eastAsia" w:ascii="Times New Roman" w:hAnsi="Times New Roman" w:eastAsia="宋体" w:cs="宋体"/>
                <w:color w:val="auto"/>
                <w:kern w:val="0"/>
                <w:sz w:val="24"/>
                <w:lang w:bidi="ar"/>
              </w:rPr>
              <w:t>处理设施修复后方可进行生产。</w:t>
            </w:r>
          </w:p>
          <w:p w14:paraId="08A816B1">
            <w:pPr>
              <w:keepNext w:val="0"/>
              <w:keepLines w:val="0"/>
              <w:suppressLineNumbers w:val="0"/>
              <w:spacing w:before="0" w:beforeAutospacing="0" w:after="0" w:afterAutospacing="0" w:line="360" w:lineRule="auto"/>
              <w:ind w:left="0" w:right="0" w:firstLine="482" w:firstLineChars="200"/>
              <w:jc w:val="left"/>
              <w:rPr>
                <w:rFonts w:hint="default" w:ascii="Times New Roman" w:hAnsi="Times New Roman" w:eastAsia="宋体" w:cs="Times New Roman"/>
                <w:color w:val="auto"/>
              </w:rPr>
            </w:pPr>
            <w:r>
              <w:rPr>
                <w:rStyle w:val="33"/>
                <w:rFonts w:hint="eastAsia" w:ascii="Times New Roman" w:hAnsi="Times New Roman" w:eastAsia="宋体" w:cs="Times New Roman"/>
                <w:color w:val="auto"/>
                <w:sz w:val="24"/>
                <w:szCs w:val="24"/>
              </w:rPr>
              <w:t>4、</w:t>
            </w:r>
            <w:r>
              <w:rPr>
                <w:rFonts w:hint="eastAsia" w:ascii="Times New Roman" w:hAnsi="Times New Roman" w:eastAsia="宋体" w:cs="Times New Roman"/>
                <w:b/>
                <w:bCs/>
                <w:color w:val="auto"/>
                <w:sz w:val="24"/>
              </w:rPr>
              <w:t>建立突发环境事件风险应急预案</w:t>
            </w:r>
          </w:p>
          <w:p w14:paraId="348A289D">
            <w:pPr>
              <w:keepNext w:val="0"/>
              <w:keepLines w:val="0"/>
              <w:suppressLineNumbers w:val="0"/>
              <w:snapToGrid w:val="0"/>
              <w:spacing w:before="0" w:beforeAutospacing="0" w:after="0" w:afterAutospacing="0" w:line="360" w:lineRule="auto"/>
              <w:ind w:left="0" w:right="0" w:firstLine="480" w:firstLineChars="200"/>
              <w:jc w:val="left"/>
              <w:rPr>
                <w:rFonts w:hint="default" w:ascii="Times New Roman" w:hAnsi="Times New Roman" w:eastAsia="宋体" w:cs="宋体"/>
                <w:color w:val="auto"/>
                <w:kern w:val="0"/>
                <w:sz w:val="24"/>
                <w:lang w:bidi="ar"/>
              </w:rPr>
            </w:pPr>
            <w:r>
              <w:rPr>
                <w:rFonts w:hint="eastAsia" w:ascii="Times New Roman" w:hAnsi="Times New Roman" w:eastAsia="宋体" w:cs="宋体"/>
                <w:color w:val="auto"/>
                <w:kern w:val="0"/>
                <w:sz w:val="24"/>
                <w:lang w:bidi="ar"/>
              </w:rPr>
              <w:t>评价建议企业及时编制《突发环境事件风险应急预案》并报生态环境主管部门备案。</w:t>
            </w:r>
          </w:p>
          <w:p w14:paraId="792D34FC">
            <w:pPr>
              <w:keepNext w:val="0"/>
              <w:keepLines w:val="0"/>
              <w:suppressLineNumbers w:val="0"/>
              <w:spacing w:before="120" w:beforeLines="50" w:beforeAutospacing="0" w:after="0" w:afterAutospacing="0" w:line="360" w:lineRule="auto"/>
              <w:ind w:left="0" w:right="0" w:firstLine="482" w:firstLineChars="200"/>
              <w:jc w:val="left"/>
              <w:rPr>
                <w:rFonts w:hint="default" w:ascii="Times New Roman" w:hAnsi="Times New Roman" w:eastAsia="宋体" w:cs="Times New Roman"/>
                <w:color w:val="auto"/>
                <w:sz w:val="24"/>
              </w:rPr>
            </w:pPr>
            <w:r>
              <w:rPr>
                <w:rFonts w:hint="eastAsia" w:ascii="Times New Roman" w:hAnsi="Times New Roman" w:eastAsia="宋体" w:cs="Times New Roman"/>
                <w:b/>
                <w:color w:val="auto"/>
                <w:sz w:val="24"/>
                <w:szCs w:val="21"/>
              </w:rPr>
              <w:t>5、环境风险影响分析</w:t>
            </w:r>
          </w:p>
          <w:p w14:paraId="3F6F766F">
            <w:pPr>
              <w:keepNext w:val="0"/>
              <w:keepLines w:val="0"/>
              <w:suppressLineNumbers w:val="0"/>
              <w:adjustRightIn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szCs w:val="20"/>
              </w:rPr>
            </w:pPr>
            <w:r>
              <w:rPr>
                <w:rFonts w:hint="eastAsia" w:ascii="Times New Roman" w:hAnsi="Times New Roman" w:eastAsia="宋体" w:cs="Times New Roman"/>
                <w:color w:val="auto"/>
                <w:kern w:val="0"/>
                <w:sz w:val="24"/>
                <w:szCs w:val="20"/>
              </w:rPr>
              <w:t>综上所述，本项目环境风险潜势为I，营运期落实本报告提出的各项措施、建立和落实各项风险预警防范措施和事故应急计划，杜绝重大环境污染事故的发生，可使项目建成后风险水平处于可接受程度。</w:t>
            </w:r>
          </w:p>
          <w:p w14:paraId="5371BBC1">
            <w:pPr>
              <w:keepNext w:val="0"/>
              <w:keepLines w:val="0"/>
              <w:suppressLineNumbers w:val="0"/>
              <w:spacing w:before="0" w:beforeAutospacing="0" w:after="0" w:afterAutospacing="0" w:line="360" w:lineRule="auto"/>
              <w:ind w:left="0" w:right="0"/>
              <w:rPr>
                <w:rFonts w:hint="eastAsia" w:ascii="Times New Roman" w:hAnsi="Times New Roman" w:eastAsia="宋体" w:cs="Times New Roman"/>
                <w:sz w:val="24"/>
              </w:rPr>
            </w:pPr>
            <w:r>
              <w:rPr>
                <w:rFonts w:hint="eastAsia" w:ascii="Times New Roman" w:hAnsi="Times New Roman" w:eastAsia="宋体" w:cs="Times New Roman"/>
                <w:b/>
                <w:bCs/>
                <w:sz w:val="24"/>
                <w:lang w:val="en-US" w:eastAsia="zh-CN"/>
              </w:rPr>
              <w:t>九</w:t>
            </w:r>
            <w:r>
              <w:rPr>
                <w:rFonts w:hint="eastAsia" w:ascii="Times New Roman" w:hAnsi="Times New Roman" w:eastAsia="宋体" w:cs="Times New Roman"/>
                <w:b/>
                <w:bCs/>
                <w:sz w:val="24"/>
              </w:rPr>
              <w:t>、环保设施及投资</w:t>
            </w:r>
          </w:p>
          <w:p w14:paraId="6A0B73BE">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
                <w:bCs/>
                <w:sz w:val="24"/>
              </w:rPr>
            </w:pPr>
            <w:r>
              <w:rPr>
                <w:rFonts w:hint="eastAsia" w:ascii="Times New Roman" w:hAnsi="Times New Roman" w:eastAsia="宋体" w:cs="Times New Roman"/>
                <w:sz w:val="24"/>
              </w:rPr>
              <w:t>本项目总投资</w:t>
            </w:r>
            <w:r>
              <w:rPr>
                <w:rFonts w:hint="eastAsia" w:cs="Times New Roman"/>
                <w:sz w:val="24"/>
                <w:lang w:val="en-US" w:eastAsia="zh-CN"/>
              </w:rPr>
              <w:t>100</w:t>
            </w:r>
            <w:r>
              <w:rPr>
                <w:rFonts w:hint="eastAsia" w:ascii="Times New Roman" w:hAnsi="Times New Roman" w:eastAsia="宋体" w:cs="Times New Roman"/>
                <w:sz w:val="24"/>
              </w:rPr>
              <w:t>万元，通过估算本项目环保投资约</w:t>
            </w:r>
            <w:r>
              <w:rPr>
                <w:rFonts w:hint="eastAsia" w:cs="Times New Roman"/>
                <w:sz w:val="24"/>
                <w:lang w:val="en-US" w:eastAsia="zh-CN"/>
              </w:rPr>
              <w:t>33.5</w:t>
            </w:r>
            <w:r>
              <w:rPr>
                <w:rFonts w:hint="eastAsia" w:ascii="Times New Roman" w:hAnsi="Times New Roman" w:eastAsia="宋体" w:cs="Times New Roman"/>
                <w:sz w:val="24"/>
              </w:rPr>
              <w:t>万元，占工程总投资的</w:t>
            </w:r>
            <w:r>
              <w:rPr>
                <w:rFonts w:hint="eastAsia" w:cs="Times New Roman"/>
                <w:sz w:val="24"/>
                <w:lang w:val="en-US" w:eastAsia="zh-CN"/>
              </w:rPr>
              <w:t>33.5</w:t>
            </w:r>
            <w:r>
              <w:rPr>
                <w:rFonts w:hint="eastAsia" w:ascii="Times New Roman" w:hAnsi="Times New Roman" w:eastAsia="宋体" w:cs="Times New Roman"/>
                <w:sz w:val="24"/>
              </w:rPr>
              <w:t>%，需投入的环保设施及投资见</w:t>
            </w:r>
            <w:r>
              <w:rPr>
                <w:rFonts w:hint="eastAsia" w:ascii="Times New Roman" w:hAnsi="Times New Roman" w:eastAsia="宋体" w:cs="Times New Roman"/>
                <w:sz w:val="24"/>
                <w:lang w:val="en-US" w:eastAsia="zh-CN"/>
              </w:rPr>
              <w:t>下</w:t>
            </w:r>
            <w:r>
              <w:rPr>
                <w:rFonts w:hint="eastAsia" w:ascii="Times New Roman" w:hAnsi="Times New Roman" w:eastAsia="宋体" w:cs="Times New Roman"/>
                <w:sz w:val="24"/>
              </w:rPr>
              <w:t>表。</w:t>
            </w:r>
          </w:p>
          <w:p w14:paraId="3B370756">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r>
              <w:rPr>
                <w:rFonts w:hint="default" w:ascii="Times New Roman" w:hAnsi="Times New Roman" w:eastAsia="宋体" w:cs="Times New Roman"/>
                <w:b/>
                <w:szCs w:val="21"/>
              </w:rPr>
              <w:t>表</w:t>
            </w:r>
            <w:r>
              <w:rPr>
                <w:rFonts w:hint="eastAsia" w:ascii="Times New Roman" w:hAnsi="Times New Roman" w:eastAsia="宋体" w:cs="Times New Roman"/>
                <w:b/>
                <w:szCs w:val="21"/>
              </w:rPr>
              <w:t>4-</w:t>
            </w:r>
            <w:r>
              <w:rPr>
                <w:rFonts w:hint="eastAsia" w:cs="Times New Roman"/>
                <w:b/>
                <w:szCs w:val="21"/>
                <w:lang w:val="en-US" w:eastAsia="zh-CN"/>
              </w:rPr>
              <w:t>17</w:t>
            </w:r>
            <w:r>
              <w:rPr>
                <w:rFonts w:hint="default" w:ascii="Times New Roman" w:hAnsi="Times New Roman" w:eastAsia="宋体" w:cs="Times New Roman"/>
                <w:b/>
                <w:szCs w:val="21"/>
              </w:rPr>
              <w:t xml:space="preserve"> </w:t>
            </w:r>
            <w:r>
              <w:rPr>
                <w:rFonts w:hint="eastAsia" w:cs="Times New Roman"/>
                <w:b/>
                <w:szCs w:val="21"/>
                <w:lang w:val="en-US" w:eastAsia="zh-CN"/>
              </w:rPr>
              <w:t xml:space="preserve"> </w:t>
            </w:r>
            <w:r>
              <w:rPr>
                <w:rFonts w:hint="default" w:ascii="Times New Roman" w:hAnsi="Times New Roman" w:eastAsia="宋体" w:cs="Times New Roman"/>
                <w:b/>
                <w:szCs w:val="21"/>
              </w:rPr>
              <w:t>项目环保设施及投资一览表</w:t>
            </w:r>
          </w:p>
          <w:tbl>
            <w:tblPr>
              <w:tblStyle w:val="25"/>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592"/>
              <w:gridCol w:w="474"/>
              <w:gridCol w:w="1088"/>
              <w:gridCol w:w="4402"/>
              <w:gridCol w:w="929"/>
              <w:gridCol w:w="468"/>
            </w:tblGrid>
            <w:tr w14:paraId="151E83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61" w:hRule="atLeast"/>
              </w:trPr>
              <w:tc>
                <w:tcPr>
                  <w:tcW w:w="372" w:type="pct"/>
                  <w:vAlign w:val="center"/>
                </w:tcPr>
                <w:p w14:paraId="4D19C41D">
                  <w:pPr>
                    <w:pStyle w:val="14"/>
                    <w:keepNext w:val="0"/>
                    <w:keepLines w:val="0"/>
                    <w:suppressLineNumbers w:val="0"/>
                    <w:adjustRightInd w:val="0"/>
                    <w:snapToGrid w:val="0"/>
                    <w:spacing w:before="0" w:beforeAutospacing="0" w:after="0" w:afterAutospacing="0"/>
                    <w:ind w:left="0" w:right="0" w:firstLine="0" w:firstLineChars="0"/>
                    <w:rPr>
                      <w:rFonts w:hint="default" w:ascii="Times New Roman" w:hAnsi="Times New Roman" w:eastAsia="宋体"/>
                      <w:color w:val="auto"/>
                      <w:szCs w:val="21"/>
                    </w:rPr>
                  </w:pPr>
                  <w:r>
                    <w:rPr>
                      <w:rFonts w:hint="default" w:ascii="Times New Roman" w:hAnsi="Times New Roman" w:eastAsia="宋体"/>
                      <w:b/>
                      <w:bCs/>
                      <w:color w:val="auto"/>
                    </w:rPr>
                    <w:t>类型</w:t>
                  </w:r>
                </w:p>
              </w:tc>
              <w:tc>
                <w:tcPr>
                  <w:tcW w:w="982" w:type="pct"/>
                  <w:gridSpan w:val="2"/>
                  <w:vAlign w:val="center"/>
                </w:tcPr>
                <w:p w14:paraId="45F0309B">
                  <w:pPr>
                    <w:pStyle w:val="14"/>
                    <w:keepNext w:val="0"/>
                    <w:keepLines w:val="0"/>
                    <w:suppressLineNumbers w:val="0"/>
                    <w:snapToGrid w:val="0"/>
                    <w:spacing w:before="0" w:beforeAutospacing="0" w:after="0" w:afterAutospacing="0"/>
                    <w:ind w:left="0" w:right="0" w:firstLine="482"/>
                    <w:jc w:val="center"/>
                    <w:rPr>
                      <w:rFonts w:hint="default" w:ascii="Times New Roman" w:hAnsi="Times New Roman" w:eastAsia="宋体"/>
                      <w:color w:val="auto"/>
                      <w:kern w:val="0"/>
                    </w:rPr>
                  </w:pPr>
                  <w:r>
                    <w:rPr>
                      <w:rFonts w:hint="default" w:ascii="Times New Roman" w:hAnsi="Times New Roman" w:eastAsia="宋体"/>
                      <w:b/>
                      <w:bCs/>
                      <w:color w:val="auto"/>
                    </w:rPr>
                    <w:t>污染源</w:t>
                  </w:r>
                </w:p>
              </w:tc>
              <w:tc>
                <w:tcPr>
                  <w:tcW w:w="2766" w:type="pct"/>
                  <w:vAlign w:val="center"/>
                </w:tcPr>
                <w:p w14:paraId="3F9A63E3">
                  <w:pPr>
                    <w:pStyle w:val="14"/>
                    <w:keepNext w:val="0"/>
                    <w:keepLines w:val="0"/>
                    <w:suppressLineNumbers w:val="0"/>
                    <w:snapToGrid w:val="0"/>
                    <w:spacing w:before="0" w:beforeAutospacing="0" w:after="0" w:afterAutospacing="0"/>
                    <w:ind w:left="0" w:right="0" w:firstLine="482"/>
                    <w:jc w:val="center"/>
                    <w:rPr>
                      <w:rFonts w:hint="default" w:ascii="Times New Roman" w:hAnsi="Times New Roman" w:eastAsia="宋体"/>
                      <w:color w:val="auto"/>
                    </w:rPr>
                  </w:pPr>
                  <w:r>
                    <w:rPr>
                      <w:rFonts w:hint="default" w:ascii="Times New Roman" w:hAnsi="Times New Roman" w:eastAsia="宋体"/>
                      <w:b/>
                      <w:bCs/>
                      <w:color w:val="auto"/>
                    </w:rPr>
                    <w:t>治理措施</w:t>
                  </w:r>
                </w:p>
              </w:tc>
              <w:tc>
                <w:tcPr>
                  <w:tcW w:w="584" w:type="pct"/>
                  <w:vAlign w:val="center"/>
                </w:tcPr>
                <w:p w14:paraId="1F6F655F">
                  <w:pPr>
                    <w:keepNext w:val="0"/>
                    <w:keepLines w:val="0"/>
                    <w:suppressLineNumbers w:val="0"/>
                    <w:snapToGrid w:val="0"/>
                    <w:spacing w:before="0" w:beforeAutospacing="0" w:after="0" w:afterAutospacing="0"/>
                    <w:ind w:left="0" w:right="0"/>
                    <w:jc w:val="center"/>
                    <w:rPr>
                      <w:rFonts w:hint="default" w:ascii="Times New Roman" w:hAnsi="Times New Roman" w:eastAsia="宋体"/>
                      <w:b/>
                      <w:bCs/>
                      <w:color w:val="auto"/>
                    </w:rPr>
                  </w:pPr>
                  <w:r>
                    <w:rPr>
                      <w:rFonts w:hint="default" w:ascii="Times New Roman" w:hAnsi="Times New Roman" w:eastAsia="宋体"/>
                      <w:b/>
                      <w:bCs/>
                      <w:color w:val="auto"/>
                    </w:rPr>
                    <w:t>投资</w:t>
                  </w:r>
                </w:p>
                <w:p w14:paraId="1F530F56">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auto"/>
                    </w:rPr>
                  </w:pPr>
                  <w:r>
                    <w:rPr>
                      <w:rFonts w:hint="default" w:ascii="Times New Roman" w:hAnsi="Times New Roman" w:eastAsia="宋体"/>
                      <w:b/>
                      <w:bCs/>
                      <w:color w:val="auto"/>
                    </w:rPr>
                    <w:t>（万元）</w:t>
                  </w:r>
                </w:p>
              </w:tc>
              <w:tc>
                <w:tcPr>
                  <w:tcW w:w="294" w:type="pct"/>
                  <w:vAlign w:val="center"/>
                </w:tcPr>
                <w:p w14:paraId="6978EAA4">
                  <w:pPr>
                    <w:keepNext w:val="0"/>
                    <w:keepLines w:val="0"/>
                    <w:suppressLineNumbers w:val="0"/>
                    <w:snapToGrid w:val="0"/>
                    <w:spacing w:before="0" w:beforeAutospacing="0" w:after="0" w:afterAutospacing="0"/>
                    <w:ind w:left="0" w:right="0"/>
                    <w:jc w:val="center"/>
                    <w:rPr>
                      <w:rFonts w:hint="eastAsia" w:ascii="Times New Roman" w:hAnsi="Times New Roman" w:eastAsia="宋体"/>
                      <w:b/>
                      <w:bCs/>
                      <w:color w:val="auto"/>
                      <w:lang w:val="en-US" w:eastAsia="zh-CN"/>
                    </w:rPr>
                  </w:pPr>
                  <w:r>
                    <w:rPr>
                      <w:rFonts w:hint="eastAsia" w:ascii="Times New Roman" w:hAnsi="Times New Roman" w:eastAsia="宋体"/>
                      <w:b/>
                      <w:bCs/>
                      <w:color w:val="auto"/>
                      <w:lang w:val="en-US" w:eastAsia="zh-CN"/>
                    </w:rPr>
                    <w:t>备注</w:t>
                  </w:r>
                </w:p>
              </w:tc>
            </w:tr>
            <w:tr w14:paraId="70F568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47" w:hRule="atLeast"/>
              </w:trPr>
              <w:tc>
                <w:tcPr>
                  <w:tcW w:w="372" w:type="pct"/>
                  <w:vMerge w:val="restart"/>
                  <w:vAlign w:val="center"/>
                </w:tcPr>
                <w:p w14:paraId="0A6A0D87">
                  <w:pPr>
                    <w:pStyle w:val="121"/>
                    <w:keepNext w:val="0"/>
                    <w:keepLines w:val="0"/>
                    <w:suppressLineNumbers w:val="0"/>
                    <w:spacing w:before="0" w:beforeAutospacing="0" w:after="0" w:afterAutospacing="0"/>
                    <w:ind w:left="0" w:right="0" w:firstLine="0" w:firstLineChars="0"/>
                    <w:rPr>
                      <w:rFonts w:hint="default" w:ascii="Times New Roman" w:hAnsi="Times New Roman" w:eastAsia="宋体"/>
                      <w:color w:val="auto"/>
                      <w:sz w:val="21"/>
                      <w:szCs w:val="21"/>
                    </w:rPr>
                  </w:pPr>
                  <w:r>
                    <w:rPr>
                      <w:rFonts w:hint="default" w:ascii="Times New Roman" w:hAnsi="Times New Roman" w:eastAsia="宋体"/>
                      <w:color w:val="auto"/>
                      <w:sz w:val="21"/>
                      <w:szCs w:val="21"/>
                    </w:rPr>
                    <w:t>大气污染物</w:t>
                  </w:r>
                </w:p>
              </w:tc>
              <w:tc>
                <w:tcPr>
                  <w:tcW w:w="298" w:type="pct"/>
                  <w:vAlign w:val="center"/>
                </w:tcPr>
                <w:p w14:paraId="4FE32A22">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auto"/>
                    </w:rPr>
                  </w:pPr>
                  <w:r>
                    <w:rPr>
                      <w:rFonts w:hint="eastAsia" w:ascii="Times New Roman" w:hAnsi="Times New Roman" w:eastAsia="宋体"/>
                      <w:color w:val="auto"/>
                    </w:rPr>
                    <w:t>施工期</w:t>
                  </w:r>
                </w:p>
              </w:tc>
              <w:tc>
                <w:tcPr>
                  <w:tcW w:w="684" w:type="pct"/>
                  <w:vAlign w:val="center"/>
                </w:tcPr>
                <w:p w14:paraId="70713041">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olor w:val="auto"/>
                    </w:rPr>
                  </w:pPr>
                  <w:r>
                    <w:rPr>
                      <w:rFonts w:hint="default" w:ascii="Times New Roman" w:hAnsi="Times New Roman" w:eastAsia="宋体"/>
                      <w:color w:val="auto"/>
                    </w:rPr>
                    <w:t>扬尘</w:t>
                  </w:r>
                </w:p>
              </w:tc>
              <w:tc>
                <w:tcPr>
                  <w:tcW w:w="2766" w:type="pct"/>
                  <w:vAlign w:val="center"/>
                </w:tcPr>
                <w:p w14:paraId="31D502D5">
                  <w:pPr>
                    <w:keepNext w:val="0"/>
                    <w:keepLines w:val="0"/>
                    <w:suppressLineNumbers w:val="0"/>
                    <w:spacing w:before="0" w:beforeAutospacing="0" w:after="0" w:afterAutospacing="0"/>
                    <w:ind w:left="0" w:right="0"/>
                    <w:rPr>
                      <w:rFonts w:hint="default" w:ascii="Times New Roman" w:hAnsi="Times New Roman" w:eastAsia="宋体"/>
                      <w:color w:val="auto"/>
                      <w:szCs w:val="21"/>
                    </w:rPr>
                  </w:pPr>
                  <w:r>
                    <w:rPr>
                      <w:rFonts w:hint="default" w:ascii="Times New Roman" w:hAnsi="Times New Roman" w:eastAsia="宋体"/>
                      <w:color w:val="auto"/>
                    </w:rPr>
                    <w:t>四周设置围挡，对临时料场进行篷布遮盖；专人洒水降尘</w:t>
                  </w:r>
                </w:p>
              </w:tc>
              <w:tc>
                <w:tcPr>
                  <w:tcW w:w="584" w:type="pct"/>
                  <w:vAlign w:val="center"/>
                </w:tcPr>
                <w:p w14:paraId="31C8D7FF">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auto"/>
                    </w:rPr>
                  </w:pPr>
                  <w:r>
                    <w:rPr>
                      <w:rFonts w:hint="eastAsia" w:ascii="Times New Roman" w:hAnsi="Times New Roman" w:eastAsia="宋体"/>
                      <w:color w:val="auto"/>
                    </w:rPr>
                    <w:t>0.5</w:t>
                  </w:r>
                </w:p>
              </w:tc>
              <w:tc>
                <w:tcPr>
                  <w:tcW w:w="294" w:type="pct"/>
                  <w:vAlign w:val="center"/>
                </w:tcPr>
                <w:p w14:paraId="4B167FE8">
                  <w:pPr>
                    <w:keepNext w:val="0"/>
                    <w:keepLines w:val="0"/>
                    <w:suppressLineNumbers w:val="0"/>
                    <w:snapToGrid w:val="0"/>
                    <w:spacing w:before="0" w:beforeAutospacing="0" w:after="0" w:afterAutospacing="0"/>
                    <w:ind w:left="0" w:right="0"/>
                    <w:jc w:val="center"/>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新建</w:t>
                  </w:r>
                </w:p>
              </w:tc>
            </w:tr>
            <w:tr w14:paraId="10F701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62" w:hRule="atLeast"/>
              </w:trPr>
              <w:tc>
                <w:tcPr>
                  <w:tcW w:w="372" w:type="pct"/>
                  <w:vMerge w:val="continue"/>
                  <w:vAlign w:val="center"/>
                </w:tcPr>
                <w:p w14:paraId="57D372E8">
                  <w:pPr>
                    <w:pStyle w:val="121"/>
                    <w:keepNext w:val="0"/>
                    <w:keepLines w:val="0"/>
                    <w:suppressLineNumbers w:val="0"/>
                    <w:spacing w:before="0" w:beforeAutospacing="0" w:after="0" w:afterAutospacing="0"/>
                    <w:ind w:left="0" w:right="0" w:firstLine="0" w:firstLineChars="0"/>
                    <w:rPr>
                      <w:rFonts w:hint="default" w:ascii="Times New Roman" w:hAnsi="Times New Roman" w:eastAsia="宋体"/>
                      <w:color w:val="auto"/>
                      <w:sz w:val="21"/>
                      <w:szCs w:val="21"/>
                    </w:rPr>
                  </w:pPr>
                </w:p>
              </w:tc>
              <w:tc>
                <w:tcPr>
                  <w:tcW w:w="298" w:type="pct"/>
                  <w:vMerge w:val="restart"/>
                  <w:vAlign w:val="center"/>
                </w:tcPr>
                <w:p w14:paraId="361EDD5E">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auto"/>
                    </w:rPr>
                  </w:pPr>
                  <w:r>
                    <w:rPr>
                      <w:rFonts w:hint="default" w:ascii="Times New Roman" w:hAnsi="Times New Roman" w:eastAsia="宋体"/>
                      <w:color w:val="auto"/>
                    </w:rPr>
                    <w:t>营运期</w:t>
                  </w:r>
                </w:p>
              </w:tc>
              <w:tc>
                <w:tcPr>
                  <w:tcW w:w="684" w:type="pct"/>
                  <w:vAlign w:val="center"/>
                </w:tcPr>
                <w:p w14:paraId="5DA6AABE">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olor w:val="00B050"/>
                      <w:lang w:val="en-US" w:eastAsia="zh-CN"/>
                    </w:rPr>
                  </w:pPr>
                  <w:r>
                    <w:rPr>
                      <w:rFonts w:hint="eastAsia"/>
                      <w:color w:val="auto"/>
                      <w:lang w:val="en-US" w:eastAsia="zh-CN"/>
                    </w:rPr>
                    <w:t>装卸粉尘</w:t>
                  </w:r>
                </w:p>
              </w:tc>
              <w:tc>
                <w:tcPr>
                  <w:tcW w:w="2766" w:type="pct"/>
                  <w:vMerge w:val="restart"/>
                  <w:vAlign w:val="center"/>
                </w:tcPr>
                <w:p w14:paraId="7F35CBC3">
                  <w:pPr>
                    <w:keepNext w:val="0"/>
                    <w:keepLines w:val="0"/>
                    <w:widowControl/>
                    <w:suppressLineNumbers w:val="0"/>
                    <w:snapToGrid w:val="0"/>
                    <w:spacing w:before="0" w:beforeAutospacing="0" w:after="0" w:afterAutospacing="0"/>
                    <w:ind w:left="0" w:right="0"/>
                    <w:jc w:val="center"/>
                    <w:textAlignment w:val="center"/>
                    <w:rPr>
                      <w:rFonts w:hint="eastAsia" w:ascii="Times New Roman" w:hAnsi="Times New Roman" w:eastAsia="宋体"/>
                      <w:color w:val="auto"/>
                      <w:lang w:eastAsia="zh-CN"/>
                    </w:rPr>
                  </w:pPr>
                  <w:r>
                    <w:rPr>
                      <w:rFonts w:hint="eastAsia"/>
                      <w:szCs w:val="21"/>
                      <w:lang w:val="en-US" w:eastAsia="zh-CN"/>
                    </w:rPr>
                    <w:t>项目</w:t>
                  </w:r>
                  <w:r>
                    <w:rPr>
                      <w:rFonts w:hint="eastAsia"/>
                      <w:szCs w:val="21"/>
                    </w:rPr>
                    <w:t>堆场设三面围挡及</w:t>
                  </w:r>
                  <w:r>
                    <w:rPr>
                      <w:rFonts w:hint="eastAsia"/>
                      <w:szCs w:val="21"/>
                      <w:lang w:eastAsia="zh-CN"/>
                    </w:rPr>
                    <w:t>铺设防尘网</w:t>
                  </w:r>
                  <w:r>
                    <w:rPr>
                      <w:rFonts w:hint="eastAsia"/>
                      <w:szCs w:val="21"/>
                      <w:lang w:val="en-US" w:eastAsia="zh-CN"/>
                    </w:rPr>
                    <w:t>，堆场内设置喷淋控尘装置，在干燥天气增加对堆场洒水频次，保证物料堆面层湿润，同时在物料表面敷设防尘网，减少风力起尘；原料及成品装卸过程</w:t>
                  </w:r>
                  <w:r>
                    <w:rPr>
                      <w:rFonts w:hint="eastAsia"/>
                      <w:szCs w:val="21"/>
                    </w:rPr>
                    <w:t>取</w:t>
                  </w:r>
                  <w:r>
                    <w:rPr>
                      <w:rFonts w:hint="eastAsia"/>
                      <w:szCs w:val="21"/>
                      <w:lang w:val="en-US" w:eastAsia="zh-CN"/>
                    </w:rPr>
                    <w:t>喷淋</w:t>
                  </w:r>
                  <w:r>
                    <w:rPr>
                      <w:rFonts w:hint="eastAsia"/>
                      <w:szCs w:val="21"/>
                    </w:rPr>
                    <w:t>降尘，并在装卸作业过程中加强管理，尽量减小装卸落差距离，降低粉尘产生量</w:t>
                  </w:r>
                  <w:r>
                    <w:rPr>
                      <w:rFonts w:hint="eastAsia"/>
                      <w:szCs w:val="21"/>
                      <w:lang w:eastAsia="zh-CN"/>
                    </w:rPr>
                    <w:t>。</w:t>
                  </w:r>
                </w:p>
              </w:tc>
              <w:tc>
                <w:tcPr>
                  <w:tcW w:w="584" w:type="pct"/>
                  <w:vMerge w:val="restart"/>
                  <w:vAlign w:val="center"/>
                </w:tcPr>
                <w:p w14:paraId="31BD481D">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olor w:val="auto"/>
                      <w:lang w:val="en-US" w:eastAsia="zh-CN"/>
                    </w:rPr>
                  </w:pPr>
                  <w:r>
                    <w:rPr>
                      <w:rFonts w:hint="eastAsia"/>
                      <w:color w:val="auto"/>
                      <w:lang w:val="en-US" w:eastAsia="zh-CN"/>
                    </w:rPr>
                    <w:t>2</w:t>
                  </w:r>
                </w:p>
              </w:tc>
              <w:tc>
                <w:tcPr>
                  <w:tcW w:w="294" w:type="pct"/>
                  <w:vMerge w:val="restart"/>
                  <w:vAlign w:val="center"/>
                </w:tcPr>
                <w:p w14:paraId="75F3D3E9">
                  <w:pPr>
                    <w:keepNext w:val="0"/>
                    <w:keepLines w:val="0"/>
                    <w:suppressLineNumbers w:val="0"/>
                    <w:snapToGrid w:val="0"/>
                    <w:spacing w:before="0" w:beforeAutospacing="0" w:after="0" w:afterAutospacing="0"/>
                    <w:ind w:left="0" w:right="0"/>
                    <w:jc w:val="center"/>
                    <w:rPr>
                      <w:rFonts w:hint="eastAsia" w:ascii="Times New Roman" w:hAnsi="Times New Roman" w:eastAsia="宋体"/>
                      <w:color w:val="auto"/>
                    </w:rPr>
                  </w:pPr>
                  <w:r>
                    <w:rPr>
                      <w:rFonts w:hint="eastAsia" w:ascii="Times New Roman" w:hAnsi="Times New Roman" w:eastAsia="宋体"/>
                      <w:color w:val="auto"/>
                      <w:lang w:val="en-US" w:eastAsia="zh-CN"/>
                    </w:rPr>
                    <w:t>新建</w:t>
                  </w:r>
                </w:p>
              </w:tc>
            </w:tr>
            <w:tr w14:paraId="72EE1A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52" w:hRule="atLeast"/>
              </w:trPr>
              <w:tc>
                <w:tcPr>
                  <w:tcW w:w="372" w:type="pct"/>
                  <w:vMerge w:val="continue"/>
                  <w:vAlign w:val="center"/>
                </w:tcPr>
                <w:p w14:paraId="23421119">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olor w:val="auto"/>
                    </w:rPr>
                  </w:pPr>
                </w:p>
              </w:tc>
              <w:tc>
                <w:tcPr>
                  <w:tcW w:w="298" w:type="pct"/>
                  <w:vMerge w:val="continue"/>
                  <w:vAlign w:val="center"/>
                </w:tcPr>
                <w:p w14:paraId="665A2CCB">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olor w:val="auto"/>
                    </w:rPr>
                  </w:pPr>
                </w:p>
              </w:tc>
              <w:tc>
                <w:tcPr>
                  <w:tcW w:w="684" w:type="pct"/>
                  <w:vAlign w:val="center"/>
                </w:tcPr>
                <w:p w14:paraId="1D64D1E8">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olor w:val="auto"/>
                      <w:lang w:val="en-US" w:eastAsia="zh-CN"/>
                    </w:rPr>
                  </w:pPr>
                  <w:r>
                    <w:rPr>
                      <w:rFonts w:hint="eastAsia"/>
                      <w:vertAlign w:val="baseline"/>
                      <w:lang w:val="en-US" w:eastAsia="zh-CN"/>
                    </w:rPr>
                    <w:t>堆存粉尘</w:t>
                  </w:r>
                </w:p>
              </w:tc>
              <w:tc>
                <w:tcPr>
                  <w:tcW w:w="2766" w:type="pct"/>
                  <w:vMerge w:val="continue"/>
                  <w:vAlign w:val="center"/>
                </w:tcPr>
                <w:p w14:paraId="20B159C7">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olor w:val="auto"/>
                    </w:rPr>
                  </w:pPr>
                </w:p>
              </w:tc>
              <w:tc>
                <w:tcPr>
                  <w:tcW w:w="584" w:type="pct"/>
                  <w:vMerge w:val="continue"/>
                  <w:vAlign w:val="center"/>
                </w:tcPr>
                <w:p w14:paraId="2196757D">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olor w:val="auto"/>
                    </w:rPr>
                  </w:pPr>
                </w:p>
              </w:tc>
              <w:tc>
                <w:tcPr>
                  <w:tcW w:w="294" w:type="pct"/>
                  <w:vMerge w:val="continue"/>
                  <w:vAlign w:val="center"/>
                </w:tcPr>
                <w:p w14:paraId="610BD01F">
                  <w:pPr>
                    <w:keepNext w:val="0"/>
                    <w:keepLines w:val="0"/>
                    <w:widowControl/>
                    <w:suppressLineNumbers w:val="0"/>
                    <w:snapToGrid w:val="0"/>
                    <w:spacing w:before="0" w:beforeAutospacing="0" w:after="0" w:afterAutospacing="0"/>
                    <w:ind w:left="0" w:right="0"/>
                    <w:jc w:val="center"/>
                    <w:textAlignment w:val="center"/>
                    <w:rPr>
                      <w:rFonts w:hint="eastAsia" w:ascii="Times New Roman" w:hAnsi="Times New Roman" w:eastAsia="宋体"/>
                      <w:color w:val="auto"/>
                      <w:lang w:val="en-US" w:eastAsia="zh-CN"/>
                    </w:rPr>
                  </w:pPr>
                </w:p>
              </w:tc>
            </w:tr>
            <w:tr w14:paraId="597348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trPr>
              <w:tc>
                <w:tcPr>
                  <w:tcW w:w="372" w:type="pct"/>
                  <w:vMerge w:val="continue"/>
                  <w:vAlign w:val="center"/>
                </w:tcPr>
                <w:p w14:paraId="0716152F">
                  <w:pPr>
                    <w:pStyle w:val="121"/>
                    <w:keepNext w:val="0"/>
                    <w:keepLines w:val="0"/>
                    <w:suppressLineNumbers w:val="0"/>
                    <w:spacing w:before="0" w:beforeAutospacing="0" w:after="0" w:afterAutospacing="0"/>
                    <w:ind w:left="0" w:right="0" w:firstLine="0" w:firstLineChars="0"/>
                    <w:rPr>
                      <w:rFonts w:hint="default" w:ascii="Times New Roman" w:hAnsi="Times New Roman" w:eastAsia="宋体"/>
                      <w:color w:val="auto"/>
                      <w:sz w:val="21"/>
                      <w:szCs w:val="21"/>
                    </w:rPr>
                  </w:pPr>
                </w:p>
              </w:tc>
              <w:tc>
                <w:tcPr>
                  <w:tcW w:w="298" w:type="pct"/>
                  <w:vMerge w:val="continue"/>
                  <w:vAlign w:val="center"/>
                </w:tcPr>
                <w:p w14:paraId="38591BFC">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auto"/>
                    </w:rPr>
                  </w:pPr>
                </w:p>
              </w:tc>
              <w:tc>
                <w:tcPr>
                  <w:tcW w:w="684" w:type="pct"/>
                  <w:vAlign w:val="center"/>
                </w:tcPr>
                <w:p w14:paraId="36105D31">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olor w:val="auto"/>
                    </w:rPr>
                  </w:pPr>
                  <w:r>
                    <w:rPr>
                      <w:rFonts w:hint="eastAsia"/>
                      <w:vertAlign w:val="baseline"/>
                      <w:lang w:val="en-US" w:eastAsia="zh-CN"/>
                    </w:rPr>
                    <w:t>进料粉尘</w:t>
                  </w:r>
                </w:p>
              </w:tc>
              <w:tc>
                <w:tcPr>
                  <w:tcW w:w="2766" w:type="pct"/>
                  <w:vAlign w:val="center"/>
                </w:tcPr>
                <w:p w14:paraId="35570ED4">
                  <w:pPr>
                    <w:keepNext w:val="0"/>
                    <w:keepLines w:val="0"/>
                    <w:suppressLineNumbers w:val="0"/>
                    <w:spacing w:before="0" w:beforeAutospacing="0" w:after="0" w:afterAutospacing="0"/>
                    <w:ind w:left="0" w:right="0"/>
                    <w:rPr>
                      <w:rFonts w:hint="default" w:ascii="Times New Roman" w:hAnsi="Times New Roman" w:eastAsia="宋体"/>
                      <w:color w:val="auto"/>
                      <w:szCs w:val="21"/>
                    </w:rPr>
                  </w:pPr>
                  <w:r>
                    <w:rPr>
                      <w:rFonts w:hint="eastAsia"/>
                      <w:vertAlign w:val="baseline"/>
                      <w:lang w:val="en-US" w:eastAsia="zh-CN"/>
                    </w:rPr>
                    <w:t>进料过程在封闭的厂房中进行，进料口设置喷淋降尘装置。</w:t>
                  </w:r>
                </w:p>
              </w:tc>
              <w:tc>
                <w:tcPr>
                  <w:tcW w:w="584" w:type="pct"/>
                  <w:vAlign w:val="center"/>
                </w:tcPr>
                <w:p w14:paraId="42A016AA">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auto"/>
                      <w:lang w:val="en-US" w:eastAsia="zh-CN"/>
                    </w:rPr>
                  </w:pPr>
                  <w:r>
                    <w:rPr>
                      <w:rFonts w:hint="eastAsia"/>
                      <w:color w:val="auto"/>
                      <w:lang w:val="en-US" w:eastAsia="zh-CN"/>
                    </w:rPr>
                    <w:t>0.5</w:t>
                  </w:r>
                </w:p>
              </w:tc>
              <w:tc>
                <w:tcPr>
                  <w:tcW w:w="294" w:type="pct"/>
                  <w:vAlign w:val="center"/>
                </w:tcPr>
                <w:p w14:paraId="0979B245">
                  <w:pPr>
                    <w:keepNext w:val="0"/>
                    <w:keepLines w:val="0"/>
                    <w:suppressLineNumbers w:val="0"/>
                    <w:snapToGrid w:val="0"/>
                    <w:spacing w:before="0" w:beforeAutospacing="0" w:after="0" w:afterAutospacing="0"/>
                    <w:ind w:left="0" w:right="0"/>
                    <w:jc w:val="center"/>
                    <w:rPr>
                      <w:rFonts w:hint="eastAsia" w:ascii="Times New Roman" w:hAnsi="Times New Roman" w:eastAsia="宋体"/>
                      <w:color w:val="0000FF"/>
                      <w:lang w:val="en-US" w:eastAsia="zh-CN"/>
                    </w:rPr>
                  </w:pPr>
                  <w:r>
                    <w:rPr>
                      <w:rFonts w:hint="eastAsia" w:ascii="Times New Roman" w:hAnsi="Times New Roman" w:eastAsia="宋体"/>
                      <w:color w:val="auto"/>
                      <w:lang w:val="en-US" w:eastAsia="zh-CN"/>
                    </w:rPr>
                    <w:t>新建</w:t>
                  </w:r>
                </w:p>
              </w:tc>
            </w:tr>
            <w:tr w14:paraId="29E86C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47" w:hRule="atLeast"/>
              </w:trPr>
              <w:tc>
                <w:tcPr>
                  <w:tcW w:w="372" w:type="pct"/>
                  <w:vMerge w:val="continue"/>
                  <w:vAlign w:val="center"/>
                </w:tcPr>
                <w:p w14:paraId="56A24CD7">
                  <w:pPr>
                    <w:pStyle w:val="121"/>
                    <w:keepNext w:val="0"/>
                    <w:keepLines w:val="0"/>
                    <w:suppressLineNumbers w:val="0"/>
                    <w:spacing w:before="0" w:beforeAutospacing="0" w:after="0" w:afterAutospacing="0"/>
                    <w:ind w:left="0" w:right="0" w:firstLine="0" w:firstLineChars="0"/>
                    <w:rPr>
                      <w:rFonts w:hint="default" w:ascii="Times New Roman" w:hAnsi="Times New Roman" w:eastAsia="宋体"/>
                      <w:color w:val="auto"/>
                      <w:sz w:val="21"/>
                      <w:szCs w:val="21"/>
                    </w:rPr>
                  </w:pPr>
                </w:p>
              </w:tc>
              <w:tc>
                <w:tcPr>
                  <w:tcW w:w="298" w:type="pct"/>
                  <w:vMerge w:val="continue"/>
                  <w:vAlign w:val="center"/>
                </w:tcPr>
                <w:p w14:paraId="6C9045AF">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auto"/>
                    </w:rPr>
                  </w:pPr>
                </w:p>
              </w:tc>
              <w:tc>
                <w:tcPr>
                  <w:tcW w:w="684" w:type="pct"/>
                  <w:vAlign w:val="center"/>
                </w:tcPr>
                <w:p w14:paraId="30ED847E">
                  <w:pPr>
                    <w:keepNext w:val="0"/>
                    <w:keepLines w:val="0"/>
                    <w:widowControl/>
                    <w:suppressLineNumbers w:val="0"/>
                    <w:snapToGrid w:val="0"/>
                    <w:spacing w:before="0" w:beforeAutospacing="0" w:after="0" w:afterAutospacing="0"/>
                    <w:ind w:left="0" w:right="0"/>
                    <w:jc w:val="center"/>
                    <w:textAlignment w:val="center"/>
                    <w:rPr>
                      <w:rFonts w:hint="eastAsia"/>
                      <w:vertAlign w:val="baseline"/>
                      <w:lang w:val="en-US" w:eastAsia="zh-CN"/>
                    </w:rPr>
                  </w:pPr>
                  <w:r>
                    <w:rPr>
                      <w:rFonts w:hint="eastAsia"/>
                      <w:vertAlign w:val="baseline"/>
                      <w:lang w:val="en-US" w:eastAsia="zh-CN"/>
                    </w:rPr>
                    <w:t>破碎粉尘</w:t>
                  </w:r>
                </w:p>
              </w:tc>
              <w:tc>
                <w:tcPr>
                  <w:tcW w:w="2766" w:type="pct"/>
                  <w:vAlign w:val="center"/>
                </w:tcPr>
                <w:p w14:paraId="3FC8CE95">
                  <w:pPr>
                    <w:keepNext w:val="0"/>
                    <w:keepLines w:val="0"/>
                    <w:suppressLineNumbers w:val="0"/>
                    <w:spacing w:before="0" w:beforeAutospacing="0" w:after="0" w:afterAutospacing="0"/>
                    <w:ind w:left="0" w:right="0"/>
                    <w:rPr>
                      <w:rFonts w:hint="eastAsia"/>
                      <w:vertAlign w:val="baseline"/>
                      <w:lang w:val="en-US" w:eastAsia="zh-CN"/>
                    </w:rPr>
                  </w:pPr>
                  <w:r>
                    <w:rPr>
                      <w:rFonts w:hint="eastAsia"/>
                      <w:vertAlign w:val="baseline"/>
                      <w:lang w:val="en-US" w:eastAsia="zh-CN"/>
                    </w:rPr>
                    <w:t>破碎过程在封闭的厂房中进行，破碎机的进料口和出料口设置喷淋降尘装置。</w:t>
                  </w:r>
                </w:p>
              </w:tc>
              <w:tc>
                <w:tcPr>
                  <w:tcW w:w="584" w:type="pct"/>
                  <w:vAlign w:val="center"/>
                </w:tcPr>
                <w:p w14:paraId="798F2523">
                  <w:pPr>
                    <w:keepNext w:val="0"/>
                    <w:keepLines w:val="0"/>
                    <w:suppressLineNumbers w:val="0"/>
                    <w:snapToGrid w:val="0"/>
                    <w:spacing w:before="0" w:beforeAutospacing="0" w:after="0" w:afterAutospacing="0"/>
                    <w:ind w:left="0" w:right="0"/>
                    <w:jc w:val="center"/>
                    <w:rPr>
                      <w:rFonts w:hint="default"/>
                      <w:color w:val="auto"/>
                      <w:lang w:val="en-US" w:eastAsia="zh-CN"/>
                    </w:rPr>
                  </w:pPr>
                  <w:r>
                    <w:rPr>
                      <w:rFonts w:hint="eastAsia"/>
                      <w:color w:val="auto"/>
                      <w:lang w:val="en-US" w:eastAsia="zh-CN"/>
                    </w:rPr>
                    <w:t>0.5</w:t>
                  </w:r>
                </w:p>
              </w:tc>
              <w:tc>
                <w:tcPr>
                  <w:tcW w:w="294" w:type="pct"/>
                  <w:vAlign w:val="center"/>
                </w:tcPr>
                <w:p w14:paraId="384B6926">
                  <w:pPr>
                    <w:keepNext w:val="0"/>
                    <w:keepLines w:val="0"/>
                    <w:suppressLineNumbers w:val="0"/>
                    <w:snapToGrid w:val="0"/>
                    <w:spacing w:before="0" w:beforeAutospacing="0" w:after="0" w:afterAutospacing="0"/>
                    <w:ind w:left="0" w:right="0"/>
                    <w:jc w:val="center"/>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新建</w:t>
                  </w:r>
                </w:p>
              </w:tc>
            </w:tr>
            <w:tr w14:paraId="7A636B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47" w:hRule="atLeast"/>
              </w:trPr>
              <w:tc>
                <w:tcPr>
                  <w:tcW w:w="372" w:type="pct"/>
                  <w:vMerge w:val="continue"/>
                  <w:vAlign w:val="center"/>
                </w:tcPr>
                <w:p w14:paraId="3884F78B">
                  <w:pPr>
                    <w:pStyle w:val="121"/>
                    <w:keepNext w:val="0"/>
                    <w:keepLines w:val="0"/>
                    <w:suppressLineNumbers w:val="0"/>
                    <w:spacing w:before="0" w:beforeAutospacing="0" w:after="0" w:afterAutospacing="0"/>
                    <w:ind w:left="0" w:right="0" w:firstLine="0" w:firstLineChars="0"/>
                    <w:rPr>
                      <w:rFonts w:hint="default" w:ascii="Times New Roman" w:hAnsi="Times New Roman" w:eastAsia="宋体"/>
                      <w:color w:val="auto"/>
                      <w:sz w:val="21"/>
                      <w:szCs w:val="21"/>
                    </w:rPr>
                  </w:pPr>
                </w:p>
              </w:tc>
              <w:tc>
                <w:tcPr>
                  <w:tcW w:w="298" w:type="pct"/>
                  <w:vMerge w:val="continue"/>
                  <w:vAlign w:val="center"/>
                </w:tcPr>
                <w:p w14:paraId="11071AA1">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auto"/>
                    </w:rPr>
                  </w:pPr>
                </w:p>
              </w:tc>
              <w:tc>
                <w:tcPr>
                  <w:tcW w:w="684" w:type="pct"/>
                  <w:vAlign w:val="center"/>
                </w:tcPr>
                <w:p w14:paraId="35048B90">
                  <w:pPr>
                    <w:keepNext w:val="0"/>
                    <w:keepLines w:val="0"/>
                    <w:widowControl/>
                    <w:suppressLineNumbers w:val="0"/>
                    <w:snapToGrid w:val="0"/>
                    <w:spacing w:before="0" w:beforeAutospacing="0" w:after="0" w:afterAutospacing="0"/>
                    <w:ind w:left="0" w:right="0"/>
                    <w:jc w:val="center"/>
                    <w:textAlignment w:val="center"/>
                    <w:rPr>
                      <w:rFonts w:hint="eastAsia"/>
                      <w:vertAlign w:val="baseline"/>
                      <w:lang w:val="en-US" w:eastAsia="zh-CN"/>
                    </w:rPr>
                  </w:pPr>
                  <w:r>
                    <w:rPr>
                      <w:rFonts w:hint="eastAsia"/>
                      <w:vertAlign w:val="baseline"/>
                      <w:lang w:val="en-US" w:eastAsia="zh-CN"/>
                    </w:rPr>
                    <w:t>车辆运输粉尘</w:t>
                  </w:r>
                </w:p>
              </w:tc>
              <w:tc>
                <w:tcPr>
                  <w:tcW w:w="2766" w:type="pct"/>
                  <w:vAlign w:val="center"/>
                </w:tcPr>
                <w:p w14:paraId="6B167C0A">
                  <w:pPr>
                    <w:keepNext w:val="0"/>
                    <w:keepLines w:val="0"/>
                    <w:suppressLineNumbers w:val="0"/>
                    <w:spacing w:before="0" w:beforeAutospacing="0" w:after="0" w:afterAutospacing="0"/>
                    <w:ind w:left="0" w:right="0"/>
                    <w:rPr>
                      <w:rFonts w:hint="eastAsia"/>
                      <w:vertAlign w:val="baseline"/>
                      <w:lang w:val="en-US" w:eastAsia="zh-CN"/>
                    </w:rPr>
                  </w:pPr>
                  <w:r>
                    <w:rPr>
                      <w:rFonts w:hint="default"/>
                      <w:vertAlign w:val="baseline"/>
                      <w:lang w:val="en-US" w:eastAsia="zh-CN"/>
                    </w:rPr>
                    <w:t>对运输货车采取加盖篷布密闭，出厂货车清洗轮胎，货车禁止超载，防止</w:t>
                  </w:r>
                  <w:r>
                    <w:rPr>
                      <w:rFonts w:hint="eastAsia"/>
                      <w:vertAlign w:val="baseline"/>
                      <w:lang w:val="en-US" w:eastAsia="zh-CN"/>
                    </w:rPr>
                    <w:t>物</w:t>
                  </w:r>
                  <w:r>
                    <w:rPr>
                      <w:rFonts w:hint="default"/>
                      <w:vertAlign w:val="baseline"/>
                      <w:lang w:val="en-US" w:eastAsia="zh-CN"/>
                    </w:rPr>
                    <w:t>料散落；在厂内运输路段，要求运输车辆减速慢行；厂区地面定期清扫，保持地面清洁，并采取勤洒水等措施，降低运输车辆扬尘产生量。</w:t>
                  </w:r>
                </w:p>
              </w:tc>
              <w:tc>
                <w:tcPr>
                  <w:tcW w:w="584" w:type="pct"/>
                  <w:vAlign w:val="center"/>
                </w:tcPr>
                <w:p w14:paraId="4B9C81EC">
                  <w:pPr>
                    <w:keepNext w:val="0"/>
                    <w:keepLines w:val="0"/>
                    <w:suppressLineNumbers w:val="0"/>
                    <w:snapToGrid w:val="0"/>
                    <w:spacing w:before="0" w:beforeAutospacing="0" w:after="0" w:afterAutospacing="0"/>
                    <w:ind w:left="0" w:right="0"/>
                    <w:jc w:val="center"/>
                    <w:rPr>
                      <w:rFonts w:hint="default"/>
                      <w:color w:val="auto"/>
                      <w:lang w:val="en-US" w:eastAsia="zh-CN"/>
                    </w:rPr>
                  </w:pPr>
                  <w:r>
                    <w:rPr>
                      <w:rFonts w:hint="eastAsia"/>
                      <w:color w:val="auto"/>
                      <w:lang w:val="en-US" w:eastAsia="zh-CN"/>
                    </w:rPr>
                    <w:t>0.5</w:t>
                  </w:r>
                </w:p>
              </w:tc>
              <w:tc>
                <w:tcPr>
                  <w:tcW w:w="294" w:type="pct"/>
                  <w:vAlign w:val="center"/>
                </w:tcPr>
                <w:p w14:paraId="37A637A8">
                  <w:pPr>
                    <w:keepNext w:val="0"/>
                    <w:keepLines w:val="0"/>
                    <w:suppressLineNumbers w:val="0"/>
                    <w:snapToGrid w:val="0"/>
                    <w:spacing w:before="0" w:beforeAutospacing="0" w:after="0" w:afterAutospacing="0"/>
                    <w:ind w:left="0" w:right="0"/>
                    <w:jc w:val="center"/>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新建</w:t>
                  </w:r>
                </w:p>
              </w:tc>
            </w:tr>
            <w:tr w14:paraId="3AC656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372" w:type="pct"/>
                  <w:vMerge w:val="restart"/>
                  <w:vAlign w:val="center"/>
                </w:tcPr>
                <w:p w14:paraId="0440F239">
                  <w:pPr>
                    <w:pStyle w:val="121"/>
                    <w:keepNext w:val="0"/>
                    <w:keepLines w:val="0"/>
                    <w:suppressLineNumbers w:val="0"/>
                    <w:spacing w:before="0" w:beforeAutospacing="0" w:after="0" w:afterAutospacing="0"/>
                    <w:ind w:left="0" w:right="0" w:firstLine="0" w:firstLineChars="0"/>
                    <w:rPr>
                      <w:rFonts w:hint="default" w:ascii="Times New Roman" w:hAnsi="Times New Roman" w:eastAsia="宋体"/>
                      <w:color w:val="auto"/>
                      <w:sz w:val="21"/>
                      <w:szCs w:val="21"/>
                    </w:rPr>
                  </w:pPr>
                  <w:r>
                    <w:rPr>
                      <w:rFonts w:hint="default" w:ascii="Times New Roman" w:hAnsi="Times New Roman" w:eastAsia="宋体"/>
                      <w:color w:val="auto"/>
                      <w:sz w:val="21"/>
                      <w:szCs w:val="21"/>
                    </w:rPr>
                    <w:t>水污染物</w:t>
                  </w:r>
                </w:p>
              </w:tc>
              <w:tc>
                <w:tcPr>
                  <w:tcW w:w="298" w:type="pct"/>
                  <w:vAlign w:val="center"/>
                </w:tcPr>
                <w:p w14:paraId="6BED78E9">
                  <w:pPr>
                    <w:pStyle w:val="121"/>
                    <w:keepNext w:val="0"/>
                    <w:keepLines w:val="0"/>
                    <w:suppressLineNumbers w:val="0"/>
                    <w:spacing w:before="0" w:beforeAutospacing="0" w:after="0" w:afterAutospacing="0"/>
                    <w:ind w:left="0" w:right="0" w:firstLine="0" w:firstLineChars="0"/>
                    <w:jc w:val="both"/>
                    <w:rPr>
                      <w:rFonts w:hint="default" w:ascii="Times New Roman" w:hAnsi="Times New Roman" w:eastAsia="宋体"/>
                      <w:color w:val="auto"/>
                      <w:sz w:val="21"/>
                      <w:szCs w:val="21"/>
                    </w:rPr>
                  </w:pPr>
                  <w:r>
                    <w:rPr>
                      <w:rFonts w:hint="default" w:ascii="Times New Roman" w:hAnsi="Times New Roman" w:eastAsia="宋体"/>
                      <w:color w:val="auto"/>
                      <w:sz w:val="21"/>
                      <w:szCs w:val="21"/>
                    </w:rPr>
                    <w:t>施工期</w:t>
                  </w:r>
                </w:p>
              </w:tc>
              <w:tc>
                <w:tcPr>
                  <w:tcW w:w="684" w:type="pct"/>
                  <w:vAlign w:val="center"/>
                </w:tcPr>
                <w:p w14:paraId="4571D9BF">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auto"/>
                    </w:rPr>
                  </w:pPr>
                  <w:r>
                    <w:rPr>
                      <w:rFonts w:hint="default" w:ascii="Times New Roman" w:hAnsi="Times New Roman" w:eastAsia="宋体"/>
                      <w:color w:val="auto"/>
                    </w:rPr>
                    <w:t>施工人员生活污水</w:t>
                  </w:r>
                </w:p>
              </w:tc>
              <w:tc>
                <w:tcPr>
                  <w:tcW w:w="2766" w:type="pct"/>
                  <w:vAlign w:val="center"/>
                </w:tcPr>
                <w:p w14:paraId="01593B61">
                  <w:pPr>
                    <w:keepNext w:val="0"/>
                    <w:keepLines w:val="0"/>
                    <w:suppressLineNumbers w:val="0"/>
                    <w:snapToGrid w:val="0"/>
                    <w:spacing w:before="0" w:beforeAutospacing="0" w:after="0" w:afterAutospacing="0"/>
                    <w:ind w:left="0" w:right="0"/>
                    <w:jc w:val="center"/>
                    <w:rPr>
                      <w:rFonts w:hint="default" w:ascii="Times New Roman" w:hAnsi="Times New Roman" w:eastAsia="宋体"/>
                      <w:bCs/>
                      <w:color w:val="auto"/>
                      <w:lang w:val="en-US" w:eastAsia="zh-CN"/>
                    </w:rPr>
                  </w:pPr>
                  <w:r>
                    <w:rPr>
                      <w:rFonts w:hint="eastAsia" w:cs="Times New Roman"/>
                      <w:szCs w:val="21"/>
                      <w:lang w:val="en-US" w:eastAsia="zh-CN"/>
                    </w:rPr>
                    <w:t>依托出租方已建生活污水经预处理池（10m</w:t>
                  </w:r>
                  <w:r>
                    <w:rPr>
                      <w:rFonts w:hint="eastAsia" w:cs="Times New Roman"/>
                      <w:szCs w:val="21"/>
                      <w:vertAlign w:val="superscript"/>
                      <w:lang w:val="en-US" w:eastAsia="zh-CN"/>
                    </w:rPr>
                    <w:t>3</w:t>
                  </w:r>
                  <w:r>
                    <w:rPr>
                      <w:rFonts w:hint="eastAsia" w:cs="Times New Roman"/>
                      <w:szCs w:val="21"/>
                      <w:lang w:val="en-US" w:eastAsia="zh-CN"/>
                    </w:rPr>
                    <w:t>），生活污水经预处理后定期由槽罐车转运至邻水县大步口污水处理站进行进一步处理后排入大洪河</w:t>
                  </w:r>
                </w:p>
              </w:tc>
              <w:tc>
                <w:tcPr>
                  <w:tcW w:w="584" w:type="pct"/>
                  <w:vAlign w:val="center"/>
                </w:tcPr>
                <w:p w14:paraId="451FBBED">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auto"/>
                    </w:rPr>
                  </w:pPr>
                  <w:r>
                    <w:rPr>
                      <w:rFonts w:hint="eastAsia" w:ascii="Times New Roman" w:hAnsi="Times New Roman" w:eastAsia="宋体"/>
                      <w:color w:val="auto"/>
                    </w:rPr>
                    <w:t>/</w:t>
                  </w:r>
                </w:p>
              </w:tc>
              <w:tc>
                <w:tcPr>
                  <w:tcW w:w="294" w:type="pct"/>
                  <w:vAlign w:val="center"/>
                </w:tcPr>
                <w:p w14:paraId="00382C34">
                  <w:pPr>
                    <w:keepNext w:val="0"/>
                    <w:keepLines w:val="0"/>
                    <w:suppressLineNumbers w:val="0"/>
                    <w:snapToGrid w:val="0"/>
                    <w:spacing w:before="0" w:beforeAutospacing="0" w:after="0" w:afterAutospacing="0"/>
                    <w:ind w:left="0" w:right="0"/>
                    <w:jc w:val="center"/>
                    <w:rPr>
                      <w:rFonts w:hint="eastAsia" w:ascii="Times New Roman" w:hAnsi="Times New Roman" w:eastAsia="宋体"/>
                      <w:color w:val="auto"/>
                    </w:rPr>
                  </w:pPr>
                  <w:r>
                    <w:rPr>
                      <w:rFonts w:hint="eastAsia" w:ascii="Times New Roman" w:hAnsi="Times New Roman" w:eastAsia="宋体"/>
                      <w:color w:val="auto"/>
                      <w:lang w:val="en-US" w:eastAsia="zh-CN"/>
                    </w:rPr>
                    <w:t>依托</w:t>
                  </w:r>
                </w:p>
              </w:tc>
            </w:tr>
            <w:tr w14:paraId="2A8863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39" w:hRule="atLeast"/>
              </w:trPr>
              <w:tc>
                <w:tcPr>
                  <w:tcW w:w="372" w:type="pct"/>
                  <w:vMerge w:val="continue"/>
                  <w:vAlign w:val="center"/>
                </w:tcPr>
                <w:p w14:paraId="0D9070E5">
                  <w:pPr>
                    <w:keepNext w:val="0"/>
                    <w:keepLines w:val="0"/>
                    <w:widowControl/>
                    <w:suppressLineNumbers w:val="0"/>
                    <w:spacing w:before="0" w:beforeAutospacing="0" w:after="0" w:afterAutospacing="0"/>
                    <w:ind w:left="0" w:right="0"/>
                    <w:jc w:val="center"/>
                    <w:rPr>
                      <w:rFonts w:hint="default" w:ascii="Times New Roman" w:hAnsi="Times New Roman" w:eastAsia="宋体"/>
                      <w:color w:val="auto"/>
                    </w:rPr>
                  </w:pPr>
                </w:p>
              </w:tc>
              <w:tc>
                <w:tcPr>
                  <w:tcW w:w="298" w:type="pct"/>
                  <w:vMerge w:val="restart"/>
                  <w:vAlign w:val="center"/>
                </w:tcPr>
                <w:p w14:paraId="49F1C410">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auto"/>
                    </w:rPr>
                  </w:pPr>
                  <w:r>
                    <w:rPr>
                      <w:rFonts w:hint="default" w:ascii="Times New Roman" w:hAnsi="Times New Roman" w:eastAsia="宋体"/>
                      <w:color w:val="auto"/>
                    </w:rPr>
                    <w:t>运营期</w:t>
                  </w:r>
                </w:p>
              </w:tc>
              <w:tc>
                <w:tcPr>
                  <w:tcW w:w="684" w:type="pct"/>
                  <w:vAlign w:val="center"/>
                </w:tcPr>
                <w:p w14:paraId="6E794358">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auto"/>
                      <w:lang w:val="en-US" w:eastAsia="zh-CN"/>
                    </w:rPr>
                  </w:pPr>
                  <w:r>
                    <w:rPr>
                      <w:rFonts w:hint="eastAsia"/>
                      <w:color w:val="auto"/>
                      <w:lang w:val="en-US" w:eastAsia="zh-CN"/>
                    </w:rPr>
                    <w:t>生活污水</w:t>
                  </w:r>
                </w:p>
              </w:tc>
              <w:tc>
                <w:tcPr>
                  <w:tcW w:w="2766" w:type="pct"/>
                  <w:vAlign w:val="center"/>
                </w:tcPr>
                <w:p w14:paraId="4BC0520F">
                  <w:pPr>
                    <w:keepNext w:val="0"/>
                    <w:keepLines w:val="0"/>
                    <w:suppressLineNumbers w:val="0"/>
                    <w:spacing w:before="0" w:beforeAutospacing="0" w:after="0" w:afterAutospacing="0"/>
                    <w:ind w:left="0" w:right="0"/>
                    <w:rPr>
                      <w:rFonts w:hint="default" w:ascii="Times New Roman" w:hAnsi="Times New Roman" w:eastAsia="宋体"/>
                      <w:color w:val="auto"/>
                    </w:rPr>
                  </w:pPr>
                  <w:r>
                    <w:rPr>
                      <w:rFonts w:hint="eastAsia" w:cs="Times New Roman"/>
                      <w:szCs w:val="21"/>
                      <w:lang w:val="en-US" w:eastAsia="zh-CN"/>
                    </w:rPr>
                    <w:t>依托出租方已建生活污水经预处理池（10m</w:t>
                  </w:r>
                  <w:r>
                    <w:rPr>
                      <w:rFonts w:hint="eastAsia" w:cs="Times New Roman"/>
                      <w:szCs w:val="21"/>
                      <w:vertAlign w:val="superscript"/>
                      <w:lang w:val="en-US" w:eastAsia="zh-CN"/>
                    </w:rPr>
                    <w:t>3</w:t>
                  </w:r>
                  <w:r>
                    <w:rPr>
                      <w:rFonts w:hint="eastAsia" w:cs="Times New Roman"/>
                      <w:szCs w:val="21"/>
                      <w:lang w:val="en-US" w:eastAsia="zh-CN"/>
                    </w:rPr>
                    <w:t>），生活污水经预处理后定期由槽罐车转运至邻水县大步口污水处理站进行进一步处理后排入大洪河</w:t>
                  </w:r>
                </w:p>
              </w:tc>
              <w:tc>
                <w:tcPr>
                  <w:tcW w:w="584" w:type="pct"/>
                  <w:vAlign w:val="center"/>
                </w:tcPr>
                <w:p w14:paraId="2D446BB5">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auto"/>
                    </w:rPr>
                  </w:pPr>
                  <w:r>
                    <w:rPr>
                      <w:rFonts w:hint="eastAsia" w:ascii="Times New Roman" w:hAnsi="Times New Roman" w:eastAsia="宋体"/>
                      <w:color w:val="auto"/>
                    </w:rPr>
                    <w:t>/</w:t>
                  </w:r>
                </w:p>
              </w:tc>
              <w:tc>
                <w:tcPr>
                  <w:tcW w:w="294" w:type="pct"/>
                  <w:vAlign w:val="center"/>
                </w:tcPr>
                <w:p w14:paraId="37E5CF29">
                  <w:pPr>
                    <w:keepNext w:val="0"/>
                    <w:keepLines w:val="0"/>
                    <w:suppressLineNumbers w:val="0"/>
                    <w:snapToGrid w:val="0"/>
                    <w:spacing w:before="0" w:beforeAutospacing="0" w:after="0" w:afterAutospacing="0"/>
                    <w:ind w:left="0" w:right="0"/>
                    <w:jc w:val="center"/>
                    <w:rPr>
                      <w:rFonts w:hint="eastAsia" w:ascii="Times New Roman" w:hAnsi="Times New Roman" w:eastAsia="宋体"/>
                      <w:color w:val="auto"/>
                    </w:rPr>
                  </w:pPr>
                  <w:r>
                    <w:rPr>
                      <w:rFonts w:hint="eastAsia" w:ascii="Times New Roman" w:hAnsi="Times New Roman" w:eastAsia="宋体"/>
                      <w:color w:val="auto"/>
                      <w:lang w:val="en-US" w:eastAsia="zh-CN"/>
                    </w:rPr>
                    <w:t>依托</w:t>
                  </w:r>
                </w:p>
              </w:tc>
            </w:tr>
            <w:tr w14:paraId="782D0D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62" w:hRule="atLeast"/>
              </w:trPr>
              <w:tc>
                <w:tcPr>
                  <w:tcW w:w="372" w:type="pct"/>
                  <w:vMerge w:val="continue"/>
                  <w:vAlign w:val="center"/>
                </w:tcPr>
                <w:p w14:paraId="22F18B61">
                  <w:pPr>
                    <w:keepNext w:val="0"/>
                    <w:keepLines w:val="0"/>
                    <w:suppressLineNumbers w:val="0"/>
                    <w:snapToGrid w:val="0"/>
                    <w:spacing w:before="0" w:beforeAutospacing="0" w:after="0" w:afterAutospacing="0"/>
                    <w:ind w:left="0" w:right="0"/>
                    <w:jc w:val="center"/>
                    <w:rPr>
                      <w:rFonts w:hint="default"/>
                    </w:rPr>
                  </w:pPr>
                </w:p>
              </w:tc>
              <w:tc>
                <w:tcPr>
                  <w:tcW w:w="298" w:type="pct"/>
                  <w:vMerge w:val="continue"/>
                  <w:vAlign w:val="center"/>
                </w:tcPr>
                <w:p w14:paraId="48066846">
                  <w:pPr>
                    <w:keepNext w:val="0"/>
                    <w:keepLines w:val="0"/>
                    <w:suppressLineNumbers w:val="0"/>
                    <w:snapToGrid w:val="0"/>
                    <w:spacing w:before="0" w:beforeAutospacing="0" w:after="0" w:afterAutospacing="0"/>
                    <w:ind w:left="0" w:right="0"/>
                    <w:jc w:val="center"/>
                    <w:rPr>
                      <w:rFonts w:hint="default"/>
                    </w:rPr>
                  </w:pPr>
                </w:p>
              </w:tc>
              <w:tc>
                <w:tcPr>
                  <w:tcW w:w="684" w:type="pct"/>
                  <w:vAlign w:val="center"/>
                </w:tcPr>
                <w:p w14:paraId="7788943A">
                  <w:pPr>
                    <w:keepNext w:val="0"/>
                    <w:keepLines w:val="0"/>
                    <w:suppressLineNumbers w:val="0"/>
                    <w:snapToGrid w:val="0"/>
                    <w:spacing w:before="0" w:beforeAutospacing="0" w:after="0" w:afterAutospacing="0"/>
                    <w:ind w:left="0" w:right="0"/>
                    <w:jc w:val="center"/>
                    <w:rPr>
                      <w:rFonts w:hint="eastAsia" w:ascii="Times New Roman" w:hAnsi="Times New Roman" w:eastAsia="宋体"/>
                      <w:color w:val="auto"/>
                    </w:rPr>
                  </w:pPr>
                  <w:r>
                    <w:rPr>
                      <w:rFonts w:hint="eastAsia" w:ascii="Times New Roman" w:hAnsi="Times New Roman" w:eastAsia="宋体"/>
                      <w:color w:val="auto"/>
                    </w:rPr>
                    <w:t>生产废水</w:t>
                  </w:r>
                </w:p>
              </w:tc>
              <w:tc>
                <w:tcPr>
                  <w:tcW w:w="2766" w:type="pct"/>
                  <w:vAlign w:val="center"/>
                </w:tcPr>
                <w:p w14:paraId="17EC2FBE">
                  <w:pPr>
                    <w:keepNext w:val="0"/>
                    <w:keepLines w:val="0"/>
                    <w:suppressLineNumbers w:val="0"/>
                    <w:snapToGrid w:val="0"/>
                    <w:spacing w:before="0" w:beforeAutospacing="0" w:after="0" w:afterAutospacing="0"/>
                    <w:ind w:left="0" w:right="0"/>
                    <w:jc w:val="center"/>
                    <w:rPr>
                      <w:rFonts w:hint="eastAsia" w:ascii="Times New Roman" w:hAnsi="Times New Roman" w:eastAsia="宋体"/>
                      <w:color w:val="auto"/>
                    </w:rPr>
                  </w:pPr>
                  <w:r>
                    <w:rPr>
                      <w:rFonts w:hint="eastAsia"/>
                      <w:bCs/>
                      <w:color w:val="auto"/>
                      <w:lang w:val="en-US" w:eastAsia="zh-CN"/>
                    </w:rPr>
                    <w:t>生产废水、车辆冲洗废水、降尘废水及初期雨水收集后经一套废水处理系统（设计处理能力150m</w:t>
                  </w:r>
                  <w:r>
                    <w:rPr>
                      <w:rFonts w:hint="eastAsia"/>
                      <w:bCs/>
                      <w:color w:val="auto"/>
                      <w:vertAlign w:val="superscript"/>
                      <w:lang w:val="en-US" w:eastAsia="zh-CN"/>
                    </w:rPr>
                    <w:t>3</w:t>
                  </w:r>
                  <w:r>
                    <w:rPr>
                      <w:rFonts w:hint="eastAsia"/>
                      <w:bCs/>
                      <w:color w:val="auto"/>
                      <w:lang w:val="en-US" w:eastAsia="zh-CN"/>
                    </w:rPr>
                    <w:t>/d，处理工艺为絮凝沉淀+压滤）处理后回用于洗砂工序</w:t>
                  </w:r>
                </w:p>
              </w:tc>
              <w:tc>
                <w:tcPr>
                  <w:tcW w:w="584" w:type="pct"/>
                  <w:vAlign w:val="center"/>
                </w:tcPr>
                <w:p w14:paraId="7DAAA3D7">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auto"/>
                      <w:lang w:val="en-US" w:eastAsia="zh-CN"/>
                    </w:rPr>
                  </w:pPr>
                  <w:r>
                    <w:rPr>
                      <w:rFonts w:hint="eastAsia"/>
                      <w:color w:val="auto"/>
                      <w:lang w:val="en-US" w:eastAsia="zh-CN"/>
                    </w:rPr>
                    <w:t>20</w:t>
                  </w:r>
                </w:p>
              </w:tc>
              <w:tc>
                <w:tcPr>
                  <w:tcW w:w="294" w:type="pct"/>
                  <w:vAlign w:val="center"/>
                </w:tcPr>
                <w:p w14:paraId="62160C72">
                  <w:pPr>
                    <w:keepNext w:val="0"/>
                    <w:keepLines w:val="0"/>
                    <w:suppressLineNumbers w:val="0"/>
                    <w:snapToGrid w:val="0"/>
                    <w:spacing w:before="0" w:beforeAutospacing="0" w:after="0" w:afterAutospacing="0"/>
                    <w:ind w:left="0" w:right="0"/>
                    <w:jc w:val="center"/>
                    <w:rPr>
                      <w:rFonts w:hint="eastAsia" w:ascii="Times New Roman" w:hAnsi="Times New Roman" w:eastAsia="宋体"/>
                      <w:color w:val="auto"/>
                      <w:lang w:val="en-US" w:eastAsia="zh-CN"/>
                    </w:rPr>
                  </w:pPr>
                  <w:r>
                    <w:rPr>
                      <w:rFonts w:hint="eastAsia"/>
                      <w:color w:val="auto"/>
                      <w:lang w:val="en-US" w:eastAsia="zh-CN"/>
                    </w:rPr>
                    <w:t>新建</w:t>
                  </w:r>
                </w:p>
              </w:tc>
            </w:tr>
            <w:tr w14:paraId="244AE7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372" w:type="pct"/>
                  <w:vMerge w:val="restart"/>
                  <w:vAlign w:val="center"/>
                </w:tcPr>
                <w:p w14:paraId="36AE9341">
                  <w:pPr>
                    <w:pStyle w:val="121"/>
                    <w:keepNext w:val="0"/>
                    <w:keepLines w:val="0"/>
                    <w:suppressLineNumbers w:val="0"/>
                    <w:spacing w:before="0" w:beforeAutospacing="0" w:after="0" w:afterAutospacing="0"/>
                    <w:ind w:left="0" w:right="0" w:firstLine="0" w:firstLineChars="0"/>
                    <w:rPr>
                      <w:rFonts w:hint="default" w:ascii="Times New Roman" w:hAnsi="Times New Roman" w:eastAsia="宋体"/>
                      <w:color w:val="auto"/>
                      <w:sz w:val="21"/>
                      <w:szCs w:val="21"/>
                    </w:rPr>
                  </w:pPr>
                  <w:r>
                    <w:rPr>
                      <w:rFonts w:hint="default" w:ascii="Times New Roman" w:hAnsi="Times New Roman" w:eastAsia="宋体"/>
                      <w:color w:val="auto"/>
                      <w:sz w:val="21"/>
                      <w:szCs w:val="21"/>
                    </w:rPr>
                    <w:t>固体废物</w:t>
                  </w:r>
                </w:p>
              </w:tc>
              <w:tc>
                <w:tcPr>
                  <w:tcW w:w="298" w:type="pct"/>
                  <w:vMerge w:val="restart"/>
                  <w:vAlign w:val="center"/>
                </w:tcPr>
                <w:p w14:paraId="58E204C4">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auto"/>
                    </w:rPr>
                  </w:pPr>
                  <w:r>
                    <w:rPr>
                      <w:rFonts w:hint="default" w:ascii="Times New Roman" w:hAnsi="Times New Roman" w:eastAsia="宋体"/>
                      <w:color w:val="auto"/>
                    </w:rPr>
                    <w:t>施工期</w:t>
                  </w:r>
                </w:p>
              </w:tc>
              <w:tc>
                <w:tcPr>
                  <w:tcW w:w="684" w:type="pct"/>
                  <w:vAlign w:val="center"/>
                </w:tcPr>
                <w:p w14:paraId="0392BE9C">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auto"/>
                    </w:rPr>
                  </w:pPr>
                  <w:r>
                    <w:rPr>
                      <w:rFonts w:hint="eastAsia" w:ascii="Times New Roman" w:hAnsi="Times New Roman" w:eastAsia="宋体"/>
                      <w:color w:val="auto"/>
                    </w:rPr>
                    <w:t>设备安装废物</w:t>
                  </w:r>
                </w:p>
              </w:tc>
              <w:tc>
                <w:tcPr>
                  <w:tcW w:w="2766" w:type="pct"/>
                  <w:vAlign w:val="center"/>
                </w:tcPr>
                <w:p w14:paraId="446D6EB9">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auto"/>
                    </w:rPr>
                  </w:pPr>
                  <w:r>
                    <w:rPr>
                      <w:rFonts w:hint="eastAsia" w:ascii="Times New Roman" w:hAnsi="Times New Roman" w:eastAsia="宋体"/>
                      <w:color w:val="auto"/>
                    </w:rPr>
                    <w:t>可回收利用的外卖给回收站处置，不可利用的及时清运至城建部门指定堆场处置</w:t>
                  </w:r>
                </w:p>
              </w:tc>
              <w:tc>
                <w:tcPr>
                  <w:tcW w:w="584" w:type="pct"/>
                  <w:vAlign w:val="center"/>
                </w:tcPr>
                <w:p w14:paraId="114DDB4C">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auto"/>
                    </w:rPr>
                  </w:pPr>
                  <w:r>
                    <w:rPr>
                      <w:rFonts w:hint="eastAsia" w:ascii="Times New Roman" w:hAnsi="Times New Roman" w:eastAsia="宋体"/>
                      <w:color w:val="auto"/>
                    </w:rPr>
                    <w:t>/</w:t>
                  </w:r>
                </w:p>
              </w:tc>
              <w:tc>
                <w:tcPr>
                  <w:tcW w:w="294" w:type="pct"/>
                  <w:vAlign w:val="center"/>
                </w:tcPr>
                <w:p w14:paraId="0F3F1D05">
                  <w:pPr>
                    <w:keepNext w:val="0"/>
                    <w:keepLines w:val="0"/>
                    <w:suppressLineNumbers w:val="0"/>
                    <w:snapToGrid w:val="0"/>
                    <w:spacing w:before="0" w:beforeAutospacing="0" w:after="0" w:afterAutospacing="0"/>
                    <w:ind w:left="0" w:right="0"/>
                    <w:jc w:val="center"/>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新建</w:t>
                  </w:r>
                </w:p>
              </w:tc>
            </w:tr>
            <w:tr w14:paraId="0ECDB0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372" w:type="pct"/>
                  <w:vMerge w:val="continue"/>
                  <w:vAlign w:val="center"/>
                </w:tcPr>
                <w:p w14:paraId="3AB4D484">
                  <w:pPr>
                    <w:keepNext w:val="0"/>
                    <w:keepLines w:val="0"/>
                    <w:widowControl/>
                    <w:suppressLineNumbers w:val="0"/>
                    <w:spacing w:before="0" w:beforeAutospacing="0" w:after="0" w:afterAutospacing="0"/>
                    <w:ind w:left="0" w:right="0"/>
                    <w:jc w:val="center"/>
                    <w:rPr>
                      <w:rFonts w:hint="default" w:ascii="Times New Roman" w:hAnsi="Times New Roman" w:eastAsia="宋体"/>
                      <w:color w:val="auto"/>
                    </w:rPr>
                  </w:pPr>
                </w:p>
              </w:tc>
              <w:tc>
                <w:tcPr>
                  <w:tcW w:w="298" w:type="pct"/>
                  <w:vMerge w:val="continue"/>
                  <w:vAlign w:val="center"/>
                </w:tcPr>
                <w:p w14:paraId="351D353A">
                  <w:pPr>
                    <w:keepNext w:val="0"/>
                    <w:keepLines w:val="0"/>
                    <w:widowControl/>
                    <w:suppressLineNumbers w:val="0"/>
                    <w:spacing w:before="0" w:beforeAutospacing="0" w:after="0" w:afterAutospacing="0"/>
                    <w:ind w:left="0" w:right="0"/>
                    <w:jc w:val="center"/>
                    <w:rPr>
                      <w:rFonts w:hint="default" w:ascii="Times New Roman" w:hAnsi="Times New Roman" w:eastAsia="宋体"/>
                      <w:color w:val="auto"/>
                    </w:rPr>
                  </w:pPr>
                </w:p>
              </w:tc>
              <w:tc>
                <w:tcPr>
                  <w:tcW w:w="684" w:type="pct"/>
                  <w:vAlign w:val="center"/>
                </w:tcPr>
                <w:p w14:paraId="45484141">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auto"/>
                    </w:rPr>
                  </w:pPr>
                  <w:r>
                    <w:rPr>
                      <w:rFonts w:hint="eastAsia" w:ascii="Times New Roman" w:hAnsi="Times New Roman" w:eastAsia="宋体"/>
                      <w:color w:val="auto"/>
                    </w:rPr>
                    <w:t>生活垃圾</w:t>
                  </w:r>
                </w:p>
              </w:tc>
              <w:tc>
                <w:tcPr>
                  <w:tcW w:w="2766" w:type="pct"/>
                  <w:vAlign w:val="center"/>
                </w:tcPr>
                <w:p w14:paraId="7596D50D">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auto"/>
                    </w:rPr>
                  </w:pPr>
                  <w:r>
                    <w:rPr>
                      <w:rFonts w:hint="default" w:ascii="Times New Roman" w:hAnsi="Times New Roman" w:eastAsia="宋体"/>
                      <w:color w:val="auto"/>
                    </w:rPr>
                    <w:t>交当地环卫部门处置</w:t>
                  </w:r>
                </w:p>
              </w:tc>
              <w:tc>
                <w:tcPr>
                  <w:tcW w:w="584" w:type="pct"/>
                  <w:vAlign w:val="center"/>
                </w:tcPr>
                <w:p w14:paraId="5CFD6918">
                  <w:pPr>
                    <w:keepNext w:val="0"/>
                    <w:keepLines w:val="0"/>
                    <w:widowControl/>
                    <w:suppressLineNumbers w:val="0"/>
                    <w:spacing w:before="0" w:beforeAutospacing="0" w:after="0" w:afterAutospacing="0"/>
                    <w:ind w:left="0" w:right="0"/>
                    <w:jc w:val="center"/>
                    <w:rPr>
                      <w:rFonts w:hint="default" w:ascii="Times New Roman" w:hAnsi="Times New Roman" w:eastAsia="宋体"/>
                      <w:color w:val="auto"/>
                    </w:rPr>
                  </w:pPr>
                  <w:r>
                    <w:rPr>
                      <w:rFonts w:hint="eastAsia" w:ascii="Times New Roman" w:hAnsi="Times New Roman" w:eastAsia="宋体"/>
                      <w:color w:val="auto"/>
                    </w:rPr>
                    <w:t>/</w:t>
                  </w:r>
                </w:p>
              </w:tc>
              <w:tc>
                <w:tcPr>
                  <w:tcW w:w="294" w:type="pct"/>
                  <w:vAlign w:val="center"/>
                </w:tcPr>
                <w:p w14:paraId="0179D2E5">
                  <w:pPr>
                    <w:keepNext w:val="0"/>
                    <w:keepLines w:val="0"/>
                    <w:widowControl/>
                    <w:suppressLineNumbers w:val="0"/>
                    <w:spacing w:before="0" w:beforeAutospacing="0" w:after="0" w:afterAutospacing="0"/>
                    <w:ind w:left="0" w:right="0"/>
                    <w:jc w:val="center"/>
                    <w:rPr>
                      <w:rFonts w:hint="eastAsia" w:ascii="Times New Roman" w:hAnsi="Times New Roman" w:eastAsia="宋体"/>
                      <w:color w:val="auto"/>
                      <w:lang w:val="en-US" w:eastAsia="zh-CN"/>
                    </w:rPr>
                  </w:pPr>
                  <w:r>
                    <w:rPr>
                      <w:rFonts w:hint="eastAsia"/>
                      <w:color w:val="auto"/>
                      <w:lang w:val="en-US" w:eastAsia="zh-CN"/>
                    </w:rPr>
                    <w:t>/</w:t>
                  </w:r>
                </w:p>
              </w:tc>
            </w:tr>
            <w:tr w14:paraId="5B5E20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84" w:hRule="atLeast"/>
              </w:trPr>
              <w:tc>
                <w:tcPr>
                  <w:tcW w:w="372" w:type="pct"/>
                  <w:vMerge w:val="continue"/>
                  <w:vAlign w:val="center"/>
                </w:tcPr>
                <w:p w14:paraId="1A9EA105">
                  <w:pPr>
                    <w:keepNext w:val="0"/>
                    <w:keepLines w:val="0"/>
                    <w:widowControl/>
                    <w:suppressLineNumbers w:val="0"/>
                    <w:spacing w:before="0" w:beforeAutospacing="0" w:after="0" w:afterAutospacing="0"/>
                    <w:ind w:left="0" w:right="0"/>
                    <w:jc w:val="center"/>
                    <w:rPr>
                      <w:rFonts w:hint="default" w:ascii="Times New Roman" w:hAnsi="Times New Roman" w:eastAsia="宋体"/>
                      <w:color w:val="auto"/>
                    </w:rPr>
                  </w:pPr>
                </w:p>
              </w:tc>
              <w:tc>
                <w:tcPr>
                  <w:tcW w:w="298" w:type="pct"/>
                  <w:vMerge w:val="restart"/>
                  <w:vAlign w:val="center"/>
                </w:tcPr>
                <w:p w14:paraId="1267F24B">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auto"/>
                    </w:rPr>
                  </w:pPr>
                  <w:r>
                    <w:rPr>
                      <w:rFonts w:hint="default" w:ascii="Times New Roman" w:hAnsi="Times New Roman" w:eastAsia="宋体"/>
                      <w:color w:val="auto"/>
                    </w:rPr>
                    <w:t>运营期</w:t>
                  </w:r>
                </w:p>
              </w:tc>
              <w:tc>
                <w:tcPr>
                  <w:tcW w:w="684" w:type="pct"/>
                  <w:vAlign w:val="center"/>
                </w:tcPr>
                <w:p w14:paraId="640BF745">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auto"/>
                    </w:rPr>
                  </w:pPr>
                  <w:r>
                    <w:rPr>
                      <w:rFonts w:hint="eastAsia" w:ascii="Times New Roman" w:hAnsi="Times New Roman" w:eastAsia="宋体"/>
                      <w:color w:val="auto"/>
                    </w:rPr>
                    <w:t>一般固废</w:t>
                  </w:r>
                </w:p>
              </w:tc>
              <w:tc>
                <w:tcPr>
                  <w:tcW w:w="4400" w:type="dxa"/>
                  <w:vAlign w:val="center"/>
                </w:tcPr>
                <w:p w14:paraId="36138CBF">
                  <w:pPr>
                    <w:pStyle w:val="98"/>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olor w:val="auto"/>
                      <w:lang w:val="en-US" w:eastAsia="zh-CN"/>
                    </w:rPr>
                  </w:pPr>
                  <w:r>
                    <w:rPr>
                      <w:rFonts w:hint="eastAsia" w:cs="Times New Roman"/>
                      <w:sz w:val="21"/>
                      <w:szCs w:val="21"/>
                      <w:lang w:val="en-US" w:eastAsia="zh-CN"/>
                    </w:rPr>
                    <w:t>新建一个泥饼堆场，位于压滤间1层，面积约75m</w:t>
                  </w:r>
                  <w:r>
                    <w:rPr>
                      <w:rFonts w:hint="eastAsia" w:cs="Times New Roman"/>
                      <w:sz w:val="21"/>
                      <w:szCs w:val="21"/>
                      <w:vertAlign w:val="superscript"/>
                      <w:lang w:val="en-US" w:eastAsia="zh-CN"/>
                    </w:rPr>
                    <w:t>2</w:t>
                  </w:r>
                </w:p>
              </w:tc>
              <w:tc>
                <w:tcPr>
                  <w:tcW w:w="584" w:type="pct"/>
                  <w:vAlign w:val="center"/>
                </w:tcPr>
                <w:p w14:paraId="3D0D8043">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auto"/>
                      <w:lang w:val="en-US" w:eastAsia="zh-CN"/>
                    </w:rPr>
                  </w:pPr>
                  <w:r>
                    <w:rPr>
                      <w:rFonts w:hint="eastAsia"/>
                      <w:color w:val="auto"/>
                      <w:lang w:val="en-US" w:eastAsia="zh-CN"/>
                    </w:rPr>
                    <w:t>0.5</w:t>
                  </w:r>
                </w:p>
              </w:tc>
              <w:tc>
                <w:tcPr>
                  <w:tcW w:w="294" w:type="pct"/>
                  <w:vAlign w:val="center"/>
                </w:tcPr>
                <w:p w14:paraId="2B2598B8">
                  <w:pPr>
                    <w:keepNext w:val="0"/>
                    <w:keepLines w:val="0"/>
                    <w:suppressLineNumbers w:val="0"/>
                    <w:snapToGrid w:val="0"/>
                    <w:spacing w:before="0" w:beforeAutospacing="0" w:after="0" w:afterAutospacing="0"/>
                    <w:ind w:left="0" w:right="0"/>
                    <w:jc w:val="center"/>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新建</w:t>
                  </w:r>
                </w:p>
              </w:tc>
            </w:tr>
            <w:tr w14:paraId="7205D9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60" w:hRule="atLeast"/>
              </w:trPr>
              <w:tc>
                <w:tcPr>
                  <w:tcW w:w="372" w:type="pct"/>
                  <w:vMerge w:val="continue"/>
                  <w:vAlign w:val="center"/>
                </w:tcPr>
                <w:p w14:paraId="2334B54C">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auto"/>
                    </w:rPr>
                  </w:pPr>
                </w:p>
              </w:tc>
              <w:tc>
                <w:tcPr>
                  <w:tcW w:w="298" w:type="pct"/>
                  <w:vMerge w:val="continue"/>
                  <w:vAlign w:val="center"/>
                </w:tcPr>
                <w:p w14:paraId="46E7793D">
                  <w:pPr>
                    <w:keepNext w:val="0"/>
                    <w:keepLines w:val="0"/>
                    <w:suppressLineNumbers w:val="0"/>
                    <w:snapToGrid w:val="0"/>
                    <w:spacing w:before="0" w:beforeAutospacing="0" w:after="0" w:afterAutospacing="0"/>
                    <w:ind w:left="0" w:right="0"/>
                    <w:jc w:val="left"/>
                    <w:rPr>
                      <w:rFonts w:hint="default" w:ascii="Times New Roman" w:hAnsi="Times New Roman" w:eastAsia="宋体"/>
                      <w:color w:val="auto"/>
                    </w:rPr>
                  </w:pPr>
                </w:p>
              </w:tc>
              <w:tc>
                <w:tcPr>
                  <w:tcW w:w="684" w:type="pct"/>
                  <w:vAlign w:val="center"/>
                </w:tcPr>
                <w:p w14:paraId="448F4F79">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auto"/>
                    </w:rPr>
                  </w:pPr>
                  <w:r>
                    <w:rPr>
                      <w:rFonts w:hint="eastAsia" w:ascii="Times New Roman" w:hAnsi="Times New Roman" w:eastAsia="宋体"/>
                      <w:color w:val="auto"/>
                    </w:rPr>
                    <w:t>危险废物</w:t>
                  </w:r>
                </w:p>
              </w:tc>
              <w:tc>
                <w:tcPr>
                  <w:tcW w:w="4400" w:type="dxa"/>
                  <w:vAlign w:val="center"/>
                </w:tcPr>
                <w:p w14:paraId="321BBA2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olor w:val="auto"/>
                    </w:rPr>
                  </w:pPr>
                  <w:r>
                    <w:rPr>
                      <w:rFonts w:hint="eastAsia" w:ascii="Times New Roman" w:hAnsi="Times New Roman" w:eastAsia="宋体" w:cs="Times New Roman"/>
                      <w:sz w:val="21"/>
                      <w:szCs w:val="21"/>
                    </w:rPr>
                    <w:t>新建1个面积为</w:t>
                  </w:r>
                  <w:r>
                    <w:rPr>
                      <w:rFonts w:hint="eastAsia" w:ascii="Times New Roman" w:hAnsi="Times New Roman" w:eastAsia="宋体" w:cs="Times New Roman"/>
                      <w:sz w:val="21"/>
                      <w:szCs w:val="21"/>
                      <w:lang w:val="en-US" w:eastAsia="zh-CN"/>
                    </w:rPr>
                    <w:t>2</w:t>
                  </w:r>
                  <w:r>
                    <w:rPr>
                      <w:rFonts w:hint="eastAsia" w:ascii="Times New Roman" w:hAnsi="Times New Roman" w:eastAsia="宋体" w:cs="Times New Roman"/>
                      <w:sz w:val="21"/>
                      <w:szCs w:val="21"/>
                    </w:rPr>
                    <w:t>m</w:t>
                  </w:r>
                  <w:r>
                    <w:rPr>
                      <w:rFonts w:hint="eastAsia" w:ascii="Times New Roman" w:hAnsi="Times New Roman" w:eastAsia="宋体" w:cs="Times New Roman"/>
                      <w:sz w:val="21"/>
                      <w:szCs w:val="21"/>
                      <w:vertAlign w:val="superscript"/>
                    </w:rPr>
                    <w:t>2</w:t>
                  </w:r>
                  <w:r>
                    <w:rPr>
                      <w:rFonts w:hint="eastAsia" w:ascii="Times New Roman" w:hAnsi="Times New Roman" w:eastAsia="宋体" w:cs="Times New Roman"/>
                      <w:sz w:val="21"/>
                      <w:szCs w:val="21"/>
                    </w:rPr>
                    <w:t>的危废暂存间，位于</w:t>
                  </w:r>
                  <w:r>
                    <w:rPr>
                      <w:rFonts w:hint="eastAsia" w:cs="Times New Roman"/>
                      <w:bCs/>
                      <w:kern w:val="0"/>
                      <w:sz w:val="21"/>
                      <w:szCs w:val="21"/>
                      <w:lang w:val="en-US" w:eastAsia="zh-CN"/>
                    </w:rPr>
                    <w:t>厂区东侧</w:t>
                  </w:r>
                </w:p>
              </w:tc>
              <w:tc>
                <w:tcPr>
                  <w:tcW w:w="584" w:type="pct"/>
                  <w:vAlign w:val="center"/>
                </w:tcPr>
                <w:p w14:paraId="64C892F4">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auto"/>
                      <w:lang w:val="en-US" w:eastAsia="zh-CN"/>
                    </w:rPr>
                  </w:pPr>
                  <w:r>
                    <w:rPr>
                      <w:rFonts w:hint="eastAsia"/>
                      <w:color w:val="auto"/>
                      <w:lang w:val="en-US" w:eastAsia="zh-CN"/>
                    </w:rPr>
                    <w:t>1</w:t>
                  </w:r>
                </w:p>
              </w:tc>
              <w:tc>
                <w:tcPr>
                  <w:tcW w:w="294" w:type="pct"/>
                  <w:vAlign w:val="center"/>
                </w:tcPr>
                <w:p w14:paraId="5C587EFE">
                  <w:pPr>
                    <w:keepNext w:val="0"/>
                    <w:keepLines w:val="0"/>
                    <w:suppressLineNumbers w:val="0"/>
                    <w:snapToGrid w:val="0"/>
                    <w:spacing w:before="0" w:beforeAutospacing="0" w:after="0" w:afterAutospacing="0"/>
                    <w:ind w:left="0" w:right="0"/>
                    <w:jc w:val="center"/>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依托</w:t>
                  </w:r>
                </w:p>
              </w:tc>
            </w:tr>
            <w:tr w14:paraId="68B412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trPr>
              <w:tc>
                <w:tcPr>
                  <w:tcW w:w="372" w:type="pct"/>
                  <w:vMerge w:val="restart"/>
                  <w:vAlign w:val="center"/>
                </w:tcPr>
                <w:p w14:paraId="5C68F5F0">
                  <w:pPr>
                    <w:pStyle w:val="121"/>
                    <w:keepNext w:val="0"/>
                    <w:keepLines w:val="0"/>
                    <w:suppressLineNumbers w:val="0"/>
                    <w:spacing w:before="0" w:beforeAutospacing="0" w:after="0" w:afterAutospacing="0"/>
                    <w:ind w:left="0" w:right="0" w:firstLine="0" w:firstLineChars="0"/>
                    <w:rPr>
                      <w:rFonts w:hint="default" w:ascii="Times New Roman" w:hAnsi="Times New Roman" w:eastAsia="宋体"/>
                      <w:color w:val="auto"/>
                      <w:sz w:val="21"/>
                      <w:szCs w:val="21"/>
                    </w:rPr>
                  </w:pPr>
                  <w:r>
                    <w:rPr>
                      <w:rFonts w:hint="default" w:ascii="Times New Roman" w:hAnsi="Times New Roman" w:eastAsia="宋体"/>
                      <w:color w:val="auto"/>
                      <w:sz w:val="21"/>
                      <w:szCs w:val="21"/>
                    </w:rPr>
                    <w:t>噪声</w:t>
                  </w:r>
                </w:p>
              </w:tc>
              <w:tc>
                <w:tcPr>
                  <w:tcW w:w="298" w:type="pct"/>
                  <w:vAlign w:val="center"/>
                </w:tcPr>
                <w:p w14:paraId="465B4321">
                  <w:pPr>
                    <w:pStyle w:val="121"/>
                    <w:keepNext w:val="0"/>
                    <w:keepLines w:val="0"/>
                    <w:suppressLineNumbers w:val="0"/>
                    <w:spacing w:before="0" w:beforeAutospacing="0" w:after="0" w:afterAutospacing="0"/>
                    <w:ind w:left="0" w:right="0" w:firstLine="0" w:firstLineChars="0"/>
                    <w:rPr>
                      <w:rFonts w:hint="default" w:ascii="Times New Roman" w:hAnsi="Times New Roman" w:eastAsia="宋体"/>
                      <w:color w:val="auto"/>
                      <w:sz w:val="21"/>
                      <w:szCs w:val="21"/>
                    </w:rPr>
                  </w:pPr>
                  <w:r>
                    <w:rPr>
                      <w:rFonts w:hint="default" w:ascii="Times New Roman" w:hAnsi="Times New Roman" w:eastAsia="宋体"/>
                      <w:color w:val="auto"/>
                      <w:sz w:val="21"/>
                      <w:szCs w:val="21"/>
                    </w:rPr>
                    <w:t>施工期</w:t>
                  </w:r>
                </w:p>
              </w:tc>
              <w:tc>
                <w:tcPr>
                  <w:tcW w:w="684" w:type="pct"/>
                  <w:vAlign w:val="center"/>
                </w:tcPr>
                <w:p w14:paraId="2477C945">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auto"/>
                    </w:rPr>
                  </w:pPr>
                  <w:r>
                    <w:rPr>
                      <w:rFonts w:hint="eastAsia" w:ascii="Times New Roman" w:hAnsi="Times New Roman" w:eastAsia="宋体"/>
                      <w:color w:val="auto"/>
                    </w:rPr>
                    <w:t>设备安装</w:t>
                  </w:r>
                </w:p>
              </w:tc>
              <w:tc>
                <w:tcPr>
                  <w:tcW w:w="2766" w:type="pct"/>
                  <w:vAlign w:val="center"/>
                </w:tcPr>
                <w:p w14:paraId="62FC851C">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auto"/>
                    </w:rPr>
                  </w:pPr>
                  <w:r>
                    <w:rPr>
                      <w:rFonts w:hint="default" w:ascii="Times New Roman" w:hAnsi="Times New Roman" w:eastAsia="宋体"/>
                      <w:color w:val="auto"/>
                    </w:rPr>
                    <w:t>加强设备安装过程管理</w:t>
                  </w:r>
                  <w:r>
                    <w:rPr>
                      <w:rFonts w:hint="eastAsia" w:ascii="Times New Roman" w:hAnsi="Times New Roman" w:eastAsia="宋体"/>
                      <w:color w:val="auto"/>
                    </w:rPr>
                    <w:t>，文明施工。</w:t>
                  </w:r>
                  <w:r>
                    <w:rPr>
                      <w:rFonts w:hint="default" w:ascii="Times New Roman" w:hAnsi="Times New Roman" w:eastAsia="宋体"/>
                      <w:color w:val="auto"/>
                    </w:rPr>
                    <w:t>合理安排施工时间，车辆进场要求专人指挥</w:t>
                  </w:r>
                </w:p>
              </w:tc>
              <w:tc>
                <w:tcPr>
                  <w:tcW w:w="584" w:type="pct"/>
                  <w:vMerge w:val="restart"/>
                  <w:vAlign w:val="center"/>
                </w:tcPr>
                <w:p w14:paraId="624E1FB3">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auto"/>
                    </w:rPr>
                  </w:pPr>
                  <w:r>
                    <w:rPr>
                      <w:rFonts w:hint="eastAsia" w:ascii="Times New Roman" w:hAnsi="Times New Roman" w:eastAsia="宋体"/>
                      <w:color w:val="auto"/>
                    </w:rPr>
                    <w:t>纳入主体工程建设</w:t>
                  </w:r>
                </w:p>
              </w:tc>
              <w:tc>
                <w:tcPr>
                  <w:tcW w:w="294" w:type="pct"/>
                  <w:vAlign w:val="center"/>
                </w:tcPr>
                <w:p w14:paraId="4D619543">
                  <w:pPr>
                    <w:keepNext w:val="0"/>
                    <w:keepLines w:val="0"/>
                    <w:suppressLineNumbers w:val="0"/>
                    <w:snapToGrid w:val="0"/>
                    <w:spacing w:before="0" w:beforeAutospacing="0" w:after="0" w:afterAutospacing="0"/>
                    <w:ind w:left="0" w:right="0"/>
                    <w:jc w:val="center"/>
                    <w:rPr>
                      <w:rFonts w:hint="eastAsia" w:ascii="Times New Roman" w:hAnsi="Times New Roman" w:eastAsia="宋体"/>
                      <w:color w:val="auto"/>
                    </w:rPr>
                  </w:pPr>
                  <w:r>
                    <w:rPr>
                      <w:rFonts w:hint="eastAsia" w:ascii="Times New Roman" w:hAnsi="Times New Roman" w:eastAsia="宋体"/>
                      <w:color w:val="auto"/>
                      <w:lang w:val="en-US" w:eastAsia="zh-CN"/>
                    </w:rPr>
                    <w:t>新建</w:t>
                  </w:r>
                </w:p>
              </w:tc>
            </w:tr>
            <w:tr w14:paraId="410E0D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846" w:hRule="atLeast"/>
              </w:trPr>
              <w:tc>
                <w:tcPr>
                  <w:tcW w:w="372" w:type="pct"/>
                  <w:vMerge w:val="continue"/>
                  <w:vAlign w:val="center"/>
                </w:tcPr>
                <w:p w14:paraId="59BB46C9">
                  <w:pPr>
                    <w:keepNext w:val="0"/>
                    <w:keepLines w:val="0"/>
                    <w:widowControl/>
                    <w:suppressLineNumbers w:val="0"/>
                    <w:spacing w:before="0" w:beforeAutospacing="0" w:after="0" w:afterAutospacing="0"/>
                    <w:ind w:left="0" w:right="0"/>
                    <w:jc w:val="center"/>
                    <w:rPr>
                      <w:rFonts w:hint="default" w:ascii="Times New Roman" w:hAnsi="Times New Roman" w:eastAsia="宋体"/>
                      <w:color w:val="auto"/>
                    </w:rPr>
                  </w:pPr>
                </w:p>
              </w:tc>
              <w:tc>
                <w:tcPr>
                  <w:tcW w:w="298" w:type="pct"/>
                  <w:vAlign w:val="center"/>
                </w:tcPr>
                <w:p w14:paraId="7DBEFF0B">
                  <w:pPr>
                    <w:pStyle w:val="121"/>
                    <w:keepNext w:val="0"/>
                    <w:keepLines w:val="0"/>
                    <w:suppressLineNumbers w:val="0"/>
                    <w:spacing w:before="0" w:beforeAutospacing="0" w:after="0" w:afterAutospacing="0"/>
                    <w:ind w:left="0" w:right="0" w:firstLine="0" w:firstLineChars="0"/>
                    <w:rPr>
                      <w:rFonts w:hint="default" w:ascii="Times New Roman" w:hAnsi="Times New Roman" w:eastAsia="宋体"/>
                      <w:color w:val="auto"/>
                      <w:sz w:val="21"/>
                      <w:szCs w:val="21"/>
                    </w:rPr>
                  </w:pPr>
                  <w:r>
                    <w:rPr>
                      <w:rFonts w:hint="default" w:ascii="Times New Roman" w:hAnsi="Times New Roman" w:eastAsia="宋体"/>
                      <w:color w:val="auto"/>
                      <w:sz w:val="21"/>
                      <w:szCs w:val="21"/>
                    </w:rPr>
                    <w:t>运营期</w:t>
                  </w:r>
                </w:p>
              </w:tc>
              <w:tc>
                <w:tcPr>
                  <w:tcW w:w="684" w:type="pct"/>
                  <w:vAlign w:val="center"/>
                </w:tcPr>
                <w:p w14:paraId="279713A3">
                  <w:pPr>
                    <w:pStyle w:val="121"/>
                    <w:keepNext w:val="0"/>
                    <w:keepLines w:val="0"/>
                    <w:suppressLineNumbers w:val="0"/>
                    <w:spacing w:before="0" w:beforeAutospacing="0" w:after="0" w:afterAutospacing="0"/>
                    <w:ind w:left="0" w:right="0" w:firstLine="0" w:firstLineChars="0"/>
                    <w:rPr>
                      <w:rFonts w:hint="default" w:ascii="Times New Roman" w:hAnsi="Times New Roman" w:eastAsia="宋体"/>
                      <w:color w:val="auto"/>
                      <w:sz w:val="21"/>
                      <w:szCs w:val="21"/>
                    </w:rPr>
                  </w:pPr>
                  <w:r>
                    <w:rPr>
                      <w:rFonts w:hint="default" w:ascii="Times New Roman" w:hAnsi="Times New Roman" w:eastAsia="宋体"/>
                      <w:color w:val="auto"/>
                      <w:sz w:val="21"/>
                      <w:szCs w:val="21"/>
                    </w:rPr>
                    <w:t>机械设备</w:t>
                  </w:r>
                </w:p>
              </w:tc>
              <w:tc>
                <w:tcPr>
                  <w:tcW w:w="2766" w:type="pct"/>
                  <w:vAlign w:val="center"/>
                </w:tcPr>
                <w:p w14:paraId="39535762">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auto"/>
                    </w:rPr>
                  </w:pPr>
                  <w:r>
                    <w:rPr>
                      <w:rFonts w:hint="eastAsia"/>
                      <w:color w:val="auto"/>
                      <w:lang w:val="en-US" w:eastAsia="zh-CN"/>
                    </w:rPr>
                    <w:t>合理安排生产时间，</w:t>
                  </w:r>
                  <w:r>
                    <w:rPr>
                      <w:rFonts w:hint="default" w:ascii="Times New Roman" w:hAnsi="Times New Roman" w:eastAsia="宋体"/>
                      <w:color w:val="auto"/>
                    </w:rPr>
                    <w:t>对生产车间厂房实行全封闭，同时在钢架棚厂房内安装吸声板材</w:t>
                  </w:r>
                  <w:r>
                    <w:rPr>
                      <w:rFonts w:hint="eastAsia"/>
                      <w:color w:val="auto"/>
                      <w:lang w:eastAsia="zh-CN"/>
                    </w:rPr>
                    <w:t>，</w:t>
                  </w:r>
                  <w:r>
                    <w:rPr>
                      <w:rFonts w:hint="default" w:ascii="Times New Roman" w:hAnsi="Times New Roman" w:eastAsia="宋体"/>
                      <w:color w:val="auto"/>
                    </w:rPr>
                    <w:t>合理平面布置、采用低噪声设备，加装</w:t>
                  </w:r>
                  <w:r>
                    <w:rPr>
                      <w:rFonts w:hint="eastAsia"/>
                      <w:color w:val="auto"/>
                      <w:lang w:eastAsia="zh-CN"/>
                    </w:rPr>
                    <w:t>减振</w:t>
                  </w:r>
                  <w:r>
                    <w:rPr>
                      <w:rFonts w:hint="default" w:ascii="Times New Roman" w:hAnsi="Times New Roman" w:eastAsia="宋体"/>
                      <w:color w:val="auto"/>
                    </w:rPr>
                    <w:t>垫，高噪声设备下沉</w:t>
                  </w:r>
                  <w:r>
                    <w:rPr>
                      <w:rFonts w:hint="eastAsia"/>
                      <w:color w:val="auto"/>
                      <w:lang w:val="en-US" w:eastAsia="zh-CN"/>
                    </w:rPr>
                    <w:t>或</w:t>
                  </w:r>
                  <w:r>
                    <w:rPr>
                      <w:rFonts w:hint="default" w:ascii="Times New Roman" w:hAnsi="Times New Roman" w:eastAsia="宋体"/>
                      <w:color w:val="auto"/>
                    </w:rPr>
                    <w:t>密闭设置</w:t>
                  </w:r>
                  <w:r>
                    <w:rPr>
                      <w:rFonts w:hint="eastAsia"/>
                      <w:color w:val="auto"/>
                      <w:lang w:eastAsia="zh-CN"/>
                    </w:rPr>
                    <w:t>，</w:t>
                  </w:r>
                  <w:r>
                    <w:rPr>
                      <w:rFonts w:hint="default" w:ascii="Times New Roman" w:hAnsi="Times New Roman" w:eastAsia="宋体"/>
                      <w:color w:val="auto"/>
                    </w:rPr>
                    <w:t>运输车辆限速行驶、禁鸣等措施</w:t>
                  </w:r>
                </w:p>
              </w:tc>
              <w:tc>
                <w:tcPr>
                  <w:tcW w:w="584" w:type="pct"/>
                  <w:vMerge w:val="continue"/>
                  <w:vAlign w:val="center"/>
                </w:tcPr>
                <w:p w14:paraId="705D4EE1">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auto"/>
                    </w:rPr>
                  </w:pPr>
                </w:p>
              </w:tc>
              <w:tc>
                <w:tcPr>
                  <w:tcW w:w="294" w:type="pct"/>
                  <w:vAlign w:val="center"/>
                </w:tcPr>
                <w:p w14:paraId="253F5670">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auto"/>
                    </w:rPr>
                  </w:pPr>
                  <w:r>
                    <w:rPr>
                      <w:rFonts w:hint="eastAsia" w:ascii="Times New Roman" w:hAnsi="Times New Roman" w:eastAsia="宋体"/>
                      <w:color w:val="auto"/>
                      <w:lang w:val="en-US" w:eastAsia="zh-CN"/>
                    </w:rPr>
                    <w:t>新建</w:t>
                  </w:r>
                </w:p>
              </w:tc>
            </w:tr>
            <w:tr w14:paraId="575C23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372" w:type="pct"/>
                  <w:vAlign w:val="center"/>
                </w:tcPr>
                <w:p w14:paraId="117A50E2">
                  <w:pPr>
                    <w:pStyle w:val="121"/>
                    <w:keepNext w:val="0"/>
                    <w:keepLines w:val="0"/>
                    <w:suppressLineNumbers w:val="0"/>
                    <w:spacing w:before="0" w:beforeAutospacing="0" w:after="0" w:afterAutospacing="0"/>
                    <w:ind w:left="0" w:right="0" w:firstLine="0" w:firstLineChars="0"/>
                    <w:rPr>
                      <w:rFonts w:hint="default" w:ascii="Times New Roman" w:hAnsi="Times New Roman" w:eastAsia="宋体"/>
                      <w:color w:val="auto"/>
                      <w:sz w:val="21"/>
                      <w:szCs w:val="21"/>
                    </w:rPr>
                  </w:pPr>
                  <w:r>
                    <w:rPr>
                      <w:rFonts w:hint="eastAsia" w:ascii="Times New Roman" w:hAnsi="Times New Roman" w:eastAsia="宋体"/>
                      <w:color w:val="auto"/>
                      <w:sz w:val="21"/>
                      <w:szCs w:val="21"/>
                    </w:rPr>
                    <w:t>土壤、地下水</w:t>
                  </w:r>
                </w:p>
              </w:tc>
              <w:tc>
                <w:tcPr>
                  <w:tcW w:w="982" w:type="pct"/>
                  <w:gridSpan w:val="2"/>
                  <w:vAlign w:val="center"/>
                </w:tcPr>
                <w:p w14:paraId="5A06089A">
                  <w:pPr>
                    <w:pStyle w:val="121"/>
                    <w:keepNext w:val="0"/>
                    <w:keepLines w:val="0"/>
                    <w:suppressLineNumbers w:val="0"/>
                    <w:spacing w:before="0" w:beforeAutospacing="0" w:after="0" w:afterAutospacing="0"/>
                    <w:ind w:left="0" w:right="0" w:firstLine="0" w:firstLineChars="0"/>
                    <w:rPr>
                      <w:rFonts w:hint="default" w:ascii="Times New Roman" w:hAnsi="Times New Roman" w:eastAsia="宋体"/>
                      <w:color w:val="auto"/>
                      <w:sz w:val="21"/>
                      <w:szCs w:val="21"/>
                    </w:rPr>
                  </w:pPr>
                  <w:r>
                    <w:rPr>
                      <w:rFonts w:hint="eastAsia" w:ascii="Times New Roman" w:hAnsi="Times New Roman" w:eastAsia="宋体"/>
                      <w:color w:val="auto"/>
                      <w:sz w:val="21"/>
                      <w:szCs w:val="21"/>
                    </w:rPr>
                    <w:t>分区防渗</w:t>
                  </w:r>
                </w:p>
              </w:tc>
              <w:tc>
                <w:tcPr>
                  <w:tcW w:w="2766" w:type="pct"/>
                  <w:vAlign w:val="center"/>
                </w:tcPr>
                <w:p w14:paraId="08954D90">
                  <w:pPr>
                    <w:pStyle w:val="68"/>
                    <w:keepNext w:val="0"/>
                    <w:keepLines w:val="0"/>
                    <w:suppressLineNumbers w:val="0"/>
                    <w:adjustRightInd/>
                    <w:snapToGrid w:val="0"/>
                    <w:spacing w:before="0" w:beforeAutospacing="0" w:after="0" w:afterAutospacing="0" w:line="240" w:lineRule="auto"/>
                    <w:ind w:left="0" w:right="0" w:firstLine="0" w:firstLineChars="0"/>
                    <w:jc w:val="left"/>
                    <w:rPr>
                      <w:rFonts w:hint="eastAsia" w:ascii="Times New Roman" w:hAnsi="Times New Roman" w:eastAsia="宋体" w:cs="宋体"/>
                      <w:color w:val="auto"/>
                      <w:kern w:val="2"/>
                      <w:sz w:val="21"/>
                      <w:szCs w:val="21"/>
                    </w:rPr>
                  </w:pPr>
                  <w:r>
                    <w:rPr>
                      <w:rFonts w:hint="eastAsia" w:ascii="Times New Roman" w:hAnsi="Times New Roman" w:eastAsia="宋体" w:cs="宋体"/>
                      <w:color w:val="auto"/>
                      <w:kern w:val="2"/>
                      <w:sz w:val="21"/>
                      <w:szCs w:val="21"/>
                    </w:rPr>
                    <w:t>①重点防渗</w:t>
                  </w:r>
                </w:p>
                <w:p w14:paraId="09D6DFFE">
                  <w:pPr>
                    <w:pStyle w:val="68"/>
                    <w:keepNext w:val="0"/>
                    <w:keepLines w:val="0"/>
                    <w:suppressLineNumbers w:val="0"/>
                    <w:adjustRightInd/>
                    <w:snapToGrid w:val="0"/>
                    <w:spacing w:before="0" w:beforeAutospacing="0" w:after="0" w:afterAutospacing="0" w:line="240" w:lineRule="auto"/>
                    <w:ind w:left="0" w:right="0" w:firstLine="0" w:firstLineChars="0"/>
                    <w:jc w:val="left"/>
                    <w:rPr>
                      <w:rFonts w:hint="eastAsia" w:ascii="Times New Roman" w:hAnsi="Times New Roman" w:eastAsia="宋体" w:cs="宋体"/>
                      <w:color w:val="auto"/>
                      <w:kern w:val="2"/>
                      <w:sz w:val="21"/>
                      <w:szCs w:val="21"/>
                    </w:rPr>
                  </w:pPr>
                  <w:r>
                    <w:rPr>
                      <w:rFonts w:hint="eastAsia" w:ascii="Times New Roman" w:hAnsi="Times New Roman" w:eastAsia="宋体" w:cs="宋体"/>
                      <w:color w:val="auto"/>
                      <w:kern w:val="2"/>
                      <w:sz w:val="21"/>
                      <w:szCs w:val="21"/>
                    </w:rPr>
                    <w:t>危废间地面采取抗渗混凝土垫层+2mm厚环氧树脂+防渗托盘，同时配置空的收集桶</w:t>
                  </w:r>
                </w:p>
                <w:p w14:paraId="73352EFF">
                  <w:pPr>
                    <w:pStyle w:val="68"/>
                    <w:keepNext w:val="0"/>
                    <w:keepLines w:val="0"/>
                    <w:suppressLineNumbers w:val="0"/>
                    <w:adjustRightInd/>
                    <w:snapToGrid w:val="0"/>
                    <w:spacing w:before="0" w:beforeAutospacing="0" w:after="0" w:afterAutospacing="0" w:line="240" w:lineRule="auto"/>
                    <w:ind w:left="0" w:right="0" w:firstLine="0" w:firstLineChars="0"/>
                    <w:jc w:val="left"/>
                    <w:rPr>
                      <w:rFonts w:hint="eastAsia" w:ascii="Times New Roman" w:hAnsi="Times New Roman" w:eastAsia="宋体" w:cs="宋体"/>
                      <w:color w:val="auto"/>
                      <w:kern w:val="2"/>
                      <w:sz w:val="21"/>
                      <w:szCs w:val="21"/>
                    </w:rPr>
                  </w:pPr>
                  <w:r>
                    <w:rPr>
                      <w:rFonts w:hint="eastAsia" w:ascii="Times New Roman" w:hAnsi="Times New Roman" w:eastAsia="宋体" w:cs="宋体"/>
                      <w:color w:val="auto"/>
                      <w:kern w:val="2"/>
                      <w:sz w:val="21"/>
                      <w:szCs w:val="21"/>
                    </w:rPr>
                    <w:t>②一般防渗区防渗</w:t>
                  </w:r>
                </w:p>
                <w:p w14:paraId="266E0E50">
                  <w:pPr>
                    <w:pStyle w:val="68"/>
                    <w:keepNext w:val="0"/>
                    <w:keepLines w:val="0"/>
                    <w:suppressLineNumbers w:val="0"/>
                    <w:adjustRightInd/>
                    <w:snapToGrid w:val="0"/>
                    <w:spacing w:before="0" w:beforeAutospacing="0" w:after="0" w:afterAutospacing="0" w:line="240" w:lineRule="auto"/>
                    <w:ind w:left="0" w:right="0" w:firstLine="0" w:firstLineChars="0"/>
                    <w:jc w:val="left"/>
                    <w:rPr>
                      <w:rFonts w:hint="eastAsia" w:ascii="Times New Roman" w:hAnsi="Times New Roman" w:eastAsia="宋体" w:cs="宋体"/>
                      <w:color w:val="auto"/>
                      <w:kern w:val="2"/>
                      <w:sz w:val="21"/>
                      <w:szCs w:val="21"/>
                    </w:rPr>
                  </w:pPr>
                  <w:r>
                    <w:rPr>
                      <w:rFonts w:hint="eastAsia" w:ascii="Times New Roman" w:hAnsi="Times New Roman" w:eastAsia="宋体" w:cs="宋体"/>
                      <w:color w:val="auto"/>
                      <w:kern w:val="2"/>
                      <w:sz w:val="21"/>
                      <w:szCs w:val="21"/>
                      <w:lang w:val="en-US" w:eastAsia="zh-CN"/>
                    </w:rPr>
                    <w:t>废水收集池、</w:t>
                  </w:r>
                  <w:r>
                    <w:rPr>
                      <w:rFonts w:hint="eastAsia" w:cs="宋体"/>
                      <w:color w:val="auto"/>
                      <w:kern w:val="2"/>
                      <w:sz w:val="21"/>
                      <w:szCs w:val="21"/>
                      <w:lang w:val="en-US" w:eastAsia="zh-CN"/>
                    </w:rPr>
                    <w:t>沉砂池</w:t>
                  </w:r>
                  <w:r>
                    <w:rPr>
                      <w:rFonts w:hint="eastAsia" w:ascii="Times New Roman" w:hAnsi="Times New Roman" w:eastAsia="宋体" w:cs="宋体"/>
                      <w:color w:val="auto"/>
                      <w:kern w:val="2"/>
                      <w:sz w:val="21"/>
                      <w:szCs w:val="21"/>
                      <w:lang w:val="en-US" w:eastAsia="zh-CN"/>
                    </w:rPr>
                    <w:t>、循环水池</w:t>
                  </w:r>
                  <w:r>
                    <w:rPr>
                      <w:rFonts w:hint="eastAsia" w:ascii="Times New Roman" w:hAnsi="Times New Roman" w:eastAsia="宋体" w:cs="宋体"/>
                      <w:color w:val="auto"/>
                      <w:kern w:val="2"/>
                      <w:sz w:val="21"/>
                      <w:szCs w:val="21"/>
                    </w:rPr>
                    <w:t>和预处理池池体采用抗渗混凝土</w:t>
                  </w:r>
                  <w:r>
                    <w:rPr>
                      <w:rFonts w:hint="eastAsia" w:ascii="Times New Roman" w:hAnsi="Times New Roman" w:eastAsia="宋体" w:cs="宋体"/>
                      <w:color w:val="auto"/>
                      <w:kern w:val="2"/>
                      <w:sz w:val="21"/>
                      <w:szCs w:val="21"/>
                      <w:lang w:val="en-US" w:eastAsia="zh-CN"/>
                    </w:rPr>
                    <w:t>构筑</w:t>
                  </w:r>
                  <w:r>
                    <w:rPr>
                      <w:rFonts w:hint="eastAsia" w:ascii="Times New Roman" w:hAnsi="Times New Roman" w:eastAsia="宋体" w:cs="宋体"/>
                      <w:color w:val="auto"/>
                      <w:kern w:val="2"/>
                      <w:sz w:val="21"/>
                      <w:szCs w:val="21"/>
                      <w:lang w:eastAsia="zh-CN"/>
                    </w:rPr>
                    <w:t>；</w:t>
                  </w:r>
                </w:p>
                <w:p w14:paraId="6E3BC6B4">
                  <w:pPr>
                    <w:pStyle w:val="68"/>
                    <w:keepNext w:val="0"/>
                    <w:keepLines w:val="0"/>
                    <w:suppressLineNumbers w:val="0"/>
                    <w:adjustRightInd/>
                    <w:snapToGrid w:val="0"/>
                    <w:spacing w:before="0" w:beforeAutospacing="0" w:after="0" w:afterAutospacing="0" w:line="240" w:lineRule="auto"/>
                    <w:ind w:left="0" w:right="0" w:firstLine="0" w:firstLineChars="0"/>
                    <w:jc w:val="left"/>
                    <w:rPr>
                      <w:rFonts w:hint="eastAsia" w:ascii="Times New Roman" w:hAnsi="Times New Roman" w:eastAsia="宋体" w:cs="宋体"/>
                      <w:color w:val="auto"/>
                      <w:kern w:val="2"/>
                      <w:sz w:val="21"/>
                      <w:szCs w:val="21"/>
                    </w:rPr>
                  </w:pPr>
                  <w:r>
                    <w:rPr>
                      <w:rFonts w:hint="eastAsia" w:ascii="Times New Roman" w:hAnsi="Times New Roman" w:eastAsia="宋体" w:cs="宋体"/>
                      <w:color w:val="auto"/>
                      <w:kern w:val="2"/>
                      <w:sz w:val="21"/>
                      <w:szCs w:val="21"/>
                    </w:rPr>
                    <w:t>③简单防渗区</w:t>
                  </w:r>
                </w:p>
                <w:p w14:paraId="58BFBDDB">
                  <w:pPr>
                    <w:pStyle w:val="68"/>
                    <w:keepNext w:val="0"/>
                    <w:keepLines w:val="0"/>
                    <w:suppressLineNumbers w:val="0"/>
                    <w:adjustRightInd/>
                    <w:snapToGrid w:val="0"/>
                    <w:spacing w:before="0" w:beforeAutospacing="0" w:after="0" w:afterAutospacing="0" w:line="240" w:lineRule="auto"/>
                    <w:ind w:left="0" w:right="0" w:firstLine="0" w:firstLineChars="0"/>
                    <w:jc w:val="left"/>
                    <w:rPr>
                      <w:rFonts w:hint="default" w:ascii="Times New Roman" w:hAnsi="Times New Roman" w:eastAsia="宋体"/>
                      <w:color w:val="auto"/>
                    </w:rPr>
                  </w:pPr>
                  <w:r>
                    <w:rPr>
                      <w:rFonts w:hint="eastAsia" w:ascii="Times New Roman" w:hAnsi="Times New Roman" w:eastAsia="宋体" w:cs="宋体"/>
                      <w:color w:val="auto"/>
                      <w:kern w:val="2"/>
                      <w:sz w:val="21"/>
                      <w:szCs w:val="21"/>
                      <w:lang w:val="en-US" w:eastAsia="zh-CN"/>
                    </w:rPr>
                    <w:t>除重点防渗区和一般防渗区以外区域采用混凝土硬化</w:t>
                  </w:r>
                </w:p>
              </w:tc>
              <w:tc>
                <w:tcPr>
                  <w:tcW w:w="584" w:type="pct"/>
                  <w:vAlign w:val="center"/>
                </w:tcPr>
                <w:p w14:paraId="6FED0C8B">
                  <w:pPr>
                    <w:keepNext w:val="0"/>
                    <w:keepLines w:val="0"/>
                    <w:suppressLineNumbers w:val="0"/>
                    <w:snapToGrid w:val="0"/>
                    <w:spacing w:before="0" w:beforeAutospacing="0" w:after="0" w:afterAutospacing="0"/>
                    <w:ind w:left="0" w:right="0"/>
                    <w:jc w:val="center"/>
                    <w:rPr>
                      <w:rFonts w:hint="eastAsia" w:ascii="Times New Roman" w:hAnsi="Times New Roman" w:eastAsia="宋体"/>
                      <w:color w:val="auto"/>
                      <w:lang w:eastAsia="zh-CN"/>
                    </w:rPr>
                  </w:pPr>
                  <w:r>
                    <w:rPr>
                      <w:rFonts w:hint="eastAsia"/>
                      <w:color w:val="auto"/>
                      <w:lang w:val="en-US" w:eastAsia="zh-CN"/>
                    </w:rPr>
                    <w:t>5</w:t>
                  </w:r>
                </w:p>
              </w:tc>
              <w:tc>
                <w:tcPr>
                  <w:tcW w:w="294" w:type="pct"/>
                  <w:vAlign w:val="center"/>
                </w:tcPr>
                <w:p w14:paraId="3FAC41B8">
                  <w:pPr>
                    <w:keepNext w:val="0"/>
                    <w:keepLines w:val="0"/>
                    <w:suppressLineNumbers w:val="0"/>
                    <w:snapToGrid w:val="0"/>
                    <w:spacing w:before="0" w:beforeAutospacing="0" w:after="0" w:afterAutospacing="0"/>
                    <w:ind w:left="0" w:right="0"/>
                    <w:jc w:val="center"/>
                    <w:rPr>
                      <w:rFonts w:hint="eastAsia" w:ascii="Times New Roman" w:hAnsi="Times New Roman" w:eastAsia="宋体"/>
                      <w:color w:val="auto"/>
                    </w:rPr>
                  </w:pPr>
                  <w:r>
                    <w:rPr>
                      <w:rFonts w:hint="eastAsia"/>
                      <w:color w:val="auto"/>
                      <w:lang w:val="en-US" w:eastAsia="zh-CN"/>
                    </w:rPr>
                    <w:t>新建</w:t>
                  </w:r>
                </w:p>
              </w:tc>
            </w:tr>
            <w:tr w14:paraId="2A5854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25" w:hRule="atLeast"/>
              </w:trPr>
              <w:tc>
                <w:tcPr>
                  <w:tcW w:w="372" w:type="pct"/>
                  <w:vAlign w:val="center"/>
                </w:tcPr>
                <w:p w14:paraId="0A8A01A0">
                  <w:pPr>
                    <w:pStyle w:val="1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olor w:val="auto"/>
                      <w:sz w:val="21"/>
                      <w:szCs w:val="21"/>
                    </w:rPr>
                  </w:pPr>
                  <w:r>
                    <w:rPr>
                      <w:rFonts w:hint="eastAsia" w:ascii="Times New Roman" w:hAnsi="Times New Roman" w:eastAsia="宋体"/>
                      <w:color w:val="auto"/>
                      <w:sz w:val="21"/>
                      <w:szCs w:val="21"/>
                    </w:rPr>
                    <w:t>环境风险防范措施</w:t>
                  </w:r>
                </w:p>
              </w:tc>
              <w:tc>
                <w:tcPr>
                  <w:tcW w:w="3748" w:type="pct"/>
                  <w:gridSpan w:val="3"/>
                  <w:vAlign w:val="center"/>
                </w:tcPr>
                <w:p w14:paraId="6DADA437">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auto"/>
                    </w:rPr>
                  </w:pPr>
                  <w:r>
                    <w:rPr>
                      <w:rFonts w:hint="eastAsia" w:ascii="Times New Roman" w:hAnsi="Times New Roman" w:eastAsia="宋体"/>
                      <w:color w:val="auto"/>
                    </w:rPr>
                    <w:t>修订</w:t>
                  </w:r>
                  <w:r>
                    <w:rPr>
                      <w:rFonts w:hint="default" w:ascii="Times New Roman" w:hAnsi="Times New Roman" w:eastAsia="宋体"/>
                      <w:color w:val="auto"/>
                    </w:rPr>
                    <w:t>突发环境事件应急预案，并根据应急预案要求</w:t>
                  </w:r>
                  <w:r>
                    <w:rPr>
                      <w:rFonts w:hint="eastAsia" w:ascii="Times New Roman" w:hAnsi="Times New Roman" w:eastAsia="宋体"/>
                      <w:color w:val="auto"/>
                    </w:rPr>
                    <w:t>补充</w:t>
                  </w:r>
                  <w:r>
                    <w:rPr>
                      <w:rFonts w:hint="default" w:ascii="Times New Roman" w:hAnsi="Times New Roman" w:eastAsia="宋体"/>
                      <w:color w:val="auto"/>
                    </w:rPr>
                    <w:t>一定数量各类应急物资和完善其他风险防控措施</w:t>
                  </w:r>
                </w:p>
              </w:tc>
              <w:tc>
                <w:tcPr>
                  <w:tcW w:w="584" w:type="pct"/>
                  <w:vAlign w:val="center"/>
                </w:tcPr>
                <w:p w14:paraId="251B59BA">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auto"/>
                    </w:rPr>
                  </w:pPr>
                  <w:r>
                    <w:rPr>
                      <w:rFonts w:hint="eastAsia" w:ascii="Times New Roman" w:hAnsi="Times New Roman" w:eastAsia="宋体"/>
                      <w:color w:val="auto"/>
                    </w:rPr>
                    <w:t>3</w:t>
                  </w:r>
                </w:p>
              </w:tc>
              <w:tc>
                <w:tcPr>
                  <w:tcW w:w="294" w:type="pct"/>
                  <w:vAlign w:val="center"/>
                </w:tcPr>
                <w:p w14:paraId="4BBED168">
                  <w:pPr>
                    <w:keepNext w:val="0"/>
                    <w:keepLines w:val="0"/>
                    <w:suppressLineNumbers w:val="0"/>
                    <w:snapToGrid w:val="0"/>
                    <w:spacing w:before="0" w:beforeAutospacing="0" w:after="0" w:afterAutospacing="0"/>
                    <w:ind w:left="0" w:right="0"/>
                    <w:jc w:val="center"/>
                    <w:rPr>
                      <w:rFonts w:hint="eastAsia" w:ascii="Times New Roman" w:hAnsi="Times New Roman" w:eastAsia="宋体"/>
                      <w:color w:val="auto"/>
                    </w:rPr>
                  </w:pPr>
                  <w:r>
                    <w:rPr>
                      <w:rFonts w:hint="eastAsia" w:ascii="Times New Roman" w:hAnsi="Times New Roman" w:eastAsia="宋体"/>
                      <w:color w:val="auto"/>
                      <w:lang w:val="en-US" w:eastAsia="zh-CN"/>
                    </w:rPr>
                    <w:t>新建</w:t>
                  </w:r>
                </w:p>
              </w:tc>
            </w:tr>
            <w:tr w14:paraId="3E4B19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4121" w:type="pct"/>
                  <w:gridSpan w:val="4"/>
                  <w:vAlign w:val="center"/>
                </w:tcPr>
                <w:p w14:paraId="5E528E94">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auto"/>
                    </w:rPr>
                  </w:pPr>
                  <w:r>
                    <w:rPr>
                      <w:rFonts w:hint="eastAsia" w:ascii="Times New Roman" w:hAnsi="Times New Roman" w:eastAsia="宋体"/>
                      <w:color w:val="auto"/>
                      <w:szCs w:val="21"/>
                    </w:rPr>
                    <w:t>环保总投资</w:t>
                  </w:r>
                  <w:r>
                    <w:rPr>
                      <w:rFonts w:hint="default" w:ascii="Times New Roman" w:hAnsi="Times New Roman" w:eastAsia="宋体"/>
                      <w:color w:val="auto"/>
                      <w:szCs w:val="21"/>
                    </w:rPr>
                    <w:t>合计</w:t>
                  </w:r>
                </w:p>
              </w:tc>
              <w:tc>
                <w:tcPr>
                  <w:tcW w:w="584" w:type="pct"/>
                  <w:vAlign w:val="center"/>
                </w:tcPr>
                <w:p w14:paraId="6F659234">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auto"/>
                    </w:rPr>
                  </w:pPr>
                  <w:r>
                    <w:rPr>
                      <w:rFonts w:hint="eastAsia" w:ascii="Times New Roman" w:hAnsi="Times New Roman" w:eastAsia="宋体"/>
                      <w:color w:val="auto"/>
                      <w:lang w:val="en-US" w:eastAsia="zh-CN"/>
                    </w:rPr>
                    <w:t>3</w:t>
                  </w:r>
                  <w:r>
                    <w:rPr>
                      <w:rFonts w:hint="eastAsia"/>
                      <w:color w:val="auto"/>
                      <w:lang w:val="en-US" w:eastAsia="zh-CN"/>
                    </w:rPr>
                    <w:t>3</w:t>
                  </w:r>
                  <w:r>
                    <w:rPr>
                      <w:rFonts w:hint="eastAsia" w:ascii="Times New Roman" w:hAnsi="Times New Roman" w:eastAsia="宋体"/>
                      <w:color w:val="auto"/>
                    </w:rPr>
                    <w:t>.5</w:t>
                  </w:r>
                </w:p>
              </w:tc>
              <w:tc>
                <w:tcPr>
                  <w:tcW w:w="294" w:type="pct"/>
                  <w:vAlign w:val="center"/>
                </w:tcPr>
                <w:p w14:paraId="29EA086F">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w:t>
                  </w:r>
                </w:p>
              </w:tc>
            </w:tr>
          </w:tbl>
          <w:p w14:paraId="7696B6FE">
            <w:pPr>
              <w:pStyle w:val="48"/>
              <w:keepNext w:val="0"/>
              <w:keepLines w:val="0"/>
              <w:suppressLineNumbers w:val="0"/>
              <w:spacing w:before="0" w:beforeAutospacing="0" w:after="0" w:afterAutospacing="0"/>
              <w:ind w:left="0" w:right="0" w:firstLine="0"/>
              <w:rPr>
                <w:rFonts w:hint="eastAsia" w:ascii="Times New Roman" w:hAnsi="Times New Roman" w:eastAsia="宋体" w:cs="Times New Roman"/>
                <w:szCs w:val="20"/>
              </w:rPr>
            </w:pPr>
          </w:p>
        </w:tc>
      </w:tr>
    </w:tbl>
    <w:p w14:paraId="39AFD39D">
      <w:pPr>
        <w:pStyle w:val="6"/>
        <w:tabs>
          <w:tab w:val="left" w:pos="3990"/>
        </w:tabs>
        <w:rPr>
          <w:rFonts w:ascii="Times New Roman" w:hAnsi="Times New Roman" w:eastAsia="宋体"/>
          <w:color w:val="auto"/>
        </w:rPr>
      </w:pPr>
      <w:bookmarkStart w:id="8" w:name="_Toc14124"/>
      <w:r>
        <w:rPr>
          <w:rFonts w:hint="eastAsia" w:ascii="Times New Roman" w:hAnsi="Times New Roman" w:eastAsia="宋体"/>
          <w:color w:val="auto"/>
        </w:rPr>
        <w:t>五、</w:t>
      </w:r>
      <w:bookmarkStart w:id="9" w:name="_Hlk54167917"/>
      <w:r>
        <w:rPr>
          <w:rFonts w:hint="eastAsia" w:ascii="Times New Roman" w:hAnsi="Times New Roman" w:eastAsia="宋体"/>
          <w:color w:val="auto"/>
        </w:rPr>
        <w:t>环境保护措施监督检查清单</w:t>
      </w:r>
      <w:bookmarkEnd w:id="8"/>
      <w:bookmarkEnd w:id="9"/>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82"/>
        <w:gridCol w:w="1375"/>
        <w:gridCol w:w="1463"/>
        <w:gridCol w:w="2086"/>
        <w:gridCol w:w="2394"/>
      </w:tblGrid>
      <w:tr w14:paraId="2CD485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82" w:type="dxa"/>
            <w:tcBorders>
              <w:tl2br w:val="single" w:color="auto" w:sz="4" w:space="0"/>
            </w:tcBorders>
            <w:noWrap w:val="0"/>
            <w:vAlign w:val="top"/>
          </w:tcPr>
          <w:p w14:paraId="54389482">
            <w:pPr>
              <w:keepNext w:val="0"/>
              <w:keepLines w:val="0"/>
              <w:suppressLineNumbers w:val="0"/>
              <w:adjustRightInd w:val="0"/>
              <w:snapToGrid w:val="0"/>
              <w:spacing w:before="0" w:beforeAutospacing="0" w:after="0" w:afterAutospacing="0"/>
              <w:ind w:left="0" w:right="0" w:firstLine="84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内容</w:t>
            </w:r>
          </w:p>
          <w:p w14:paraId="774E8060">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要素</w:t>
            </w:r>
          </w:p>
        </w:tc>
        <w:tc>
          <w:tcPr>
            <w:tcW w:w="1375" w:type="dxa"/>
            <w:noWrap w:val="0"/>
            <w:vAlign w:val="center"/>
          </w:tcPr>
          <w:p w14:paraId="4307D52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排放口</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编号、名称</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/污染源</w:t>
            </w:r>
          </w:p>
        </w:tc>
        <w:tc>
          <w:tcPr>
            <w:tcW w:w="1463" w:type="dxa"/>
            <w:noWrap w:val="0"/>
            <w:vAlign w:val="center"/>
          </w:tcPr>
          <w:p w14:paraId="4A24854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污染物项目</w:t>
            </w:r>
          </w:p>
        </w:tc>
        <w:tc>
          <w:tcPr>
            <w:tcW w:w="2086" w:type="dxa"/>
            <w:noWrap w:val="0"/>
            <w:vAlign w:val="center"/>
          </w:tcPr>
          <w:p w14:paraId="0B7AFAF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环境保护措施</w:t>
            </w:r>
          </w:p>
        </w:tc>
        <w:tc>
          <w:tcPr>
            <w:tcW w:w="2394" w:type="dxa"/>
            <w:noWrap w:val="0"/>
            <w:vAlign w:val="center"/>
          </w:tcPr>
          <w:p w14:paraId="588D3BD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执行标准</w:t>
            </w:r>
          </w:p>
        </w:tc>
      </w:tr>
      <w:tr w14:paraId="4757A2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0" w:hRule="atLeast"/>
          <w:jc w:val="center"/>
        </w:trPr>
        <w:tc>
          <w:tcPr>
            <w:tcW w:w="1482" w:type="dxa"/>
            <w:noWrap w:val="0"/>
            <w:vAlign w:val="center"/>
          </w:tcPr>
          <w:p w14:paraId="531123D1">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sz w:val="24"/>
                <w:szCs w:val="24"/>
              </w:rPr>
            </w:pPr>
            <w:r>
              <w:rPr>
                <w:rFonts w:hint="eastAsia" w:ascii="Times New Roman" w:hAnsi="Times New Roman" w:eastAsia="宋体" w:cs="宋体"/>
                <w:sz w:val="24"/>
                <w:szCs w:val="24"/>
              </w:rPr>
              <w:t>大气环境</w:t>
            </w:r>
          </w:p>
        </w:tc>
        <w:tc>
          <w:tcPr>
            <w:tcW w:w="1375" w:type="dxa"/>
            <w:noWrap w:val="0"/>
            <w:vAlign w:val="center"/>
          </w:tcPr>
          <w:p w14:paraId="71E1128A">
            <w:pPr>
              <w:pStyle w:val="32"/>
              <w:keepNext w:val="0"/>
              <w:keepLines w:val="0"/>
              <w:suppressLineNumbers w:val="0"/>
              <w:spacing w:before="0" w:beforeAutospacing="0" w:afterAutospacing="0"/>
              <w:ind w:left="0" w:leftChars="0" w:right="0" w:rightChars="0" w:firstLine="0" w:firstLineChars="0"/>
              <w:jc w:val="center"/>
              <w:rPr>
                <w:rFonts w:hint="default" w:ascii="Times New Roman" w:hAnsi="Times New Roman" w:eastAsia="宋体" w:cs="Times New Roman"/>
                <w:sz w:val="24"/>
                <w:szCs w:val="24"/>
                <w:lang w:val="en-US" w:eastAsia="zh-CN"/>
              </w:rPr>
            </w:pPr>
            <w:r>
              <w:rPr>
                <w:rFonts w:hint="eastAsia" w:cs="Times New Roman"/>
                <w:sz w:val="24"/>
                <w:szCs w:val="24"/>
                <w:lang w:val="en-US" w:eastAsia="zh-CN"/>
              </w:rPr>
              <w:t>无组织排放</w:t>
            </w:r>
          </w:p>
        </w:tc>
        <w:tc>
          <w:tcPr>
            <w:tcW w:w="1463" w:type="dxa"/>
            <w:noWrap w:val="0"/>
            <w:vAlign w:val="center"/>
          </w:tcPr>
          <w:p w14:paraId="16AC1076">
            <w:pPr>
              <w:keepNext w:val="0"/>
              <w:keepLines w:val="0"/>
              <w:suppressLineNumbers w:val="0"/>
              <w:spacing w:before="0" w:beforeAutospacing="0" w:after="0" w:afterAutospacing="0" w:line="280" w:lineRule="exact"/>
              <w:ind w:left="-108" w:leftChars="0" w:right="-102" w:rightChars="0"/>
              <w:jc w:val="center"/>
              <w:rPr>
                <w:rFonts w:hint="default" w:ascii="Times New Roman" w:hAnsi="Times New Roman" w:eastAsia="宋体" w:cs="Times New Roman"/>
                <w:sz w:val="24"/>
                <w:szCs w:val="24"/>
                <w:lang w:val="en-US" w:eastAsia="zh-CN"/>
              </w:rPr>
            </w:pPr>
            <w:r>
              <w:rPr>
                <w:rFonts w:hint="eastAsia" w:cs="Times New Roman"/>
                <w:sz w:val="24"/>
                <w:szCs w:val="24"/>
                <w:lang w:val="en-US" w:eastAsia="zh-CN"/>
              </w:rPr>
              <w:t>颗粒物</w:t>
            </w:r>
          </w:p>
        </w:tc>
        <w:tc>
          <w:tcPr>
            <w:tcW w:w="2086" w:type="dxa"/>
            <w:noWrap w:val="0"/>
            <w:vAlign w:val="center"/>
          </w:tcPr>
          <w:p w14:paraId="723057BB">
            <w:pPr>
              <w:keepNext w:val="0"/>
              <w:keepLines w:val="0"/>
              <w:suppressLineNumbers w:val="0"/>
              <w:spacing w:before="0" w:beforeAutospacing="0" w:after="0" w:afterAutospacing="0" w:line="280" w:lineRule="exact"/>
              <w:ind w:left="0" w:leftChars="0" w:right="0" w:rightChars="0"/>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color w:val="auto"/>
                <w:sz w:val="24"/>
                <w:szCs w:val="24"/>
              </w:rPr>
              <w:t>项目堆场设三面围挡及</w:t>
            </w:r>
            <w:r>
              <w:rPr>
                <w:rFonts w:hint="eastAsia" w:asciiTheme="minorEastAsia" w:hAnsiTheme="minorEastAsia" w:eastAsiaTheme="minorEastAsia" w:cstheme="minorEastAsia"/>
                <w:color w:val="auto"/>
                <w:sz w:val="24"/>
                <w:szCs w:val="24"/>
                <w:lang w:eastAsia="zh-CN"/>
              </w:rPr>
              <w:t>铺设防尘网</w:t>
            </w:r>
            <w:r>
              <w:rPr>
                <w:rFonts w:hint="eastAsia" w:asciiTheme="minorEastAsia" w:hAnsiTheme="minorEastAsia" w:eastAsiaTheme="minorEastAsia" w:cstheme="minorEastAsia"/>
                <w:color w:val="auto"/>
                <w:sz w:val="24"/>
                <w:szCs w:val="24"/>
              </w:rPr>
              <w:t>，堆场内设置喷淋控尘装置，在干燥天气增加对堆场洒水频次，保证物料堆面层湿润，同时在物料表面敷设防尘网，减少风力起尘；装卸作业过程中加强管理，尽量减小装卸落差距离</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生产过程在</w:t>
            </w:r>
            <w:r>
              <w:rPr>
                <w:rFonts w:hint="eastAsia" w:asciiTheme="minorEastAsia" w:hAnsiTheme="minorEastAsia" w:eastAsiaTheme="minorEastAsia" w:cstheme="minorEastAsia"/>
                <w:color w:val="auto"/>
                <w:sz w:val="24"/>
                <w:szCs w:val="24"/>
                <w:lang w:eastAsia="zh-CN"/>
              </w:rPr>
              <w:t>封闭的厂房中进行，</w:t>
            </w:r>
            <w:r>
              <w:rPr>
                <w:rFonts w:hint="eastAsia" w:asciiTheme="minorEastAsia" w:hAnsiTheme="minorEastAsia" w:eastAsiaTheme="minorEastAsia" w:cstheme="minorEastAsia"/>
                <w:color w:val="auto"/>
                <w:sz w:val="24"/>
                <w:szCs w:val="24"/>
                <w:lang w:val="en-US" w:eastAsia="zh-CN"/>
              </w:rPr>
              <w:t>采取湿料加工，产尘区域设置喷淋降尘装置</w:t>
            </w:r>
            <w:r>
              <w:rPr>
                <w:rFonts w:hint="eastAsia" w:asciiTheme="minorEastAsia" w:hAnsiTheme="minorEastAsia" w:eastAsiaTheme="minorEastAsia" w:cstheme="minorEastAsia"/>
                <w:color w:val="auto"/>
                <w:sz w:val="24"/>
                <w:szCs w:val="24"/>
                <w:lang w:eastAsia="zh-CN"/>
              </w:rPr>
              <w:t>。对运输货车采取加盖篷布密闭，出厂货车清洗轮胎，货车禁止超载，防止物料散落；在厂内运输路段，要求运输车辆减速慢行；厂区地面定期清扫，保持地面清洁，并采取勤洒水等措施，降低运输车辆扬尘产生量。</w:t>
            </w:r>
          </w:p>
        </w:tc>
        <w:tc>
          <w:tcPr>
            <w:tcW w:w="2394" w:type="dxa"/>
            <w:noWrap w:val="0"/>
            <w:vAlign w:val="center"/>
          </w:tcPr>
          <w:p w14:paraId="5CDA6B6D">
            <w:pPr>
              <w:keepNext w:val="0"/>
              <w:keepLines w:val="0"/>
              <w:widowControl/>
              <w:suppressLineNumbers w:val="0"/>
              <w:spacing w:before="0" w:beforeAutospacing="0" w:after="0" w:afterAutospacing="0" w:line="280" w:lineRule="exact"/>
              <w:ind w:left="0" w:leftChars="0" w:right="0" w:rightChars="0"/>
              <w:jc w:val="center"/>
              <w:rPr>
                <w:rFonts w:hint="default" w:ascii="Times New Roman" w:hAnsi="Times New Roman" w:eastAsia="宋体" w:cs="Times New Roman"/>
                <w:sz w:val="24"/>
                <w:szCs w:val="24"/>
              </w:rPr>
            </w:pPr>
            <w:r>
              <w:rPr>
                <w:rFonts w:hint="eastAsia" w:ascii="Times New Roman" w:hAnsi="Times New Roman" w:eastAsia="宋体" w:cs="Times New Roman"/>
                <w:kern w:val="21"/>
                <w:sz w:val="24"/>
                <w:szCs w:val="24"/>
              </w:rPr>
              <w:t>执行《大气污染物综合排放标准》（GB16297-1996）</w:t>
            </w:r>
          </w:p>
        </w:tc>
      </w:tr>
      <w:tr w14:paraId="29D263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482" w:type="dxa"/>
            <w:vMerge w:val="restart"/>
            <w:noWrap w:val="0"/>
            <w:vAlign w:val="center"/>
          </w:tcPr>
          <w:p w14:paraId="6D9E6CC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地表水环境</w:t>
            </w:r>
          </w:p>
        </w:tc>
        <w:tc>
          <w:tcPr>
            <w:tcW w:w="1375" w:type="dxa"/>
            <w:vMerge w:val="restart"/>
            <w:noWrap w:val="0"/>
            <w:vAlign w:val="center"/>
          </w:tcPr>
          <w:p w14:paraId="41E9F301">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z w:val="24"/>
                <w:szCs w:val="24"/>
                <w:lang w:eastAsia="zh-CN"/>
              </w:rPr>
            </w:pPr>
            <w:r>
              <w:rPr>
                <w:rFonts w:hint="eastAsia" w:cs="Times New Roman"/>
                <w:sz w:val="24"/>
                <w:szCs w:val="24"/>
                <w:lang w:val="en-US" w:eastAsia="zh-CN"/>
              </w:rPr>
              <w:t>生活污水</w:t>
            </w:r>
          </w:p>
        </w:tc>
        <w:tc>
          <w:tcPr>
            <w:tcW w:w="1463" w:type="dxa"/>
            <w:noWrap w:val="0"/>
            <w:vAlign w:val="center"/>
          </w:tcPr>
          <w:p w14:paraId="749032E0">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 w:val="24"/>
                <w:szCs w:val="24"/>
                <w:lang w:val="en-US" w:eastAsia="zh-CN"/>
              </w:rPr>
            </w:pPr>
            <w:r>
              <w:rPr>
                <w:rFonts w:hint="eastAsia"/>
                <w:sz w:val="24"/>
              </w:rPr>
              <w:t>pH、COD</w:t>
            </w:r>
            <w:r>
              <w:rPr>
                <w:rFonts w:hint="eastAsia"/>
                <w:sz w:val="24"/>
                <w:vertAlign w:val="subscript"/>
              </w:rPr>
              <w:t>Cr</w:t>
            </w:r>
            <w:r>
              <w:rPr>
                <w:rFonts w:hint="eastAsia"/>
                <w:sz w:val="24"/>
              </w:rPr>
              <w:t>、SS、BOD</w:t>
            </w:r>
            <w:r>
              <w:rPr>
                <w:rFonts w:hint="eastAsia"/>
                <w:sz w:val="24"/>
                <w:vertAlign w:val="subscript"/>
              </w:rPr>
              <w:t>5</w:t>
            </w:r>
          </w:p>
        </w:tc>
        <w:tc>
          <w:tcPr>
            <w:tcW w:w="2086" w:type="dxa"/>
            <w:vMerge w:val="restart"/>
            <w:noWrap w:val="0"/>
            <w:vAlign w:val="center"/>
          </w:tcPr>
          <w:p w14:paraId="0663ED07">
            <w:pPr>
              <w:keepNext w:val="0"/>
              <w:keepLines w:val="0"/>
              <w:suppressLineNumbers w:val="0"/>
              <w:spacing w:before="0" w:beforeAutospacing="0" w:after="0" w:afterAutospacing="0" w:line="280" w:lineRule="exact"/>
              <w:ind w:left="0" w:right="0"/>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Cs/>
                <w:color w:val="auto"/>
                <w:sz w:val="24"/>
                <w:szCs w:val="24"/>
                <w:lang w:val="en-US" w:eastAsia="zh-CN"/>
              </w:rPr>
              <w:t>预处理池处理后定期由槽罐车转运至邻水县大步口污水处理站进一步处理</w:t>
            </w:r>
          </w:p>
        </w:tc>
        <w:tc>
          <w:tcPr>
            <w:tcW w:w="2394" w:type="dxa"/>
            <w:noWrap w:val="0"/>
            <w:vAlign w:val="center"/>
          </w:tcPr>
          <w:p w14:paraId="5F54D9CA">
            <w:pPr>
              <w:keepNext w:val="0"/>
              <w:keepLines w:val="0"/>
              <w:suppressLineNumbers w:val="0"/>
              <w:adjustRightInd w:val="0"/>
              <w:snapToGrid w:val="0"/>
              <w:spacing w:before="0" w:beforeAutospacing="0" w:after="0" w:afterAutospacing="0"/>
              <w:ind w:left="0" w:right="0"/>
              <w:jc w:val="center"/>
              <w:rPr>
                <w:rFonts w:hint="eastAsia" w:cs="Times New Roman"/>
                <w:sz w:val="24"/>
                <w:szCs w:val="24"/>
                <w:lang w:val="en-US" w:eastAsia="zh-CN"/>
              </w:rPr>
            </w:pPr>
            <w:r>
              <w:rPr>
                <w:rFonts w:hint="eastAsia"/>
                <w:kern w:val="21"/>
                <w:sz w:val="24"/>
              </w:rPr>
              <w:t>《污水综合排放标准》（GB8978-1996）表4中的三级标准限值</w:t>
            </w:r>
          </w:p>
        </w:tc>
      </w:tr>
      <w:tr w14:paraId="3C93A1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482" w:type="dxa"/>
            <w:vMerge w:val="continue"/>
            <w:noWrap w:val="0"/>
            <w:vAlign w:val="center"/>
          </w:tcPr>
          <w:p w14:paraId="29E77BBA">
            <w:pPr>
              <w:keepNext w:val="0"/>
              <w:keepLines w:val="0"/>
              <w:suppressLineNumbers w:val="0"/>
              <w:spacing w:before="0" w:beforeAutospacing="0" w:after="0" w:afterAutospacing="0" w:line="280" w:lineRule="exact"/>
              <w:ind w:left="0" w:right="0"/>
              <w:jc w:val="center"/>
              <w:rPr>
                <w:rFonts w:hint="default"/>
              </w:rPr>
            </w:pPr>
          </w:p>
        </w:tc>
        <w:tc>
          <w:tcPr>
            <w:tcW w:w="1375" w:type="dxa"/>
            <w:vMerge w:val="continue"/>
            <w:noWrap w:val="0"/>
            <w:vAlign w:val="center"/>
          </w:tcPr>
          <w:p w14:paraId="47760943">
            <w:pPr>
              <w:keepNext w:val="0"/>
              <w:keepLines w:val="0"/>
              <w:suppressLineNumbers w:val="0"/>
              <w:spacing w:before="0" w:beforeAutospacing="0" w:after="0" w:afterAutospacing="0" w:line="280" w:lineRule="exact"/>
              <w:ind w:left="0" w:right="0"/>
              <w:jc w:val="center"/>
              <w:rPr>
                <w:rFonts w:hint="default"/>
              </w:rPr>
            </w:pPr>
          </w:p>
        </w:tc>
        <w:tc>
          <w:tcPr>
            <w:tcW w:w="1463" w:type="dxa"/>
            <w:noWrap w:val="0"/>
            <w:vAlign w:val="center"/>
          </w:tcPr>
          <w:p w14:paraId="2878C646">
            <w:pPr>
              <w:keepNext w:val="0"/>
              <w:keepLines w:val="0"/>
              <w:suppressLineNumbers w:val="0"/>
              <w:snapToGrid w:val="0"/>
              <w:spacing w:before="0" w:beforeAutospacing="0" w:after="0" w:afterAutospacing="0"/>
              <w:ind w:left="0" w:right="0"/>
              <w:jc w:val="center"/>
              <w:rPr>
                <w:rFonts w:hint="default"/>
                <w:sz w:val="24"/>
              </w:rPr>
            </w:pPr>
            <w:r>
              <w:rPr>
                <w:rFonts w:hint="eastAsia"/>
                <w:sz w:val="24"/>
              </w:rPr>
              <w:t>NH</w:t>
            </w:r>
            <w:r>
              <w:rPr>
                <w:rFonts w:hint="eastAsia"/>
                <w:sz w:val="24"/>
                <w:vertAlign w:val="subscript"/>
              </w:rPr>
              <w:t>3</w:t>
            </w:r>
            <w:r>
              <w:rPr>
                <w:rFonts w:hint="eastAsia"/>
                <w:sz w:val="24"/>
              </w:rPr>
              <w:t>-N、</w:t>
            </w:r>
          </w:p>
          <w:p w14:paraId="38BFE4E6">
            <w:pPr>
              <w:keepNext w:val="0"/>
              <w:keepLines w:val="0"/>
              <w:suppressLineNumbers w:val="0"/>
              <w:snapToGrid w:val="0"/>
              <w:spacing w:before="0" w:beforeAutospacing="0" w:after="0" w:afterAutospacing="0"/>
              <w:ind w:left="0" w:right="0"/>
              <w:jc w:val="center"/>
              <w:rPr>
                <w:rFonts w:hint="default"/>
              </w:rPr>
            </w:pPr>
            <w:r>
              <w:rPr>
                <w:rFonts w:hint="eastAsia"/>
                <w:sz w:val="24"/>
              </w:rPr>
              <w:t>TP</w:t>
            </w:r>
          </w:p>
        </w:tc>
        <w:tc>
          <w:tcPr>
            <w:tcW w:w="2086" w:type="dxa"/>
            <w:vMerge w:val="continue"/>
            <w:noWrap w:val="0"/>
            <w:vAlign w:val="center"/>
          </w:tcPr>
          <w:p w14:paraId="7FAAD1BC">
            <w:pPr>
              <w:keepNext w:val="0"/>
              <w:keepLines w:val="0"/>
              <w:suppressLineNumbers w:val="0"/>
              <w:spacing w:before="0" w:beforeAutospacing="0" w:after="0" w:afterAutospacing="0" w:line="280" w:lineRule="exact"/>
              <w:ind w:left="0" w:right="0"/>
              <w:jc w:val="center"/>
              <w:rPr>
                <w:rFonts w:hint="default"/>
              </w:rPr>
            </w:pPr>
          </w:p>
        </w:tc>
        <w:tc>
          <w:tcPr>
            <w:tcW w:w="2394" w:type="dxa"/>
            <w:noWrap w:val="0"/>
            <w:vAlign w:val="center"/>
          </w:tcPr>
          <w:p w14:paraId="3B695FB6">
            <w:pPr>
              <w:keepNext w:val="0"/>
              <w:keepLines w:val="0"/>
              <w:suppressLineNumbers w:val="0"/>
              <w:adjustRightInd w:val="0"/>
              <w:snapToGrid w:val="0"/>
              <w:spacing w:before="0" w:beforeAutospacing="0" w:after="0" w:afterAutospacing="0"/>
              <w:ind w:left="0" w:right="0"/>
              <w:jc w:val="center"/>
              <w:rPr>
                <w:rFonts w:hint="eastAsia" w:cs="Times New Roman"/>
                <w:sz w:val="24"/>
                <w:szCs w:val="24"/>
                <w:lang w:val="en-US" w:eastAsia="zh-CN"/>
              </w:rPr>
            </w:pPr>
            <w:r>
              <w:rPr>
                <w:rFonts w:hint="eastAsia"/>
                <w:kern w:val="21"/>
                <w:sz w:val="24"/>
              </w:rPr>
              <w:t>《污水排入城镇下水道水质标准》（GB/T 31962-2015）中B级标准）</w:t>
            </w:r>
          </w:p>
        </w:tc>
      </w:tr>
      <w:tr w14:paraId="7FA8F5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82" w:hRule="atLeast"/>
          <w:jc w:val="center"/>
        </w:trPr>
        <w:tc>
          <w:tcPr>
            <w:tcW w:w="1482" w:type="dxa"/>
            <w:vMerge w:val="continue"/>
            <w:noWrap w:val="0"/>
            <w:vAlign w:val="center"/>
          </w:tcPr>
          <w:p w14:paraId="1BEF6E85">
            <w:pPr>
              <w:keepNext w:val="0"/>
              <w:keepLines w:val="0"/>
              <w:suppressLineNumbers w:val="0"/>
              <w:adjustRightInd w:val="0"/>
              <w:snapToGrid w:val="0"/>
              <w:spacing w:before="0" w:beforeAutospacing="0" w:after="0" w:afterAutospacing="0"/>
              <w:ind w:left="0" w:right="0"/>
              <w:jc w:val="center"/>
              <w:rPr>
                <w:rFonts w:hint="default"/>
              </w:rPr>
            </w:pPr>
          </w:p>
        </w:tc>
        <w:tc>
          <w:tcPr>
            <w:tcW w:w="1375" w:type="dxa"/>
            <w:noWrap w:val="0"/>
            <w:vAlign w:val="center"/>
          </w:tcPr>
          <w:p w14:paraId="607BA92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szCs w:val="24"/>
                <w:lang w:val="en-US" w:eastAsia="zh-CN"/>
              </w:rPr>
            </w:pPr>
            <w:r>
              <w:rPr>
                <w:rFonts w:hint="eastAsia" w:cs="Times New Roman"/>
                <w:sz w:val="24"/>
                <w:szCs w:val="24"/>
                <w:lang w:val="en-US" w:eastAsia="zh-CN"/>
              </w:rPr>
              <w:t>生产废水</w:t>
            </w:r>
          </w:p>
        </w:tc>
        <w:tc>
          <w:tcPr>
            <w:tcW w:w="1463" w:type="dxa"/>
            <w:vMerge w:val="restart"/>
            <w:noWrap w:val="0"/>
            <w:vAlign w:val="center"/>
          </w:tcPr>
          <w:p w14:paraId="5B88B3D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szCs w:val="24"/>
                <w:lang w:val="en-US" w:eastAsia="zh-CN"/>
              </w:rPr>
            </w:pPr>
            <w:r>
              <w:rPr>
                <w:rFonts w:hint="eastAsia" w:cs="Times New Roman"/>
                <w:sz w:val="24"/>
                <w:szCs w:val="24"/>
                <w:lang w:val="en-US" w:eastAsia="zh-CN"/>
              </w:rPr>
              <w:t>SS、石油类</w:t>
            </w:r>
          </w:p>
        </w:tc>
        <w:tc>
          <w:tcPr>
            <w:tcW w:w="2086" w:type="dxa"/>
            <w:vMerge w:val="restart"/>
            <w:noWrap w:val="0"/>
            <w:vAlign w:val="center"/>
          </w:tcPr>
          <w:p w14:paraId="503638D5">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z w:val="24"/>
                <w:szCs w:val="24"/>
              </w:rPr>
            </w:pPr>
            <w:r>
              <w:rPr>
                <w:rFonts w:hint="eastAsia" w:asciiTheme="minorEastAsia" w:hAnsiTheme="minorEastAsia" w:eastAsiaTheme="minorEastAsia" w:cstheme="minorEastAsia"/>
                <w:bCs/>
                <w:color w:val="auto"/>
                <w:sz w:val="24"/>
                <w:szCs w:val="24"/>
                <w:lang w:val="en-US" w:eastAsia="zh-CN"/>
              </w:rPr>
              <w:t>洗砂废水、车辆冲洗废水、降尘废水及初期雨水收集后经一套废水处理系统（设计处理能力150m</w:t>
            </w:r>
            <w:r>
              <w:rPr>
                <w:rFonts w:hint="eastAsia" w:asciiTheme="minorEastAsia" w:hAnsiTheme="minorEastAsia" w:eastAsiaTheme="minorEastAsia" w:cstheme="minorEastAsia"/>
                <w:bCs/>
                <w:color w:val="auto"/>
                <w:sz w:val="24"/>
                <w:szCs w:val="24"/>
                <w:vertAlign w:val="superscript"/>
                <w:lang w:val="en-US" w:eastAsia="zh-CN"/>
              </w:rPr>
              <w:t>3</w:t>
            </w:r>
            <w:r>
              <w:rPr>
                <w:rFonts w:hint="eastAsia" w:asciiTheme="minorEastAsia" w:hAnsiTheme="minorEastAsia" w:eastAsiaTheme="minorEastAsia" w:cstheme="minorEastAsia"/>
                <w:bCs/>
                <w:color w:val="auto"/>
                <w:sz w:val="24"/>
                <w:szCs w:val="24"/>
                <w:lang w:val="en-US" w:eastAsia="zh-CN"/>
              </w:rPr>
              <w:t>/d，处理工艺为絮凝沉淀+压滤）处理后回用于洗砂工序</w:t>
            </w:r>
          </w:p>
        </w:tc>
        <w:tc>
          <w:tcPr>
            <w:tcW w:w="2394" w:type="dxa"/>
            <w:vMerge w:val="restart"/>
            <w:noWrap w:val="0"/>
            <w:vAlign w:val="center"/>
          </w:tcPr>
          <w:p w14:paraId="03E3AC4E">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z w:val="24"/>
                <w:szCs w:val="24"/>
              </w:rPr>
            </w:pPr>
            <w:r>
              <w:rPr>
                <w:rFonts w:hint="eastAsia" w:cs="Times New Roman"/>
                <w:sz w:val="24"/>
                <w:szCs w:val="24"/>
                <w:lang w:val="en-US" w:eastAsia="zh-CN"/>
              </w:rPr>
              <w:t>不外排</w:t>
            </w:r>
          </w:p>
        </w:tc>
      </w:tr>
      <w:tr w14:paraId="087673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482" w:type="dxa"/>
            <w:vMerge w:val="continue"/>
            <w:noWrap w:val="0"/>
            <w:vAlign w:val="center"/>
          </w:tcPr>
          <w:p w14:paraId="6D6603C7">
            <w:pPr>
              <w:keepNext w:val="0"/>
              <w:keepLines w:val="0"/>
              <w:suppressLineNumbers w:val="0"/>
              <w:adjustRightInd w:val="0"/>
              <w:snapToGrid w:val="0"/>
              <w:spacing w:before="0" w:beforeAutospacing="0" w:after="0" w:afterAutospacing="0"/>
              <w:ind w:left="0" w:right="0"/>
              <w:jc w:val="center"/>
              <w:rPr>
                <w:rFonts w:hint="default"/>
              </w:rPr>
            </w:pPr>
          </w:p>
        </w:tc>
        <w:tc>
          <w:tcPr>
            <w:tcW w:w="1375" w:type="dxa"/>
            <w:noWrap w:val="0"/>
            <w:vAlign w:val="center"/>
          </w:tcPr>
          <w:p w14:paraId="4E4CD676">
            <w:pPr>
              <w:keepNext w:val="0"/>
              <w:keepLines w:val="0"/>
              <w:suppressLineNumbers w:val="0"/>
              <w:adjustRightInd w:val="0"/>
              <w:snapToGrid w:val="0"/>
              <w:spacing w:before="0" w:beforeAutospacing="0" w:after="0" w:afterAutospacing="0"/>
              <w:ind w:left="0" w:right="0"/>
              <w:jc w:val="center"/>
              <w:rPr>
                <w:rFonts w:hint="default" w:cs="Times New Roman"/>
                <w:sz w:val="24"/>
                <w:szCs w:val="24"/>
                <w:lang w:val="en-US" w:eastAsia="zh-CN"/>
              </w:rPr>
            </w:pPr>
            <w:r>
              <w:rPr>
                <w:rFonts w:hint="eastAsia" w:cs="Times New Roman"/>
                <w:sz w:val="24"/>
                <w:szCs w:val="24"/>
                <w:lang w:val="en-US" w:eastAsia="zh-CN"/>
              </w:rPr>
              <w:t>初期雨水</w:t>
            </w:r>
          </w:p>
        </w:tc>
        <w:tc>
          <w:tcPr>
            <w:tcW w:w="1463" w:type="dxa"/>
            <w:vMerge w:val="continue"/>
            <w:noWrap w:val="0"/>
            <w:vAlign w:val="center"/>
          </w:tcPr>
          <w:p w14:paraId="0E77E8B0">
            <w:pPr>
              <w:keepNext w:val="0"/>
              <w:keepLines w:val="0"/>
              <w:suppressLineNumbers w:val="0"/>
              <w:adjustRightInd w:val="0"/>
              <w:snapToGrid w:val="0"/>
              <w:spacing w:before="0" w:beforeAutospacing="0" w:after="0" w:afterAutospacing="0"/>
              <w:ind w:left="0" w:right="0"/>
              <w:jc w:val="center"/>
              <w:rPr>
                <w:rFonts w:hint="eastAsia" w:cs="Times New Roman"/>
                <w:sz w:val="24"/>
                <w:szCs w:val="24"/>
                <w:lang w:val="en-US" w:eastAsia="zh-CN"/>
              </w:rPr>
            </w:pPr>
          </w:p>
        </w:tc>
        <w:tc>
          <w:tcPr>
            <w:tcW w:w="2086" w:type="dxa"/>
            <w:vMerge w:val="continue"/>
            <w:noWrap w:val="0"/>
            <w:vAlign w:val="center"/>
          </w:tcPr>
          <w:p w14:paraId="325524AA">
            <w:pPr>
              <w:keepNext w:val="0"/>
              <w:keepLines w:val="0"/>
              <w:suppressLineNumbers w:val="0"/>
              <w:adjustRightInd w:val="0"/>
              <w:snapToGrid w:val="0"/>
              <w:spacing w:before="0" w:beforeAutospacing="0" w:after="0" w:afterAutospacing="0"/>
              <w:ind w:left="0" w:right="0"/>
              <w:jc w:val="center"/>
              <w:rPr>
                <w:rFonts w:hint="eastAsia" w:cs="Times New Roman"/>
                <w:sz w:val="24"/>
                <w:szCs w:val="24"/>
                <w:lang w:val="en-US" w:eastAsia="zh-CN"/>
              </w:rPr>
            </w:pPr>
          </w:p>
        </w:tc>
        <w:tc>
          <w:tcPr>
            <w:tcW w:w="2394" w:type="dxa"/>
            <w:vMerge w:val="continue"/>
            <w:noWrap w:val="0"/>
            <w:vAlign w:val="center"/>
          </w:tcPr>
          <w:p w14:paraId="7EAA5065">
            <w:pPr>
              <w:keepNext w:val="0"/>
              <w:keepLines w:val="0"/>
              <w:suppressLineNumbers w:val="0"/>
              <w:adjustRightInd w:val="0"/>
              <w:snapToGrid w:val="0"/>
              <w:spacing w:before="0" w:beforeAutospacing="0" w:after="0" w:afterAutospacing="0"/>
              <w:ind w:left="0" w:right="0"/>
              <w:jc w:val="center"/>
              <w:rPr>
                <w:rFonts w:hint="eastAsia" w:cs="Times New Roman"/>
                <w:sz w:val="24"/>
                <w:szCs w:val="24"/>
                <w:lang w:val="en-US" w:eastAsia="zh-CN"/>
              </w:rPr>
            </w:pPr>
          </w:p>
        </w:tc>
      </w:tr>
      <w:tr w14:paraId="0FA16B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82" w:type="dxa"/>
            <w:noWrap w:val="0"/>
            <w:vAlign w:val="center"/>
          </w:tcPr>
          <w:p w14:paraId="3731E59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声环境</w:t>
            </w:r>
          </w:p>
        </w:tc>
        <w:tc>
          <w:tcPr>
            <w:tcW w:w="1375" w:type="dxa"/>
            <w:noWrap w:val="0"/>
            <w:vAlign w:val="center"/>
          </w:tcPr>
          <w:p w14:paraId="4525B04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napToGrid w:val="0"/>
                <w:kern w:val="0"/>
                <w:sz w:val="24"/>
                <w:szCs w:val="24"/>
                <w:lang w:bidi="ar"/>
              </w:rPr>
              <w:t>设备噪声</w:t>
            </w:r>
          </w:p>
        </w:tc>
        <w:tc>
          <w:tcPr>
            <w:tcW w:w="1463" w:type="dxa"/>
            <w:noWrap w:val="0"/>
            <w:vAlign w:val="center"/>
          </w:tcPr>
          <w:p w14:paraId="0BD698F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z w:val="24"/>
                <w:szCs w:val="24"/>
              </w:rPr>
            </w:pPr>
            <w:r>
              <w:rPr>
                <w:rFonts w:hint="eastAsia" w:ascii="Times New Roman" w:hAnsi="Times New Roman" w:eastAsia="宋体" w:cs="Times New Roman"/>
                <w:snapToGrid w:val="0"/>
                <w:kern w:val="0"/>
                <w:sz w:val="24"/>
                <w:szCs w:val="24"/>
                <w:lang w:bidi="ar"/>
              </w:rPr>
              <w:t>设备</w:t>
            </w:r>
            <w:r>
              <w:rPr>
                <w:rFonts w:hint="default" w:ascii="Times New Roman" w:hAnsi="Times New Roman" w:eastAsia="宋体" w:cs="Times New Roman"/>
                <w:snapToGrid w:val="0"/>
                <w:kern w:val="0"/>
                <w:sz w:val="24"/>
                <w:szCs w:val="24"/>
                <w:lang w:bidi="ar"/>
              </w:rPr>
              <w:t>噪声</w:t>
            </w:r>
          </w:p>
        </w:tc>
        <w:tc>
          <w:tcPr>
            <w:tcW w:w="2086" w:type="dxa"/>
            <w:noWrap w:val="0"/>
            <w:vAlign w:val="center"/>
          </w:tcPr>
          <w:p w14:paraId="1E1E3AFE">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4"/>
                <w:szCs w:val="24"/>
              </w:rPr>
            </w:pPr>
            <w:r>
              <w:rPr>
                <w:rFonts w:hint="eastAsia" w:ascii="Times New Roman" w:hAnsi="Times New Roman" w:eastAsia="宋体" w:cs="Times New Roman"/>
                <w:sz w:val="24"/>
                <w:szCs w:val="24"/>
              </w:rPr>
              <w:t>消声、减振，建筑隔声，距离衰减等措施</w:t>
            </w:r>
          </w:p>
        </w:tc>
        <w:tc>
          <w:tcPr>
            <w:tcW w:w="2394" w:type="dxa"/>
            <w:noWrap w:val="0"/>
            <w:vAlign w:val="center"/>
          </w:tcPr>
          <w:p w14:paraId="40EB5ED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szCs w:val="24"/>
              </w:rPr>
            </w:pPr>
            <w:r>
              <w:rPr>
                <w:rFonts w:hint="eastAsia" w:ascii="Times New Roman" w:hAnsi="Times New Roman" w:eastAsia="宋体" w:cs="Times New Roman"/>
                <w:sz w:val="24"/>
                <w:szCs w:val="24"/>
              </w:rPr>
              <w:t>《工业企业厂界环境噪声排放标准》（GB12348-2008）</w:t>
            </w:r>
            <w:r>
              <w:rPr>
                <w:rFonts w:hint="eastAsia" w:cs="Times New Roman"/>
                <w:sz w:val="24"/>
                <w:szCs w:val="24"/>
                <w:lang w:val="en-US" w:eastAsia="zh-CN"/>
              </w:rPr>
              <w:t>中2</w:t>
            </w:r>
            <w:r>
              <w:rPr>
                <w:rFonts w:hint="eastAsia" w:ascii="Times New Roman" w:hAnsi="Times New Roman" w:eastAsia="宋体" w:cs="Times New Roman"/>
                <w:sz w:val="24"/>
                <w:szCs w:val="24"/>
              </w:rPr>
              <w:t>类标准</w:t>
            </w:r>
          </w:p>
        </w:tc>
      </w:tr>
      <w:tr w14:paraId="137860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1" w:hRule="atLeast"/>
          <w:jc w:val="center"/>
        </w:trPr>
        <w:tc>
          <w:tcPr>
            <w:tcW w:w="1482" w:type="dxa"/>
            <w:noWrap w:val="0"/>
            <w:vAlign w:val="center"/>
          </w:tcPr>
          <w:p w14:paraId="0917B90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固体废物</w:t>
            </w:r>
          </w:p>
        </w:tc>
        <w:tc>
          <w:tcPr>
            <w:tcW w:w="7318" w:type="dxa"/>
            <w:gridSpan w:val="4"/>
            <w:noWrap w:val="0"/>
            <w:vAlign w:val="center"/>
          </w:tcPr>
          <w:p w14:paraId="5485B7B0">
            <w:pPr>
              <w:keepNext w:val="0"/>
              <w:keepLines w:val="0"/>
              <w:suppressLineNumbers w:val="0"/>
              <w:adjustRightInd w:val="0"/>
              <w:snapToGrid w:val="0"/>
              <w:spacing w:before="0" w:beforeAutospacing="0" w:after="0" w:afterAutospacing="0" w:line="360" w:lineRule="auto"/>
              <w:ind w:left="0" w:right="0"/>
              <w:jc w:val="left"/>
              <w:rPr>
                <w:rFonts w:hint="default" w:ascii="Times New Roman" w:hAnsi="Times New Roman" w:eastAsia="宋体" w:cs="Times New Roman"/>
                <w:sz w:val="24"/>
                <w:szCs w:val="24"/>
              </w:rPr>
            </w:pPr>
            <w:r>
              <w:rPr>
                <w:rFonts w:hint="eastAsia" w:ascii="Times New Roman" w:hAnsi="Times New Roman" w:eastAsia="宋体" w:cs="Times New Roman"/>
                <w:color w:val="auto"/>
                <w:sz w:val="24"/>
              </w:rPr>
              <w:t>生活垃圾委托环卫部门进行转运处置</w:t>
            </w:r>
            <w:r>
              <w:rPr>
                <w:rFonts w:hint="eastAsia" w:ascii="Times New Roman" w:hAnsi="Times New Roman" w:eastAsia="宋体" w:cs="Times New Roman"/>
                <w:bCs/>
                <w:sz w:val="24"/>
                <w:szCs w:val="24"/>
                <w:lang w:eastAsia="zh-CN"/>
              </w:rPr>
              <w:t>；</w:t>
            </w:r>
            <w:r>
              <w:rPr>
                <w:rFonts w:hint="eastAsia" w:ascii="Times New Roman" w:hAnsi="Times New Roman" w:eastAsia="宋体" w:cs="Times New Roman"/>
                <w:color w:val="auto"/>
                <w:sz w:val="24"/>
              </w:rPr>
              <w:t>预处理池污泥</w:t>
            </w:r>
            <w:r>
              <w:rPr>
                <w:rFonts w:hint="eastAsia" w:cs="Times New Roman"/>
                <w:color w:val="auto"/>
                <w:sz w:val="24"/>
                <w:lang w:val="en-US" w:eastAsia="zh-CN"/>
              </w:rPr>
              <w:t>委托有处置能力的单位转运处置</w:t>
            </w:r>
            <w:r>
              <w:rPr>
                <w:rFonts w:hint="eastAsia" w:ascii="Times New Roman" w:hAnsi="Times New Roman" w:eastAsia="宋体" w:cs="Times New Roman"/>
                <w:color w:val="auto"/>
                <w:sz w:val="24"/>
                <w:lang w:val="en-US" w:eastAsia="zh-CN"/>
              </w:rPr>
              <w:t>；</w:t>
            </w:r>
            <w:r>
              <w:rPr>
                <w:rFonts w:hint="eastAsia" w:cs="Times New Roman"/>
                <w:color w:val="auto"/>
                <w:sz w:val="24"/>
                <w:lang w:val="en-US" w:eastAsia="zh-CN"/>
              </w:rPr>
              <w:t>泥饼交邻水县玖能空心砖厂制砖</w:t>
            </w:r>
            <w:r>
              <w:rPr>
                <w:rFonts w:hint="eastAsia" w:ascii="Times New Roman" w:hAnsi="Times New Roman" w:eastAsia="宋体" w:cs="Times New Roman"/>
                <w:bCs/>
                <w:sz w:val="24"/>
                <w:szCs w:val="24"/>
                <w:lang w:eastAsia="zh-CN"/>
              </w:rPr>
              <w:t>；</w:t>
            </w:r>
            <w:r>
              <w:rPr>
                <w:rFonts w:hint="eastAsia" w:ascii="Times New Roman" w:hAnsi="Times New Roman" w:eastAsia="宋体" w:cs="Times New Roman"/>
                <w:color w:val="auto"/>
                <w:sz w:val="24"/>
              </w:rPr>
              <w:t>废</w:t>
            </w:r>
            <w:r>
              <w:rPr>
                <w:rFonts w:hint="eastAsia" w:ascii="Times New Roman" w:hAnsi="Times New Roman" w:eastAsia="宋体" w:cs="Times New Roman"/>
                <w:color w:val="auto"/>
                <w:sz w:val="24"/>
                <w:lang w:val="en-US" w:eastAsia="zh-CN"/>
              </w:rPr>
              <w:t>矿物油及</w:t>
            </w:r>
            <w:r>
              <w:rPr>
                <w:rFonts w:hint="eastAsia" w:ascii="Times New Roman" w:hAnsi="Times New Roman" w:eastAsia="宋体" w:cs="Times New Roman"/>
                <w:color w:val="auto"/>
                <w:sz w:val="24"/>
              </w:rPr>
              <w:t>油桶、废含油棉纱手套暂存于危废暂存间，定期交有危废资质单位进行处置</w:t>
            </w:r>
          </w:p>
        </w:tc>
      </w:tr>
      <w:tr w14:paraId="349CBC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1482" w:type="dxa"/>
            <w:noWrap w:val="0"/>
            <w:vAlign w:val="center"/>
          </w:tcPr>
          <w:p w14:paraId="29972BF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土壤及地下水污染防治措施</w:t>
            </w:r>
          </w:p>
        </w:tc>
        <w:tc>
          <w:tcPr>
            <w:tcW w:w="7318" w:type="dxa"/>
            <w:gridSpan w:val="4"/>
            <w:noWrap w:val="0"/>
            <w:vAlign w:val="center"/>
          </w:tcPr>
          <w:p w14:paraId="13368D84">
            <w:pPr>
              <w:pStyle w:val="68"/>
              <w:keepNext w:val="0"/>
              <w:keepLines w:val="0"/>
              <w:suppressLineNumbers w:val="0"/>
              <w:adjustRightInd/>
              <w:snapToGrid w:val="0"/>
              <w:spacing w:before="0" w:beforeAutospacing="0" w:after="0" w:afterAutospacing="0" w:line="360" w:lineRule="auto"/>
              <w:ind w:left="0" w:right="0" w:firstLine="0" w:firstLineChars="0"/>
              <w:jc w:val="left"/>
              <w:rPr>
                <w:rFonts w:hint="eastAsia" w:ascii="Times New Roman" w:hAnsi="Times New Roman" w:eastAsia="宋体" w:cs="宋体"/>
                <w:color w:val="auto"/>
                <w:kern w:val="2"/>
                <w:sz w:val="24"/>
                <w:szCs w:val="24"/>
              </w:rPr>
            </w:pPr>
            <w:r>
              <w:rPr>
                <w:rFonts w:hint="eastAsia" w:ascii="Times New Roman" w:hAnsi="Times New Roman" w:eastAsia="宋体" w:cs="宋体"/>
                <w:color w:val="auto"/>
                <w:kern w:val="2"/>
                <w:sz w:val="24"/>
                <w:szCs w:val="24"/>
                <w:lang w:eastAsia="zh-CN"/>
              </w:rPr>
              <w:t>（</w:t>
            </w:r>
            <w:r>
              <w:rPr>
                <w:rFonts w:hint="eastAsia" w:ascii="Times New Roman" w:hAnsi="Times New Roman" w:eastAsia="宋体" w:cs="宋体"/>
                <w:color w:val="auto"/>
                <w:kern w:val="2"/>
                <w:sz w:val="24"/>
                <w:szCs w:val="24"/>
                <w:lang w:val="en-US" w:eastAsia="zh-CN"/>
              </w:rPr>
              <w:t>1</w:t>
            </w:r>
            <w:r>
              <w:rPr>
                <w:rFonts w:hint="eastAsia" w:ascii="Times New Roman" w:hAnsi="Times New Roman" w:eastAsia="宋体" w:cs="宋体"/>
                <w:color w:val="auto"/>
                <w:kern w:val="2"/>
                <w:sz w:val="24"/>
                <w:szCs w:val="24"/>
                <w:lang w:eastAsia="zh-CN"/>
              </w:rPr>
              <w:t>）</w:t>
            </w:r>
            <w:r>
              <w:rPr>
                <w:rFonts w:hint="eastAsia" w:ascii="Times New Roman" w:hAnsi="Times New Roman" w:eastAsia="宋体" w:cs="宋体"/>
                <w:color w:val="auto"/>
                <w:kern w:val="2"/>
                <w:sz w:val="24"/>
                <w:szCs w:val="24"/>
              </w:rPr>
              <w:t>重点防渗</w:t>
            </w:r>
            <w:r>
              <w:rPr>
                <w:rFonts w:hint="eastAsia" w:ascii="Times New Roman" w:hAnsi="Times New Roman" w:eastAsia="宋体" w:cs="宋体"/>
                <w:color w:val="auto"/>
                <w:kern w:val="2"/>
                <w:sz w:val="24"/>
                <w:szCs w:val="24"/>
                <w:lang w:eastAsia="zh-CN"/>
              </w:rPr>
              <w:t>：</w:t>
            </w:r>
            <w:r>
              <w:rPr>
                <w:rFonts w:hint="eastAsia" w:ascii="Times New Roman" w:hAnsi="Times New Roman" w:eastAsia="宋体" w:cs="宋体"/>
                <w:color w:val="auto"/>
                <w:kern w:val="2"/>
                <w:sz w:val="24"/>
                <w:szCs w:val="24"/>
              </w:rPr>
              <w:t>危废间地面采取抗渗混凝土垫层+2mm厚环氧树脂+防渗托盘，同时配置空的收集桶；</w:t>
            </w:r>
          </w:p>
          <w:p w14:paraId="0070AB46">
            <w:pPr>
              <w:pStyle w:val="68"/>
              <w:keepNext w:val="0"/>
              <w:keepLines w:val="0"/>
              <w:suppressLineNumbers w:val="0"/>
              <w:adjustRightInd/>
              <w:snapToGrid w:val="0"/>
              <w:spacing w:before="0" w:beforeAutospacing="0" w:after="0" w:afterAutospacing="0" w:line="360" w:lineRule="auto"/>
              <w:ind w:left="0" w:right="0" w:firstLine="0" w:firstLineChars="0"/>
              <w:jc w:val="left"/>
              <w:rPr>
                <w:rFonts w:hint="eastAsia" w:ascii="Times New Roman" w:hAnsi="Times New Roman" w:eastAsia="宋体" w:cs="宋体"/>
                <w:color w:val="auto"/>
                <w:kern w:val="2"/>
                <w:sz w:val="24"/>
                <w:szCs w:val="24"/>
              </w:rPr>
            </w:pPr>
            <w:r>
              <w:rPr>
                <w:rFonts w:hint="eastAsia" w:ascii="Times New Roman" w:hAnsi="Times New Roman" w:eastAsia="宋体" w:cs="宋体"/>
                <w:color w:val="auto"/>
                <w:kern w:val="2"/>
                <w:sz w:val="24"/>
                <w:szCs w:val="24"/>
                <w:lang w:eastAsia="zh-CN"/>
              </w:rPr>
              <w:t>（</w:t>
            </w:r>
            <w:r>
              <w:rPr>
                <w:rFonts w:hint="eastAsia" w:ascii="Times New Roman" w:hAnsi="Times New Roman" w:eastAsia="宋体" w:cs="宋体"/>
                <w:color w:val="auto"/>
                <w:kern w:val="2"/>
                <w:sz w:val="24"/>
                <w:szCs w:val="24"/>
                <w:lang w:val="en-US" w:eastAsia="zh-CN"/>
              </w:rPr>
              <w:t>2</w:t>
            </w:r>
            <w:r>
              <w:rPr>
                <w:rFonts w:hint="eastAsia" w:ascii="Times New Roman" w:hAnsi="Times New Roman" w:eastAsia="宋体" w:cs="宋体"/>
                <w:color w:val="auto"/>
                <w:kern w:val="2"/>
                <w:sz w:val="24"/>
                <w:szCs w:val="24"/>
                <w:lang w:eastAsia="zh-CN"/>
              </w:rPr>
              <w:t>）</w:t>
            </w:r>
            <w:r>
              <w:rPr>
                <w:rFonts w:hint="eastAsia" w:ascii="Times New Roman" w:hAnsi="Times New Roman" w:eastAsia="宋体" w:cs="宋体"/>
                <w:color w:val="auto"/>
                <w:kern w:val="2"/>
                <w:sz w:val="24"/>
                <w:szCs w:val="24"/>
              </w:rPr>
              <w:t>一般防渗区防渗</w:t>
            </w:r>
            <w:r>
              <w:rPr>
                <w:rFonts w:hint="eastAsia" w:ascii="Times New Roman" w:hAnsi="Times New Roman" w:eastAsia="宋体" w:cs="宋体"/>
                <w:color w:val="auto"/>
                <w:kern w:val="2"/>
                <w:sz w:val="24"/>
                <w:szCs w:val="24"/>
                <w:lang w:eastAsia="zh-CN"/>
              </w:rPr>
              <w:t>：</w:t>
            </w:r>
            <w:r>
              <w:rPr>
                <w:rFonts w:hint="eastAsia" w:cs="宋体"/>
                <w:color w:val="auto"/>
                <w:kern w:val="2"/>
                <w:sz w:val="24"/>
                <w:szCs w:val="24"/>
                <w:lang w:val="en-US" w:eastAsia="zh-CN"/>
              </w:rPr>
              <w:t>废水收集池、沉砂池、循环水池</w:t>
            </w:r>
            <w:r>
              <w:rPr>
                <w:rFonts w:hint="eastAsia" w:ascii="Times New Roman" w:hAnsi="Times New Roman" w:eastAsia="宋体" w:cs="宋体"/>
                <w:color w:val="auto"/>
                <w:kern w:val="2"/>
                <w:sz w:val="24"/>
                <w:szCs w:val="24"/>
              </w:rPr>
              <w:t>和预处理池池体采用抗渗混凝土</w:t>
            </w:r>
            <w:r>
              <w:rPr>
                <w:rFonts w:hint="eastAsia" w:ascii="Times New Roman" w:hAnsi="Times New Roman" w:eastAsia="宋体" w:cs="宋体"/>
                <w:color w:val="auto"/>
                <w:kern w:val="2"/>
                <w:sz w:val="24"/>
                <w:szCs w:val="24"/>
                <w:lang w:val="en-US" w:eastAsia="zh-CN"/>
              </w:rPr>
              <w:t>构筑</w:t>
            </w:r>
            <w:r>
              <w:rPr>
                <w:rFonts w:hint="eastAsia" w:cs="宋体"/>
                <w:color w:val="auto"/>
                <w:kern w:val="2"/>
                <w:sz w:val="24"/>
                <w:szCs w:val="24"/>
                <w:lang w:val="en-US" w:eastAsia="zh-CN"/>
              </w:rPr>
              <w:t>；压滤间地面铺设抗渗混凝土垫层</w:t>
            </w:r>
            <w:r>
              <w:rPr>
                <w:rFonts w:hint="eastAsia" w:ascii="Times New Roman" w:hAnsi="Times New Roman" w:eastAsia="宋体" w:cs="宋体"/>
                <w:color w:val="auto"/>
                <w:kern w:val="2"/>
                <w:sz w:val="24"/>
                <w:szCs w:val="24"/>
                <w:lang w:val="en-US" w:eastAsia="zh-CN"/>
              </w:rPr>
              <w:t>；</w:t>
            </w:r>
          </w:p>
          <w:p w14:paraId="3EBA4E9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rPr>
                <w:rFonts w:hint="default" w:ascii="Times New Roman" w:hAnsi="Times New Roman" w:eastAsia="宋体" w:cs="Times New Roman"/>
                <w:szCs w:val="21"/>
              </w:rPr>
            </w:pPr>
            <w:r>
              <w:rPr>
                <w:rFonts w:hint="eastAsia" w:ascii="Times New Roman" w:hAnsi="Times New Roman" w:eastAsia="宋体" w:cs="宋体"/>
                <w:color w:val="auto"/>
                <w:sz w:val="24"/>
                <w:szCs w:val="24"/>
                <w:lang w:eastAsia="zh-CN"/>
              </w:rPr>
              <w:t>（</w:t>
            </w:r>
            <w:r>
              <w:rPr>
                <w:rFonts w:hint="eastAsia" w:ascii="Times New Roman" w:hAnsi="Times New Roman" w:eastAsia="宋体" w:cs="宋体"/>
                <w:color w:val="auto"/>
                <w:sz w:val="24"/>
                <w:szCs w:val="24"/>
                <w:lang w:val="en-US" w:eastAsia="zh-CN"/>
              </w:rPr>
              <w:t>3</w:t>
            </w:r>
            <w:r>
              <w:rPr>
                <w:rFonts w:hint="eastAsia" w:ascii="Times New Roman" w:hAnsi="Times New Roman" w:eastAsia="宋体" w:cs="宋体"/>
                <w:color w:val="auto"/>
                <w:sz w:val="24"/>
                <w:szCs w:val="24"/>
                <w:lang w:eastAsia="zh-CN"/>
              </w:rPr>
              <w:t>）</w:t>
            </w:r>
            <w:r>
              <w:rPr>
                <w:rFonts w:hint="eastAsia" w:ascii="Times New Roman" w:hAnsi="Times New Roman" w:eastAsia="宋体" w:cs="宋体"/>
                <w:color w:val="auto"/>
                <w:sz w:val="24"/>
                <w:szCs w:val="24"/>
              </w:rPr>
              <w:t>简单防渗区</w:t>
            </w:r>
            <w:r>
              <w:rPr>
                <w:rFonts w:hint="eastAsia" w:ascii="Times New Roman" w:hAnsi="Times New Roman" w:eastAsia="宋体" w:cs="宋体"/>
                <w:color w:val="auto"/>
                <w:sz w:val="24"/>
                <w:szCs w:val="24"/>
                <w:lang w:eastAsia="zh-CN"/>
              </w:rPr>
              <w:t>：</w:t>
            </w:r>
            <w:r>
              <w:rPr>
                <w:rFonts w:hint="eastAsia" w:ascii="Times New Roman" w:hAnsi="Times New Roman" w:eastAsia="宋体" w:cs="宋体"/>
                <w:color w:val="auto"/>
                <w:sz w:val="24"/>
                <w:szCs w:val="24"/>
                <w:lang w:val="en-US" w:eastAsia="zh-CN"/>
              </w:rPr>
              <w:t>除重点防渗区和一般防渗区以外区域采用混凝土硬化</w:t>
            </w:r>
          </w:p>
        </w:tc>
      </w:tr>
      <w:tr w14:paraId="29EF3C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1482" w:type="dxa"/>
            <w:noWrap w:val="0"/>
            <w:vAlign w:val="center"/>
          </w:tcPr>
          <w:p w14:paraId="1AD31C6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生态保护措施</w:t>
            </w:r>
          </w:p>
        </w:tc>
        <w:tc>
          <w:tcPr>
            <w:tcW w:w="7318" w:type="dxa"/>
            <w:gridSpan w:val="4"/>
            <w:noWrap w:val="0"/>
            <w:vAlign w:val="center"/>
          </w:tcPr>
          <w:p w14:paraId="7F1DB8F6">
            <w:pPr>
              <w:keepNext w:val="0"/>
              <w:keepLines w:val="0"/>
              <w:suppressLineNumbers w:val="0"/>
              <w:adjustRightInd w:val="0"/>
              <w:snapToGrid w:val="0"/>
              <w:spacing w:before="0" w:beforeAutospacing="0" w:after="0" w:afterAutospacing="0" w:line="360" w:lineRule="auto"/>
              <w:ind w:left="0" w:right="0" w:firstLine="480" w:firstLineChars="200"/>
              <w:jc w:val="center"/>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val="en-US" w:eastAsia="zh-CN"/>
              </w:rPr>
              <w:t>无</w:t>
            </w:r>
          </w:p>
        </w:tc>
      </w:tr>
      <w:tr w14:paraId="03B39F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482" w:type="dxa"/>
            <w:noWrap w:val="0"/>
            <w:vAlign w:val="center"/>
          </w:tcPr>
          <w:p w14:paraId="698632A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pacing w:val="-8"/>
                <w:sz w:val="24"/>
                <w:szCs w:val="24"/>
              </w:rPr>
            </w:pPr>
            <w:r>
              <w:rPr>
                <w:rFonts w:hint="default" w:ascii="Times New Roman" w:hAnsi="Times New Roman" w:eastAsia="宋体" w:cs="Times New Roman"/>
                <w:spacing w:val="-8"/>
                <w:sz w:val="24"/>
                <w:szCs w:val="24"/>
              </w:rPr>
              <w:t>环境风险</w:t>
            </w:r>
          </w:p>
          <w:p w14:paraId="0622211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pacing w:val="-8"/>
                <w:sz w:val="24"/>
                <w:szCs w:val="24"/>
              </w:rPr>
            </w:pPr>
            <w:r>
              <w:rPr>
                <w:rFonts w:hint="default" w:ascii="Times New Roman" w:hAnsi="Times New Roman" w:eastAsia="宋体" w:cs="Times New Roman"/>
                <w:spacing w:val="-8"/>
                <w:sz w:val="24"/>
                <w:szCs w:val="24"/>
              </w:rPr>
              <w:t>防范措施</w:t>
            </w:r>
          </w:p>
        </w:tc>
        <w:tc>
          <w:tcPr>
            <w:tcW w:w="7318" w:type="dxa"/>
            <w:gridSpan w:val="4"/>
            <w:noWrap w:val="0"/>
            <w:vAlign w:val="center"/>
          </w:tcPr>
          <w:p w14:paraId="45200A39">
            <w:pPr>
              <w:keepNext w:val="0"/>
              <w:keepLines w:val="0"/>
              <w:widowControl/>
              <w:suppressLineNumbers w:val="0"/>
              <w:spacing w:before="0" w:beforeAutospacing="0" w:after="0" w:afterAutospacing="0" w:line="360" w:lineRule="auto"/>
              <w:ind w:left="0" w:right="0" w:firstLine="482" w:firstLineChars="200"/>
              <w:jc w:val="left"/>
              <w:rPr>
                <w:rFonts w:hint="default" w:ascii="Times New Roman" w:hAnsi="Times New Roman" w:eastAsia="宋体" w:cs="宋体"/>
                <w:b/>
                <w:bCs/>
                <w:color w:val="auto"/>
                <w:kern w:val="0"/>
                <w:sz w:val="24"/>
                <w:lang w:bidi="ar"/>
              </w:rPr>
            </w:pPr>
            <w:r>
              <w:rPr>
                <w:rFonts w:hint="eastAsia" w:ascii="Times New Roman" w:hAnsi="Times New Roman" w:eastAsia="宋体" w:cs="宋体"/>
                <w:b/>
                <w:bCs/>
                <w:color w:val="auto"/>
                <w:kern w:val="0"/>
                <w:sz w:val="24"/>
                <w:lang w:bidi="ar"/>
              </w:rPr>
              <w:t>（1）</w:t>
            </w:r>
            <w:r>
              <w:rPr>
                <w:rFonts w:hint="eastAsia" w:cs="宋体"/>
                <w:b/>
                <w:bCs/>
                <w:color w:val="auto"/>
                <w:kern w:val="0"/>
                <w:sz w:val="24"/>
                <w:lang w:val="en-US" w:eastAsia="zh-CN" w:bidi="ar"/>
              </w:rPr>
              <w:t>油类物质</w:t>
            </w:r>
            <w:r>
              <w:rPr>
                <w:rFonts w:hint="eastAsia" w:ascii="Times New Roman" w:hAnsi="Times New Roman" w:eastAsia="宋体" w:cs="宋体"/>
                <w:b/>
                <w:bCs/>
                <w:color w:val="auto"/>
                <w:kern w:val="0"/>
                <w:sz w:val="24"/>
                <w:lang w:bidi="ar"/>
              </w:rPr>
              <w:t>泄漏风险防范措施</w:t>
            </w:r>
          </w:p>
          <w:p w14:paraId="39BA00B6">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宋体"/>
                <w:color w:val="auto"/>
                <w:sz w:val="24"/>
              </w:rPr>
            </w:pPr>
            <w:r>
              <w:rPr>
                <w:rFonts w:hint="eastAsia" w:ascii="Times New Roman" w:hAnsi="Times New Roman" w:eastAsia="宋体" w:cs="宋体"/>
                <w:color w:val="auto"/>
                <w:kern w:val="0"/>
                <w:sz w:val="24"/>
                <w:lang w:bidi="ar"/>
              </w:rPr>
              <w:t>①</w:t>
            </w:r>
            <w:r>
              <w:rPr>
                <w:rFonts w:hint="eastAsia" w:cs="宋体"/>
                <w:color w:val="auto"/>
                <w:kern w:val="0"/>
                <w:sz w:val="24"/>
                <w:lang w:val="en-US" w:eastAsia="zh-CN" w:bidi="ar"/>
              </w:rPr>
              <w:t>机油按需购买不在厂区存储，废矿物油</w:t>
            </w:r>
            <w:r>
              <w:rPr>
                <w:rFonts w:hint="eastAsia" w:ascii="Times New Roman" w:hAnsi="Times New Roman" w:eastAsia="宋体" w:cs="宋体"/>
                <w:color w:val="auto"/>
                <w:kern w:val="0"/>
                <w:sz w:val="24"/>
                <w:lang w:val="en-US" w:eastAsia="zh-CN" w:bidi="ar"/>
              </w:rPr>
              <w:t>设置</w:t>
            </w:r>
            <w:r>
              <w:rPr>
                <w:rFonts w:hint="eastAsia" w:ascii="Times New Roman" w:hAnsi="Times New Roman" w:eastAsia="宋体" w:cs="宋体"/>
                <w:color w:val="auto"/>
                <w:kern w:val="0"/>
                <w:sz w:val="24"/>
                <w:lang w:bidi="ar"/>
              </w:rPr>
              <w:t>危废间进行储存，</w:t>
            </w:r>
            <w:r>
              <w:rPr>
                <w:rFonts w:hint="eastAsia" w:cs="宋体"/>
                <w:color w:val="auto"/>
                <w:kern w:val="0"/>
                <w:sz w:val="24"/>
                <w:lang w:val="en-US" w:eastAsia="zh-CN" w:bidi="ar"/>
              </w:rPr>
              <w:t>危废暂存间</w:t>
            </w:r>
            <w:r>
              <w:rPr>
                <w:rFonts w:hint="eastAsia" w:ascii="Times New Roman" w:hAnsi="Times New Roman" w:eastAsia="宋体" w:cs="宋体"/>
                <w:color w:val="auto"/>
                <w:kern w:val="0"/>
                <w:sz w:val="24"/>
                <w:lang w:bidi="ar"/>
              </w:rPr>
              <w:t>地面采取</w:t>
            </w:r>
            <w:r>
              <w:rPr>
                <w:rFonts w:hint="eastAsia" w:ascii="Times New Roman" w:hAnsi="Times New Roman" w:eastAsia="宋体" w:cs="宋体"/>
                <w:color w:val="auto"/>
                <w:sz w:val="24"/>
              </w:rPr>
              <w:t>防渗混凝土+至少2mm厚环氧树脂防渗措施；</w:t>
            </w:r>
          </w:p>
          <w:p w14:paraId="0B3F94EF">
            <w:pPr>
              <w:pStyle w:val="10"/>
              <w:keepNext w:val="0"/>
              <w:keepLines w:val="0"/>
              <w:suppressLineNumbers w:val="0"/>
              <w:spacing w:before="0" w:beforeAutospacing="0" w:after="0" w:afterAutospacing="0" w:line="360" w:lineRule="auto"/>
              <w:ind w:left="0" w:right="0" w:firstLine="480"/>
              <w:rPr>
                <w:rFonts w:hint="default" w:ascii="Times New Roman" w:hAnsi="Times New Roman" w:eastAsia="宋体" w:cs="宋体"/>
                <w:color w:val="auto"/>
                <w:lang w:val="en-US" w:eastAsia="zh-CN" w:bidi="ar"/>
              </w:rPr>
            </w:pPr>
            <w:r>
              <w:rPr>
                <w:rFonts w:hint="eastAsia" w:ascii="Times New Roman" w:hAnsi="Times New Roman" w:eastAsia="宋体" w:cs="宋体"/>
                <w:color w:val="auto"/>
                <w:lang w:bidi="ar"/>
              </w:rPr>
              <w:t>②</w:t>
            </w:r>
            <w:r>
              <w:rPr>
                <w:rFonts w:hint="eastAsia" w:cs="宋体"/>
                <w:color w:val="auto"/>
                <w:lang w:val="en-US" w:eastAsia="zh-CN" w:bidi="ar"/>
              </w:rPr>
              <w:t>加强日常巡视，危废包装容器出现破损时及时进行处置；</w:t>
            </w:r>
          </w:p>
          <w:p w14:paraId="1894AFDD">
            <w:pPr>
              <w:pStyle w:val="10"/>
              <w:keepNext w:val="0"/>
              <w:keepLines w:val="0"/>
              <w:suppressLineNumbers w:val="0"/>
              <w:spacing w:before="0" w:beforeAutospacing="0" w:after="0" w:afterAutospacing="0" w:line="360" w:lineRule="auto"/>
              <w:ind w:left="0" w:right="0" w:firstLine="480"/>
              <w:rPr>
                <w:rFonts w:hint="default" w:ascii="Times New Roman" w:hAnsi="Times New Roman" w:eastAsia="宋体" w:cs="宋体"/>
                <w:color w:val="auto"/>
                <w:lang w:bidi="ar"/>
              </w:rPr>
            </w:pPr>
            <w:r>
              <w:rPr>
                <w:rFonts w:hint="eastAsia" w:ascii="Times New Roman" w:hAnsi="Times New Roman" w:eastAsia="宋体" w:cs="宋体"/>
                <w:color w:val="auto"/>
                <w:kern w:val="0"/>
                <w:sz w:val="24"/>
                <w:lang w:bidi="ar"/>
              </w:rPr>
              <w:t>③</w:t>
            </w:r>
            <w:r>
              <w:rPr>
                <w:rFonts w:hint="default" w:ascii="Times New Roman" w:hAnsi="Times New Roman" w:eastAsia="宋体" w:cs="Times New Roman"/>
                <w:bCs/>
                <w:color w:val="auto"/>
                <w:szCs w:val="21"/>
              </w:rPr>
              <w:t>设置备用空桶，</w:t>
            </w:r>
            <w:r>
              <w:rPr>
                <w:rFonts w:hint="eastAsia" w:cs="Times New Roman"/>
                <w:bCs/>
                <w:color w:val="auto"/>
                <w:szCs w:val="21"/>
                <w:lang w:val="en-US" w:eastAsia="zh-CN"/>
              </w:rPr>
              <w:t>吸油棉等，出现</w:t>
            </w:r>
            <w:r>
              <w:rPr>
                <w:rFonts w:hint="eastAsia" w:ascii="Times New Roman" w:hAnsi="Times New Roman" w:eastAsia="宋体" w:cs="Times New Roman"/>
                <w:bCs/>
                <w:color w:val="auto"/>
                <w:szCs w:val="21"/>
              </w:rPr>
              <w:t>泄漏</w:t>
            </w:r>
            <w:r>
              <w:rPr>
                <w:rFonts w:hint="eastAsia" w:cs="Times New Roman"/>
                <w:bCs/>
                <w:color w:val="auto"/>
                <w:szCs w:val="21"/>
                <w:lang w:val="en-US" w:eastAsia="zh-CN"/>
              </w:rPr>
              <w:t>事故后对泄漏液及时进行收集</w:t>
            </w:r>
            <w:r>
              <w:rPr>
                <w:rFonts w:hint="eastAsia" w:ascii="Times New Roman" w:hAnsi="Times New Roman" w:eastAsia="宋体" w:cs="Times New Roman"/>
                <w:color w:val="auto"/>
              </w:rPr>
              <w:t>；</w:t>
            </w:r>
          </w:p>
          <w:p w14:paraId="37C522B3">
            <w:pPr>
              <w:keepNext w:val="0"/>
              <w:keepLines w:val="0"/>
              <w:widowControl/>
              <w:suppressLineNumbers w:val="0"/>
              <w:spacing w:before="0" w:beforeAutospacing="0" w:after="0" w:afterAutospacing="0" w:line="360" w:lineRule="auto"/>
              <w:ind w:left="0" w:right="0" w:firstLine="422" w:firstLineChars="200"/>
              <w:jc w:val="left"/>
              <w:rPr>
                <w:rFonts w:hint="default" w:ascii="Times New Roman" w:hAnsi="Times New Roman" w:eastAsia="宋体" w:cs="宋体"/>
                <w:b/>
                <w:bCs/>
                <w:color w:val="auto"/>
                <w:sz w:val="24"/>
              </w:rPr>
            </w:pPr>
            <w:r>
              <w:rPr>
                <w:rFonts w:hint="eastAsia" w:ascii="Times New Roman" w:hAnsi="Times New Roman" w:eastAsia="宋体" w:cs="宋体"/>
                <w:b/>
                <w:bCs/>
                <w:color w:val="auto"/>
                <w:lang w:bidi="ar"/>
              </w:rPr>
              <w:t>（2）</w:t>
            </w:r>
            <w:r>
              <w:rPr>
                <w:rFonts w:hint="eastAsia" w:cs="宋体"/>
                <w:b/>
                <w:bCs/>
                <w:color w:val="auto"/>
                <w:kern w:val="0"/>
                <w:sz w:val="24"/>
                <w:lang w:val="en-US" w:eastAsia="zh-CN" w:bidi="ar"/>
              </w:rPr>
              <w:t>生产废水泄漏</w:t>
            </w:r>
            <w:r>
              <w:rPr>
                <w:rFonts w:hint="eastAsia" w:ascii="Times New Roman" w:hAnsi="Times New Roman" w:eastAsia="宋体" w:cs="宋体"/>
                <w:b/>
                <w:bCs/>
                <w:color w:val="auto"/>
                <w:kern w:val="0"/>
                <w:sz w:val="24"/>
                <w:lang w:bidi="ar"/>
              </w:rPr>
              <w:t>风险防范措施</w:t>
            </w:r>
          </w:p>
          <w:p w14:paraId="22B0499C">
            <w:pPr>
              <w:keepNext w:val="0"/>
              <w:keepLines w:val="0"/>
              <w:suppressLineNumbers w:val="0"/>
              <w:adjustRightInd w:val="0"/>
              <w:snapToGrid w:val="0"/>
              <w:spacing w:before="0" w:beforeAutospacing="0" w:after="0" w:afterAutospacing="0" w:line="360" w:lineRule="auto"/>
              <w:ind w:left="0" w:right="0" w:firstLine="480" w:firstLineChars="200"/>
              <w:rPr>
                <w:rFonts w:hint="eastAsia"/>
                <w:sz w:val="24"/>
              </w:rPr>
            </w:pPr>
            <w:r>
              <w:rPr>
                <w:rFonts w:hint="eastAsia" w:ascii="Times New Roman" w:hAnsi="Times New Roman" w:eastAsia="宋体" w:cs="宋体"/>
                <w:color w:val="auto"/>
                <w:kern w:val="0"/>
                <w:sz w:val="24"/>
                <w:lang w:bidi="ar"/>
              </w:rPr>
              <w:t>①</w:t>
            </w:r>
            <w:r>
              <w:rPr>
                <w:rFonts w:hint="eastAsia"/>
                <w:sz w:val="24"/>
              </w:rPr>
              <w:t>加强管理，</w:t>
            </w:r>
            <w:r>
              <w:rPr>
                <w:rFonts w:hint="eastAsia"/>
                <w:sz w:val="24"/>
                <w:lang w:val="en-US" w:eastAsia="zh-CN"/>
              </w:rPr>
              <w:t>确保</w:t>
            </w:r>
            <w:r>
              <w:rPr>
                <w:rFonts w:hint="eastAsia"/>
                <w:sz w:val="24"/>
              </w:rPr>
              <w:t>生产废水经处理后回用，严禁外排</w:t>
            </w:r>
            <w:r>
              <w:rPr>
                <w:rFonts w:hint="eastAsia"/>
                <w:sz w:val="24"/>
                <w:lang w:eastAsia="zh-CN"/>
              </w:rPr>
              <w:t>，</w:t>
            </w:r>
            <w:r>
              <w:rPr>
                <w:rFonts w:hint="eastAsia"/>
                <w:sz w:val="24"/>
              </w:rPr>
              <w:t>禁止设置废水、污水排放口；</w:t>
            </w:r>
          </w:p>
          <w:p w14:paraId="1E296B1E">
            <w:pPr>
              <w:keepNext w:val="0"/>
              <w:keepLines w:val="0"/>
              <w:suppressLineNumbers w:val="0"/>
              <w:adjustRightInd w:val="0"/>
              <w:snapToGrid w:val="0"/>
              <w:spacing w:before="0" w:beforeAutospacing="0" w:after="0" w:afterAutospacing="0" w:line="360" w:lineRule="auto"/>
              <w:ind w:left="0" w:right="0" w:firstLine="480" w:firstLineChars="200"/>
              <w:rPr>
                <w:rFonts w:hint="eastAsia"/>
                <w:sz w:val="24"/>
              </w:rPr>
            </w:pPr>
            <w:r>
              <w:rPr>
                <w:rFonts w:hint="eastAsia" w:ascii="Times New Roman" w:hAnsi="Times New Roman" w:eastAsia="宋体" w:cs="宋体"/>
                <w:color w:val="auto"/>
                <w:kern w:val="0"/>
                <w:sz w:val="24"/>
                <w:lang w:bidi="ar"/>
              </w:rPr>
              <w:t>②</w:t>
            </w:r>
            <w:r>
              <w:rPr>
                <w:rFonts w:hint="eastAsia"/>
                <w:sz w:val="24"/>
              </w:rPr>
              <w:t>生产区、厂区四周设置导流水沟，禁止废水、雨水等漫流；</w:t>
            </w:r>
          </w:p>
          <w:p w14:paraId="794B1D52">
            <w:pPr>
              <w:keepNext w:val="0"/>
              <w:keepLines w:val="0"/>
              <w:suppressLineNumbers w:val="0"/>
              <w:adjustRightInd w:val="0"/>
              <w:snapToGrid w:val="0"/>
              <w:spacing w:before="0" w:beforeAutospacing="0" w:after="0" w:afterAutospacing="0" w:line="360" w:lineRule="auto"/>
              <w:ind w:left="0" w:right="0" w:firstLine="480" w:firstLineChars="200"/>
              <w:rPr>
                <w:rFonts w:hint="eastAsia" w:eastAsia="宋体"/>
                <w:sz w:val="24"/>
                <w:lang w:eastAsia="zh-CN"/>
              </w:rPr>
            </w:pPr>
            <w:r>
              <w:rPr>
                <w:rFonts w:hint="eastAsia" w:ascii="Times New Roman" w:hAnsi="Times New Roman" w:eastAsia="宋体" w:cs="宋体"/>
                <w:color w:val="auto"/>
                <w:kern w:val="0"/>
                <w:sz w:val="24"/>
                <w:lang w:bidi="ar"/>
              </w:rPr>
              <w:t>③</w:t>
            </w:r>
            <w:r>
              <w:rPr>
                <w:rFonts w:hint="eastAsia"/>
                <w:sz w:val="24"/>
              </w:rPr>
              <w:t>加强管理，</w:t>
            </w:r>
            <w:r>
              <w:rPr>
                <w:rFonts w:hint="eastAsia"/>
                <w:sz w:val="24"/>
                <w:lang w:val="en-US" w:eastAsia="zh-CN"/>
              </w:rPr>
              <w:t>制定厂区巡查制度</w:t>
            </w:r>
            <w:r>
              <w:rPr>
                <w:rFonts w:hint="eastAsia"/>
                <w:sz w:val="24"/>
              </w:rPr>
              <w:t>及时排除隐患</w:t>
            </w:r>
            <w:r>
              <w:rPr>
                <w:rFonts w:hint="eastAsia"/>
                <w:sz w:val="24"/>
                <w:lang w:eastAsia="zh-CN"/>
              </w:rPr>
              <w:t>。</w:t>
            </w:r>
          </w:p>
          <w:p w14:paraId="50072F3D">
            <w:pPr>
              <w:keepNext w:val="0"/>
              <w:keepLines w:val="0"/>
              <w:widowControl/>
              <w:suppressLineNumbers w:val="0"/>
              <w:spacing w:before="0" w:beforeAutospacing="0" w:after="0" w:afterAutospacing="0" w:line="360" w:lineRule="auto"/>
              <w:ind w:left="0" w:right="0" w:firstLine="482" w:firstLineChars="200"/>
              <w:jc w:val="left"/>
              <w:rPr>
                <w:rFonts w:hint="default" w:ascii="Times New Roman" w:hAnsi="Times New Roman" w:eastAsia="宋体" w:cs="Times New Roman"/>
                <w:b/>
                <w:bCs/>
                <w:color w:val="auto"/>
                <w:sz w:val="24"/>
                <w:szCs w:val="32"/>
              </w:rPr>
            </w:pPr>
            <w:r>
              <w:rPr>
                <w:rFonts w:hint="eastAsia" w:ascii="Times New Roman" w:hAnsi="Times New Roman" w:eastAsia="宋体" w:cs="Times New Roman"/>
                <w:b/>
                <w:bCs/>
                <w:color w:val="auto"/>
                <w:sz w:val="24"/>
                <w:szCs w:val="32"/>
              </w:rPr>
              <w:t>（</w:t>
            </w:r>
            <w:r>
              <w:rPr>
                <w:rFonts w:hint="eastAsia" w:cs="Times New Roman"/>
                <w:b/>
                <w:bCs/>
                <w:color w:val="auto"/>
                <w:sz w:val="24"/>
                <w:szCs w:val="32"/>
                <w:lang w:val="en-US" w:eastAsia="zh-CN"/>
              </w:rPr>
              <w:t>3</w:t>
            </w:r>
            <w:r>
              <w:rPr>
                <w:rFonts w:hint="eastAsia" w:ascii="Times New Roman" w:hAnsi="Times New Roman" w:eastAsia="宋体" w:cs="Times New Roman"/>
                <w:b/>
                <w:bCs/>
                <w:color w:val="auto"/>
                <w:sz w:val="24"/>
                <w:szCs w:val="32"/>
              </w:rPr>
              <w:t>）火灾</w:t>
            </w:r>
            <w:r>
              <w:rPr>
                <w:rFonts w:hint="eastAsia" w:ascii="Times New Roman" w:hAnsi="Times New Roman" w:eastAsia="宋体" w:cs="宋体"/>
                <w:b/>
                <w:bCs/>
                <w:color w:val="auto"/>
                <w:kern w:val="0"/>
                <w:sz w:val="24"/>
                <w:lang w:bidi="ar"/>
              </w:rPr>
              <w:t>的风险防范措施</w:t>
            </w:r>
          </w:p>
          <w:p w14:paraId="2C9B43D9">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宋体"/>
                <w:color w:val="auto"/>
                <w:kern w:val="0"/>
                <w:sz w:val="24"/>
                <w:lang w:bidi="ar"/>
              </w:rPr>
            </w:pPr>
            <w:r>
              <w:rPr>
                <w:rFonts w:hint="eastAsia" w:ascii="Times New Roman" w:hAnsi="Times New Roman" w:eastAsia="宋体" w:cs="宋体"/>
                <w:color w:val="auto"/>
                <w:kern w:val="0"/>
                <w:sz w:val="24"/>
                <w:lang w:bidi="ar"/>
              </w:rPr>
              <w:t>①按照《建筑灭火器配置设计规范》（GB50140-2005）之规定，项目生产车间应配置相应的灭火器类型与数量；</w:t>
            </w:r>
          </w:p>
          <w:p w14:paraId="71AE0CB0">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宋体"/>
                <w:color w:val="auto"/>
                <w:sz w:val="24"/>
              </w:rPr>
            </w:pPr>
            <w:r>
              <w:rPr>
                <w:rFonts w:hint="eastAsia" w:ascii="Times New Roman" w:hAnsi="Times New Roman" w:eastAsia="宋体" w:cs="宋体"/>
                <w:color w:val="auto"/>
                <w:kern w:val="0"/>
                <w:sz w:val="24"/>
                <w:lang w:bidi="ar"/>
              </w:rPr>
              <w:t>②定期进行消防应急演练；</w:t>
            </w:r>
          </w:p>
          <w:p w14:paraId="4FBF60A1">
            <w:pPr>
              <w:keepNext w:val="0"/>
              <w:keepLines w:val="0"/>
              <w:widowControl/>
              <w:suppressLineNumbers w:val="0"/>
              <w:spacing w:before="0" w:beforeAutospacing="0" w:after="0" w:afterAutospacing="0" w:line="360" w:lineRule="auto"/>
              <w:ind w:left="0" w:right="0" w:firstLine="482" w:firstLineChars="200"/>
              <w:jc w:val="left"/>
              <w:rPr>
                <w:rFonts w:hint="default" w:ascii="Times New Roman" w:hAnsi="Times New Roman" w:eastAsia="宋体" w:cs="宋体"/>
                <w:b/>
                <w:bCs/>
                <w:color w:val="auto"/>
                <w:sz w:val="24"/>
              </w:rPr>
            </w:pPr>
            <w:r>
              <w:rPr>
                <w:rFonts w:hint="eastAsia" w:ascii="Times New Roman" w:hAnsi="Times New Roman" w:eastAsia="宋体" w:cs="宋体"/>
                <w:b/>
                <w:bCs/>
                <w:color w:val="auto"/>
                <w:kern w:val="0"/>
                <w:sz w:val="24"/>
                <w:lang w:bidi="ar"/>
              </w:rPr>
              <w:t>（</w:t>
            </w:r>
            <w:r>
              <w:rPr>
                <w:rFonts w:hint="eastAsia" w:cs="宋体"/>
                <w:b/>
                <w:bCs/>
                <w:color w:val="auto"/>
                <w:kern w:val="0"/>
                <w:sz w:val="24"/>
                <w:lang w:val="en-US" w:eastAsia="zh-CN" w:bidi="ar"/>
              </w:rPr>
              <w:t>4</w:t>
            </w:r>
            <w:r>
              <w:rPr>
                <w:rFonts w:hint="eastAsia" w:ascii="Times New Roman" w:hAnsi="Times New Roman" w:eastAsia="宋体" w:cs="宋体"/>
                <w:b/>
                <w:bCs/>
                <w:color w:val="auto"/>
                <w:kern w:val="0"/>
                <w:sz w:val="24"/>
                <w:lang w:bidi="ar"/>
              </w:rPr>
              <w:t>）环保设施风险防范措施</w:t>
            </w:r>
          </w:p>
          <w:p w14:paraId="13B3FAFC">
            <w:pPr>
              <w:keepNext w:val="0"/>
              <w:keepLines w:val="0"/>
              <w:suppressLineNumbers w:val="0"/>
              <w:snapToGrid w:val="0"/>
              <w:spacing w:before="0" w:beforeAutospacing="0" w:after="0" w:afterAutospacing="0" w:line="360" w:lineRule="auto"/>
              <w:ind w:left="0" w:right="0" w:firstLine="480" w:firstLineChars="200"/>
              <w:jc w:val="left"/>
              <w:rPr>
                <w:rFonts w:hint="default" w:ascii="Times New Roman" w:hAnsi="Times New Roman" w:eastAsia="宋体" w:cs="宋体"/>
                <w:color w:val="auto"/>
                <w:kern w:val="0"/>
                <w:sz w:val="24"/>
                <w:lang w:bidi="ar"/>
              </w:rPr>
            </w:pPr>
            <w:r>
              <w:rPr>
                <w:rFonts w:hint="eastAsia" w:ascii="Times New Roman" w:hAnsi="Times New Roman" w:eastAsia="宋体" w:cs="宋体"/>
                <w:color w:val="auto"/>
                <w:kern w:val="0"/>
                <w:sz w:val="24"/>
                <w:lang w:bidi="ar"/>
              </w:rPr>
              <w:t>①废气处置措施的风险防范措施</w:t>
            </w:r>
          </w:p>
          <w:p w14:paraId="6EE04E94">
            <w:pPr>
              <w:keepNext w:val="0"/>
              <w:keepLines w:val="0"/>
              <w:suppressLineNumbers w:val="0"/>
              <w:snapToGrid w:val="0"/>
              <w:spacing w:before="0" w:beforeAutospacing="0" w:after="0" w:afterAutospacing="0" w:line="360" w:lineRule="auto"/>
              <w:ind w:left="0" w:right="0" w:firstLine="480" w:firstLineChars="200"/>
              <w:jc w:val="left"/>
              <w:rPr>
                <w:rFonts w:hint="default" w:ascii="Times New Roman" w:hAnsi="Times New Roman" w:eastAsia="宋体" w:cs="宋体"/>
                <w:color w:val="auto"/>
                <w:kern w:val="0"/>
                <w:sz w:val="24"/>
                <w:lang w:bidi="ar"/>
              </w:rPr>
            </w:pPr>
            <w:r>
              <w:rPr>
                <w:rFonts w:hint="eastAsia" w:ascii="Times New Roman" w:hAnsi="Times New Roman" w:eastAsia="宋体" w:cs="宋体"/>
                <w:color w:val="auto"/>
                <w:kern w:val="0"/>
                <w:sz w:val="24"/>
                <w:lang w:bidi="ar"/>
              </w:rPr>
              <w:t>加强废气治理设施的日常维护，定期检查</w:t>
            </w:r>
            <w:r>
              <w:rPr>
                <w:rFonts w:hint="eastAsia" w:cs="宋体"/>
                <w:color w:val="auto"/>
                <w:kern w:val="0"/>
                <w:sz w:val="24"/>
                <w:lang w:val="en-US" w:eastAsia="zh-CN" w:bidi="ar"/>
              </w:rPr>
              <w:t>喷淋降尘系统运行情况</w:t>
            </w:r>
            <w:r>
              <w:rPr>
                <w:rFonts w:hint="eastAsia" w:ascii="Times New Roman" w:hAnsi="Times New Roman" w:eastAsia="宋体" w:cs="宋体"/>
                <w:color w:val="auto"/>
                <w:kern w:val="0"/>
                <w:sz w:val="24"/>
                <w:lang w:bidi="ar"/>
              </w:rPr>
              <w:t>，若</w:t>
            </w:r>
            <w:r>
              <w:rPr>
                <w:rFonts w:hint="eastAsia" w:cs="宋体"/>
                <w:color w:val="auto"/>
                <w:kern w:val="0"/>
                <w:sz w:val="24"/>
                <w:lang w:val="en-US" w:eastAsia="zh-CN" w:bidi="ar"/>
              </w:rPr>
              <w:t>管道或喷淋头</w:t>
            </w:r>
            <w:r>
              <w:rPr>
                <w:rFonts w:hint="eastAsia" w:ascii="Times New Roman" w:hAnsi="Times New Roman" w:eastAsia="宋体" w:cs="宋体"/>
                <w:color w:val="auto"/>
                <w:kern w:val="0"/>
                <w:sz w:val="24"/>
                <w:lang w:bidi="ar"/>
              </w:rPr>
              <w:t>出现破损及时进行更换；当废气处理设施发生故障时，立即停止对应产污工序生产，待废气处理设施修复后方可进行生产；</w:t>
            </w:r>
          </w:p>
          <w:p w14:paraId="5F90E6FC">
            <w:pPr>
              <w:keepNext w:val="0"/>
              <w:keepLines w:val="0"/>
              <w:suppressLineNumbers w:val="0"/>
              <w:snapToGrid w:val="0"/>
              <w:spacing w:before="0" w:beforeAutospacing="0" w:after="0" w:afterAutospacing="0" w:line="360" w:lineRule="auto"/>
              <w:ind w:left="0" w:right="0" w:firstLine="480" w:firstLineChars="200"/>
              <w:jc w:val="left"/>
              <w:rPr>
                <w:rFonts w:hint="default" w:ascii="Times New Roman" w:hAnsi="Times New Roman" w:eastAsia="宋体" w:cs="宋体"/>
                <w:color w:val="auto"/>
                <w:kern w:val="0"/>
                <w:sz w:val="24"/>
                <w:lang w:bidi="ar"/>
              </w:rPr>
            </w:pPr>
            <w:r>
              <w:rPr>
                <w:rFonts w:hint="eastAsia" w:ascii="Times New Roman" w:hAnsi="Times New Roman" w:eastAsia="宋体" w:cs="宋体"/>
                <w:color w:val="auto"/>
                <w:kern w:val="0"/>
                <w:sz w:val="24"/>
                <w:lang w:bidi="ar"/>
              </w:rPr>
              <w:t>②</w:t>
            </w:r>
            <w:r>
              <w:rPr>
                <w:rFonts w:hint="eastAsia" w:ascii="Times New Roman" w:hAnsi="Times New Roman" w:eastAsia="宋体" w:cs="Times New Roman"/>
                <w:color w:val="auto"/>
                <w:sz w:val="24"/>
              </w:rPr>
              <w:t>污水处理设施风险防范措施</w:t>
            </w:r>
          </w:p>
          <w:p w14:paraId="2804B3A7">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szCs w:val="24"/>
              </w:rPr>
            </w:pPr>
            <w:r>
              <w:rPr>
                <w:rFonts w:hint="eastAsia" w:ascii="Times New Roman" w:hAnsi="Times New Roman" w:eastAsia="宋体" w:cs="宋体"/>
                <w:color w:val="auto"/>
                <w:kern w:val="0"/>
                <w:sz w:val="24"/>
                <w:lang w:bidi="ar"/>
              </w:rPr>
              <w:t>当</w:t>
            </w:r>
            <w:r>
              <w:rPr>
                <w:rFonts w:hint="eastAsia" w:cs="宋体"/>
                <w:color w:val="auto"/>
                <w:kern w:val="0"/>
                <w:sz w:val="24"/>
                <w:lang w:val="en-US" w:eastAsia="zh-CN" w:bidi="ar"/>
              </w:rPr>
              <w:t>废</w:t>
            </w:r>
            <w:r>
              <w:rPr>
                <w:rFonts w:hint="eastAsia" w:ascii="Times New Roman" w:hAnsi="Times New Roman" w:eastAsia="宋体" w:cs="宋体"/>
                <w:color w:val="auto"/>
                <w:kern w:val="0"/>
                <w:sz w:val="24"/>
                <w:lang w:bidi="ar"/>
              </w:rPr>
              <w:t>水处理设施发生故障时，立即停止生产，待</w:t>
            </w:r>
            <w:r>
              <w:rPr>
                <w:rFonts w:hint="eastAsia" w:cs="宋体"/>
                <w:color w:val="auto"/>
                <w:kern w:val="0"/>
                <w:sz w:val="24"/>
                <w:lang w:val="en-US" w:eastAsia="zh-CN" w:bidi="ar"/>
              </w:rPr>
              <w:t>废水</w:t>
            </w:r>
            <w:r>
              <w:rPr>
                <w:rFonts w:hint="eastAsia" w:ascii="Times New Roman" w:hAnsi="Times New Roman" w:eastAsia="宋体" w:cs="宋体"/>
                <w:color w:val="auto"/>
                <w:kern w:val="0"/>
                <w:sz w:val="24"/>
                <w:lang w:bidi="ar"/>
              </w:rPr>
              <w:t>处理设施修复后方可进行生产。</w:t>
            </w:r>
          </w:p>
        </w:tc>
      </w:tr>
      <w:tr w14:paraId="1A4BF6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15" w:hRule="atLeast"/>
          <w:jc w:val="center"/>
        </w:trPr>
        <w:tc>
          <w:tcPr>
            <w:tcW w:w="1482" w:type="dxa"/>
            <w:noWrap w:val="0"/>
            <w:vAlign w:val="center"/>
          </w:tcPr>
          <w:p w14:paraId="1C6F482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pacing w:val="-8"/>
                <w:sz w:val="24"/>
                <w:szCs w:val="24"/>
              </w:rPr>
            </w:pPr>
            <w:r>
              <w:rPr>
                <w:rFonts w:hint="default" w:ascii="Times New Roman" w:hAnsi="Times New Roman" w:eastAsia="宋体" w:cs="Times New Roman"/>
                <w:spacing w:val="-8"/>
                <w:sz w:val="24"/>
                <w:szCs w:val="24"/>
              </w:rPr>
              <w:t>其他环境</w:t>
            </w:r>
          </w:p>
          <w:p w14:paraId="16CAACE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pacing w:val="-8"/>
                <w:sz w:val="24"/>
                <w:szCs w:val="24"/>
              </w:rPr>
            </w:pPr>
            <w:r>
              <w:rPr>
                <w:rFonts w:hint="default" w:ascii="Times New Roman" w:hAnsi="Times New Roman" w:eastAsia="宋体" w:cs="Times New Roman"/>
                <w:spacing w:val="-8"/>
                <w:sz w:val="24"/>
                <w:szCs w:val="24"/>
              </w:rPr>
              <w:t>管理要求</w:t>
            </w:r>
          </w:p>
        </w:tc>
        <w:tc>
          <w:tcPr>
            <w:tcW w:w="7318" w:type="dxa"/>
            <w:gridSpan w:val="4"/>
            <w:noWrap w:val="0"/>
            <w:vAlign w:val="center"/>
          </w:tcPr>
          <w:p w14:paraId="083DE7F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宋体"/>
                <w:color w:val="auto"/>
                <w:kern w:val="0"/>
                <w:sz w:val="24"/>
                <w:szCs w:val="24"/>
                <w:lang w:bidi="ar"/>
              </w:rPr>
            </w:pPr>
            <w:r>
              <w:rPr>
                <w:rFonts w:hint="eastAsia" w:ascii="Times New Roman" w:hAnsi="Times New Roman" w:eastAsia="宋体" w:cs="宋体"/>
                <w:color w:val="auto"/>
                <w:kern w:val="0"/>
                <w:sz w:val="24"/>
                <w:szCs w:val="24"/>
                <w:lang w:bidi="ar"/>
              </w:rPr>
              <w:t>（1）制定企业环保管理制度和责任制，明确各专兼职环保管理人员的环保责任和任务，对环保工作进行监督和管理。</w:t>
            </w:r>
          </w:p>
          <w:p w14:paraId="20D8A1E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宋体"/>
                <w:color w:val="auto"/>
                <w:kern w:val="0"/>
                <w:sz w:val="24"/>
                <w:szCs w:val="24"/>
                <w:lang w:bidi="ar"/>
              </w:rPr>
            </w:pPr>
            <w:r>
              <w:rPr>
                <w:rFonts w:hint="eastAsia" w:ascii="Times New Roman" w:hAnsi="Times New Roman" w:eastAsia="宋体" w:cs="宋体"/>
                <w:color w:val="auto"/>
                <w:kern w:val="0"/>
                <w:sz w:val="24"/>
                <w:szCs w:val="24"/>
                <w:lang w:bidi="ar"/>
              </w:rPr>
              <w:t>（2）应当在启动生产设施或者发生实际排污之前申请取得排污许可证。</w:t>
            </w:r>
          </w:p>
          <w:p w14:paraId="7C53363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宋体"/>
                <w:color w:val="auto"/>
                <w:kern w:val="0"/>
                <w:sz w:val="24"/>
                <w:szCs w:val="24"/>
                <w:lang w:bidi="ar"/>
              </w:rPr>
            </w:pPr>
            <w:r>
              <w:rPr>
                <w:rFonts w:hint="eastAsia" w:ascii="Times New Roman" w:hAnsi="Times New Roman" w:eastAsia="宋体" w:cs="宋体"/>
                <w:color w:val="auto"/>
                <w:kern w:val="0"/>
                <w:sz w:val="24"/>
                <w:szCs w:val="24"/>
                <w:lang w:bidi="ar"/>
              </w:rPr>
              <w:t>（3）严格执行建设项目的“三同时”制度，强化工程的环境保护工作。项目试运行后及时自行组织项目竣工环保验收，验收通过后方可进行正式运行。环保竣工验收资料及时报送环境保护主管部门备案并公示。</w:t>
            </w:r>
          </w:p>
          <w:p w14:paraId="4C2D37A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宋体"/>
                <w:color w:val="auto"/>
                <w:kern w:val="0"/>
                <w:sz w:val="24"/>
                <w:szCs w:val="24"/>
                <w:lang w:bidi="ar"/>
              </w:rPr>
            </w:pPr>
            <w:r>
              <w:rPr>
                <w:rFonts w:hint="eastAsia" w:ascii="Times New Roman" w:hAnsi="Times New Roman" w:eastAsia="宋体" w:cs="宋体"/>
                <w:color w:val="auto"/>
                <w:kern w:val="0"/>
                <w:sz w:val="24"/>
                <w:szCs w:val="24"/>
                <w:lang w:bidi="ar"/>
              </w:rPr>
              <w:t>（4）建议委托具有监测资质的环境监测机构进行定期环境监测。</w:t>
            </w:r>
          </w:p>
          <w:p w14:paraId="4B5352FF">
            <w:pPr>
              <w:pStyle w:val="16"/>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leftChars="0" w:right="0" w:firstLine="480" w:firstLineChars="200"/>
              <w:textAlignment w:val="auto"/>
              <w:rPr>
                <w:rFonts w:hint="eastAsia" w:ascii="Times New Roman" w:hAnsi="Times New Roman" w:eastAsia="宋体" w:cs="Times New Roman"/>
                <w:sz w:val="24"/>
                <w:szCs w:val="24"/>
              </w:rPr>
            </w:pPr>
            <w:r>
              <w:rPr>
                <w:rFonts w:hint="eastAsia" w:ascii="Times New Roman" w:hAnsi="Times New Roman" w:eastAsia="宋体" w:cs="宋体"/>
                <w:color w:val="auto"/>
                <w:kern w:val="0"/>
                <w:sz w:val="24"/>
                <w:szCs w:val="24"/>
                <w:lang w:bidi="ar"/>
              </w:rPr>
              <w:t>（5）</w:t>
            </w:r>
            <w:r>
              <w:rPr>
                <w:rFonts w:hint="eastAsia" w:cs="Times New Roman"/>
                <w:color w:val="auto"/>
                <w:kern w:val="0"/>
                <w:sz w:val="24"/>
                <w:lang w:val="en-US" w:eastAsia="zh-CN"/>
              </w:rPr>
              <w:t>本项目建设投产前，</w:t>
            </w:r>
            <w:r>
              <w:rPr>
                <w:rFonts w:hint="default" w:ascii="Times New Roman" w:hAnsi="Times New Roman" w:eastAsia="宋体" w:cs="Times New Roman"/>
                <w:color w:val="auto"/>
                <w:kern w:val="0"/>
                <w:sz w:val="24"/>
              </w:rPr>
              <w:t>建设单位</w:t>
            </w:r>
            <w:r>
              <w:rPr>
                <w:rFonts w:hint="eastAsia" w:cs="Times New Roman"/>
                <w:color w:val="auto"/>
                <w:kern w:val="0"/>
                <w:sz w:val="24"/>
                <w:lang w:val="en-US" w:eastAsia="zh-CN"/>
              </w:rPr>
              <w:t>应</w:t>
            </w:r>
            <w:r>
              <w:rPr>
                <w:rFonts w:hint="default" w:ascii="Times New Roman" w:hAnsi="Times New Roman" w:eastAsia="宋体" w:cs="Times New Roman"/>
                <w:color w:val="auto"/>
                <w:kern w:val="0"/>
                <w:sz w:val="24"/>
              </w:rPr>
              <w:t>根据</w:t>
            </w:r>
            <w:r>
              <w:rPr>
                <w:rFonts w:hint="eastAsia" w:cs="Times New Roman"/>
                <w:color w:val="auto"/>
                <w:kern w:val="0"/>
                <w:sz w:val="24"/>
                <w:lang w:eastAsia="zh-CN"/>
              </w:rPr>
              <w:t>“</w:t>
            </w:r>
            <w:r>
              <w:rPr>
                <w:rFonts w:hint="default" w:ascii="Times New Roman" w:hAnsi="Times New Roman" w:eastAsia="宋体" w:cs="Times New Roman"/>
                <w:color w:val="auto"/>
                <w:kern w:val="0"/>
                <w:sz w:val="24"/>
              </w:rPr>
              <w:t>取水许可管理办法</w:t>
            </w:r>
            <w:r>
              <w:rPr>
                <w:rFonts w:hint="eastAsia" w:cs="Times New Roman"/>
                <w:color w:val="auto"/>
                <w:kern w:val="0"/>
                <w:sz w:val="24"/>
                <w:lang w:eastAsia="zh-CN"/>
              </w:rPr>
              <w:t>”</w:t>
            </w:r>
            <w:r>
              <w:rPr>
                <w:rFonts w:hint="default" w:ascii="Times New Roman" w:hAnsi="Times New Roman" w:eastAsia="宋体" w:cs="Times New Roman"/>
                <w:color w:val="auto"/>
                <w:kern w:val="0"/>
                <w:sz w:val="24"/>
              </w:rPr>
              <w:t>等相关要求开展水资源论证和申领取水许可证</w:t>
            </w:r>
            <w:r>
              <w:rPr>
                <w:rFonts w:hint="eastAsia" w:ascii="Times New Roman" w:hAnsi="Times New Roman" w:eastAsia="宋体" w:cs="宋体"/>
                <w:color w:val="auto"/>
                <w:kern w:val="0"/>
                <w:sz w:val="24"/>
                <w:szCs w:val="24"/>
                <w:lang w:bidi="ar"/>
              </w:rPr>
              <w:t>。</w:t>
            </w:r>
          </w:p>
          <w:p w14:paraId="2FE994E9">
            <w:pPr>
              <w:pStyle w:val="16"/>
              <w:keepNext w:val="0"/>
              <w:keepLines w:val="0"/>
              <w:suppressLineNumbers w:val="0"/>
              <w:spacing w:before="0" w:beforeAutospacing="0" w:after="0" w:afterAutospacing="0" w:line="360" w:lineRule="auto"/>
              <w:ind w:left="0" w:leftChars="0" w:right="0"/>
              <w:rPr>
                <w:rFonts w:hint="default" w:ascii="Times New Roman" w:hAnsi="Times New Roman" w:eastAsia="宋体" w:cs="Times New Roman"/>
                <w:sz w:val="24"/>
                <w:szCs w:val="24"/>
              </w:rPr>
            </w:pPr>
          </w:p>
        </w:tc>
      </w:tr>
    </w:tbl>
    <w:p w14:paraId="2FC9B63D">
      <w:pPr>
        <w:pStyle w:val="6"/>
        <w:rPr>
          <w:rFonts w:ascii="Times New Roman" w:hAnsi="Times New Roman" w:eastAsia="宋体"/>
          <w:snapToGrid w:val="0"/>
          <w:color w:val="auto"/>
        </w:rPr>
      </w:pPr>
      <w:r>
        <w:rPr>
          <w:rFonts w:ascii="Times New Roman" w:hAnsi="Times New Roman" w:eastAsia="宋体"/>
          <w:snapToGrid w:val="0"/>
          <w:color w:val="auto"/>
        </w:rPr>
        <w:br w:type="page"/>
      </w:r>
      <w:bookmarkStart w:id="10" w:name="_Toc21375"/>
      <w:r>
        <w:rPr>
          <w:rFonts w:hint="eastAsia" w:ascii="Times New Roman" w:hAnsi="Times New Roman" w:eastAsia="宋体" w:cs="宋体"/>
          <w:snapToGrid w:val="0"/>
          <w:color w:val="auto"/>
        </w:rPr>
        <w:t>六、结论</w:t>
      </w:r>
      <w:bookmarkEnd w:id="10"/>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6F42A5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14:paraId="4A6A6EAC">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0" w:firstLineChars="200"/>
              <w:jc w:val="left"/>
              <w:textAlignment w:val="auto"/>
              <w:rPr>
                <w:rFonts w:hint="default" w:ascii="Times New Roman" w:hAnsi="Times New Roman" w:eastAsia="宋体" w:cs="宋体"/>
                <w:sz w:val="24"/>
              </w:rPr>
            </w:pPr>
            <w:r>
              <w:rPr>
                <w:rFonts w:hint="eastAsia" w:ascii="Times New Roman" w:hAnsi="Times New Roman" w:eastAsia="宋体" w:cs="Times New Roman"/>
                <w:sz w:val="24"/>
              </w:rPr>
              <w:t>本项目符合相关法律法规和政策规定，符合国家现行产业政策，符合区域规划要求。项目总图布置合理，周围无大的环境制约因素。废水、废气、噪声、固废采取的污染防治措施技术可靠、经济可行。只要认真落实本报告表中提出的各项污染防治对策措施，保证环境保护措施的有效运行，能够确保污染物稳定达标排放。因此，从环保角度而言，本项目在邻水县石滓镇晒金村8组建设可行。</w:t>
            </w:r>
          </w:p>
        </w:tc>
      </w:tr>
    </w:tbl>
    <w:p w14:paraId="41CFE753">
      <w:pPr>
        <w:rPr>
          <w:rFonts w:ascii="Times New Roman" w:hAnsi="Times New Roman" w:eastAsia="宋体"/>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354CF984">
      <w:pPr>
        <w:pStyle w:val="6"/>
        <w:jc w:val="left"/>
        <w:rPr>
          <w:rFonts w:ascii="Times New Roman" w:hAnsi="Times New Roman" w:eastAsia="宋体"/>
          <w:color w:val="auto"/>
        </w:rPr>
      </w:pPr>
      <w:bookmarkStart w:id="11" w:name="_Toc16004"/>
      <w:r>
        <w:rPr>
          <w:rFonts w:hint="eastAsia" w:ascii="Times New Roman" w:hAnsi="Times New Roman" w:eastAsia="宋体"/>
          <w:color w:val="auto"/>
        </w:rPr>
        <w:t>附表</w:t>
      </w:r>
      <w:bookmarkEnd w:id="11"/>
    </w:p>
    <w:p w14:paraId="395D08A0">
      <w:pPr>
        <w:pStyle w:val="22"/>
        <w:adjustRightInd w:val="0"/>
        <w:snapToGrid w:val="0"/>
        <w:spacing w:before="0" w:beforeAutospacing="0" w:after="0" w:afterAutospacing="0" w:line="360" w:lineRule="auto"/>
        <w:jc w:val="center"/>
        <w:rPr>
          <w:rFonts w:hint="eastAsia" w:ascii="Times New Roman" w:hAnsi="Times New Roman" w:eastAsia="宋体"/>
          <w:snapToGrid w:val="0"/>
          <w:sz w:val="38"/>
          <w:szCs w:val="38"/>
        </w:rPr>
      </w:pPr>
      <w:r>
        <w:rPr>
          <w:rFonts w:hint="eastAsia" w:ascii="Times New Roman" w:hAnsi="Times New Roman" w:eastAsia="宋体"/>
          <w:snapToGrid w:val="0"/>
          <w:sz w:val="38"/>
          <w:szCs w:val="38"/>
        </w:rPr>
        <w:t>建设项目污染物排放量汇总表</w:t>
      </w:r>
    </w:p>
    <w:tbl>
      <w:tblPr>
        <w:tblStyle w:val="25"/>
        <w:tblW w:w="13865" w:type="dxa"/>
        <w:tblInd w:w="-8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43"/>
        <w:gridCol w:w="1470"/>
        <w:gridCol w:w="1665"/>
        <w:gridCol w:w="1404"/>
        <w:gridCol w:w="1566"/>
        <w:gridCol w:w="1545"/>
        <w:gridCol w:w="1680"/>
        <w:gridCol w:w="1725"/>
        <w:gridCol w:w="1367"/>
      </w:tblGrid>
      <w:tr w14:paraId="23876B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43" w:type="dxa"/>
            <w:tcBorders>
              <w:tl2br w:val="single" w:color="auto" w:sz="4" w:space="0"/>
            </w:tcBorders>
            <w:noWrap w:val="0"/>
            <w:tcMar>
              <w:left w:w="28" w:type="dxa"/>
              <w:right w:w="28" w:type="dxa"/>
            </w:tcMar>
            <w:vAlign w:val="center"/>
          </w:tcPr>
          <w:p w14:paraId="3A1CF5B1">
            <w:pPr>
              <w:pStyle w:val="52"/>
              <w:keepNext w:val="0"/>
              <w:keepLines w:val="0"/>
              <w:suppressLineNumbers w:val="0"/>
              <w:spacing w:before="0" w:beforeLines="0" w:beforeAutospacing="0" w:after="0" w:afterLines="0" w:afterAutospacing="0" w:line="240" w:lineRule="auto"/>
              <w:ind w:left="0" w:right="0"/>
              <w:jc w:val="right"/>
              <w:rPr>
                <w:rFonts w:hint="eastAsia" w:ascii="Times New Roman" w:hAnsi="Times New Roman" w:eastAsia="宋体" w:cs="宋体"/>
                <w:snapToGrid w:val="0"/>
                <w:spacing w:val="-6"/>
                <w:kern w:val="21"/>
                <w:szCs w:val="21"/>
              </w:rPr>
            </w:pPr>
            <w:r>
              <w:rPr>
                <w:rFonts w:hint="eastAsia" w:ascii="Times New Roman" w:hAnsi="Times New Roman" w:eastAsia="宋体" w:cs="宋体"/>
                <w:snapToGrid w:val="0"/>
                <w:spacing w:val="-6"/>
                <w:kern w:val="21"/>
                <w:szCs w:val="21"/>
              </w:rPr>
              <w:t>项目</w:t>
            </w:r>
          </w:p>
          <w:p w14:paraId="11DDF6BE">
            <w:pPr>
              <w:pStyle w:val="52"/>
              <w:keepNext w:val="0"/>
              <w:keepLines w:val="0"/>
              <w:suppressLineNumbers w:val="0"/>
              <w:spacing w:before="0" w:beforeLines="0" w:beforeAutospacing="0" w:after="0" w:afterLines="0" w:afterAutospacing="0" w:line="240" w:lineRule="auto"/>
              <w:ind w:left="0" w:right="0"/>
              <w:jc w:val="left"/>
              <w:rPr>
                <w:rFonts w:hint="eastAsia" w:ascii="Times New Roman" w:hAnsi="Times New Roman" w:eastAsia="宋体" w:cs="宋体"/>
                <w:snapToGrid w:val="0"/>
                <w:spacing w:val="-6"/>
                <w:kern w:val="21"/>
                <w:szCs w:val="21"/>
              </w:rPr>
            </w:pPr>
            <w:r>
              <w:rPr>
                <w:rFonts w:hint="eastAsia" w:ascii="Times New Roman" w:hAnsi="Times New Roman" w:eastAsia="宋体" w:cs="宋体"/>
                <w:snapToGrid w:val="0"/>
                <w:spacing w:val="-6"/>
                <w:kern w:val="21"/>
                <w:szCs w:val="21"/>
              </w:rPr>
              <w:t>分类</w:t>
            </w:r>
          </w:p>
        </w:tc>
        <w:tc>
          <w:tcPr>
            <w:tcW w:w="1470" w:type="dxa"/>
            <w:noWrap w:val="0"/>
            <w:tcMar>
              <w:left w:w="28" w:type="dxa"/>
              <w:right w:w="28" w:type="dxa"/>
            </w:tcMar>
            <w:vAlign w:val="center"/>
          </w:tcPr>
          <w:p w14:paraId="10472B6F">
            <w:pPr>
              <w:pStyle w:val="52"/>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宋体"/>
                <w:snapToGrid w:val="0"/>
                <w:spacing w:val="-6"/>
                <w:kern w:val="21"/>
                <w:szCs w:val="21"/>
              </w:rPr>
            </w:pPr>
            <w:r>
              <w:rPr>
                <w:rFonts w:hint="eastAsia" w:ascii="Times New Roman" w:hAnsi="Times New Roman" w:eastAsia="宋体" w:cs="宋体"/>
                <w:snapToGrid w:val="0"/>
                <w:spacing w:val="-6"/>
                <w:kern w:val="21"/>
                <w:szCs w:val="21"/>
              </w:rPr>
              <w:t>污染物名称</w:t>
            </w:r>
          </w:p>
        </w:tc>
        <w:tc>
          <w:tcPr>
            <w:tcW w:w="1665" w:type="dxa"/>
            <w:noWrap w:val="0"/>
            <w:tcMar>
              <w:left w:w="28" w:type="dxa"/>
              <w:right w:w="28" w:type="dxa"/>
            </w:tcMar>
            <w:vAlign w:val="center"/>
          </w:tcPr>
          <w:p w14:paraId="22B33965">
            <w:pPr>
              <w:pStyle w:val="52"/>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snapToGrid w:val="0"/>
                <w:spacing w:val="-6"/>
                <w:kern w:val="21"/>
                <w:szCs w:val="21"/>
              </w:rPr>
            </w:pPr>
            <w:r>
              <w:rPr>
                <w:rFonts w:hint="default" w:ascii="Times New Roman" w:hAnsi="Times New Roman" w:eastAsia="宋体" w:cs="Times New Roman"/>
                <w:snapToGrid w:val="0"/>
                <w:spacing w:val="-6"/>
                <w:kern w:val="21"/>
                <w:szCs w:val="21"/>
              </w:rPr>
              <w:t>现有工程</w:t>
            </w:r>
          </w:p>
          <w:p w14:paraId="6025B443">
            <w:pPr>
              <w:pStyle w:val="52"/>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spacing w:val="-6"/>
                <w:kern w:val="21"/>
                <w:szCs w:val="21"/>
              </w:rPr>
            </w:pPr>
            <w:r>
              <w:rPr>
                <w:rFonts w:hint="default" w:ascii="Times New Roman" w:hAnsi="Times New Roman" w:eastAsia="宋体" w:cs="Times New Roman"/>
                <w:snapToGrid w:val="0"/>
                <w:spacing w:val="-6"/>
                <w:kern w:val="21"/>
                <w:szCs w:val="21"/>
              </w:rPr>
              <w:t>排放量（固</w:t>
            </w:r>
            <w:r>
              <w:rPr>
                <w:rFonts w:hint="eastAsia" w:ascii="Times New Roman" w:hAnsi="Times New Roman" w:eastAsia="宋体" w:cs="Times New Roman"/>
                <w:snapToGrid w:val="0"/>
                <w:spacing w:val="-6"/>
                <w:kern w:val="21"/>
                <w:szCs w:val="21"/>
              </w:rPr>
              <w:t>体</w:t>
            </w:r>
            <w:r>
              <w:rPr>
                <w:rFonts w:hint="default" w:ascii="Times New Roman" w:hAnsi="Times New Roman" w:eastAsia="宋体" w:cs="Times New Roman"/>
                <w:snapToGrid w:val="0"/>
                <w:spacing w:val="-6"/>
                <w:kern w:val="21"/>
                <w:szCs w:val="21"/>
              </w:rPr>
              <w:t>废</w:t>
            </w:r>
            <w:r>
              <w:rPr>
                <w:rFonts w:hint="eastAsia" w:ascii="Times New Roman" w:hAnsi="Times New Roman" w:eastAsia="宋体" w:cs="Times New Roman"/>
                <w:snapToGrid w:val="0"/>
                <w:spacing w:val="-6"/>
                <w:kern w:val="21"/>
                <w:szCs w:val="21"/>
              </w:rPr>
              <w:t>物</w:t>
            </w:r>
            <w:r>
              <w:rPr>
                <w:rFonts w:hint="default" w:ascii="Times New Roman" w:hAnsi="Times New Roman" w:eastAsia="宋体" w:cs="Times New Roman"/>
                <w:snapToGrid w:val="0"/>
                <w:spacing w:val="-6"/>
                <w:kern w:val="21"/>
                <w:szCs w:val="21"/>
              </w:rPr>
              <w:t>产生量）</w:t>
            </w:r>
            <w:r>
              <w:rPr>
                <w:rFonts w:hint="default" w:ascii="Times New Roman" w:hAnsi="Times New Roman" w:eastAsia="宋体" w:cs="Times New Roman"/>
                <w:snapToGrid w:val="0"/>
                <w:spacing w:val="-6"/>
                <w:kern w:val="21"/>
                <w:szCs w:val="21"/>
              </w:rPr>
              <w:fldChar w:fldCharType="begin"/>
            </w:r>
            <w:r>
              <w:rPr>
                <w:rFonts w:hint="default" w:ascii="Times New Roman" w:hAnsi="Times New Roman" w:eastAsia="宋体" w:cs="Times New Roman"/>
                <w:snapToGrid w:val="0"/>
                <w:spacing w:val="-6"/>
                <w:kern w:val="21"/>
                <w:szCs w:val="21"/>
              </w:rPr>
              <w:instrText xml:space="preserve"> = 1 \* GB3 \* MERGEFORMAT </w:instrText>
            </w:r>
            <w:r>
              <w:rPr>
                <w:rFonts w:hint="default" w:ascii="Times New Roman" w:hAnsi="Times New Roman" w:eastAsia="宋体" w:cs="Times New Roman"/>
                <w:snapToGrid w:val="0"/>
                <w:spacing w:val="-6"/>
                <w:kern w:val="21"/>
                <w:szCs w:val="21"/>
              </w:rPr>
              <w:fldChar w:fldCharType="separate"/>
            </w:r>
            <w:r>
              <w:rPr>
                <w:rFonts w:hint="eastAsia" w:ascii="Times New Roman" w:hAnsi="Times New Roman" w:eastAsia="宋体" w:cs="宋体"/>
                <w:kern w:val="2"/>
                <w:szCs w:val="21"/>
              </w:rPr>
              <w:t>①</w:t>
            </w:r>
            <w:r>
              <w:rPr>
                <w:rFonts w:hint="default" w:ascii="Times New Roman" w:hAnsi="Times New Roman" w:eastAsia="宋体" w:cs="Times New Roman"/>
                <w:snapToGrid w:val="0"/>
                <w:spacing w:val="-6"/>
                <w:kern w:val="21"/>
                <w:szCs w:val="21"/>
              </w:rPr>
              <w:fldChar w:fldCharType="end"/>
            </w:r>
          </w:p>
        </w:tc>
        <w:tc>
          <w:tcPr>
            <w:tcW w:w="1404" w:type="dxa"/>
            <w:noWrap w:val="0"/>
            <w:tcMar>
              <w:left w:w="28" w:type="dxa"/>
              <w:right w:w="28" w:type="dxa"/>
            </w:tcMar>
            <w:vAlign w:val="center"/>
          </w:tcPr>
          <w:p w14:paraId="1EBC3F62">
            <w:pPr>
              <w:pStyle w:val="52"/>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spacing w:val="-6"/>
                <w:kern w:val="21"/>
                <w:szCs w:val="21"/>
              </w:rPr>
            </w:pPr>
            <w:r>
              <w:rPr>
                <w:rFonts w:hint="default" w:ascii="Times New Roman" w:hAnsi="Times New Roman" w:eastAsia="宋体" w:cs="Times New Roman"/>
                <w:snapToGrid w:val="0"/>
                <w:spacing w:val="-6"/>
                <w:kern w:val="21"/>
                <w:szCs w:val="21"/>
              </w:rPr>
              <w:t>现有工程</w:t>
            </w:r>
          </w:p>
          <w:p w14:paraId="24CECB40">
            <w:pPr>
              <w:pStyle w:val="52"/>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spacing w:val="-6"/>
                <w:kern w:val="21"/>
                <w:szCs w:val="21"/>
              </w:rPr>
            </w:pPr>
            <w:r>
              <w:rPr>
                <w:rFonts w:hint="default" w:ascii="Times New Roman" w:hAnsi="Times New Roman" w:eastAsia="宋体" w:cs="Times New Roman"/>
                <w:snapToGrid w:val="0"/>
                <w:spacing w:val="-6"/>
                <w:kern w:val="21"/>
                <w:szCs w:val="21"/>
              </w:rPr>
              <w:t>许可排放量</w:t>
            </w:r>
          </w:p>
          <w:p w14:paraId="5057031D">
            <w:pPr>
              <w:pStyle w:val="52"/>
              <w:keepNext w:val="0"/>
              <w:keepLines w:val="0"/>
              <w:suppressLineNumbers w:val="0"/>
              <w:spacing w:before="0" w:beforeLines="0" w:beforeAutospacing="0" w:after="0" w:afterLines="0" w:afterAutospacing="0"/>
              <w:ind w:left="0" w:right="0"/>
              <w:rPr>
                <w:rFonts w:hint="default" w:ascii="Times New Roman" w:hAnsi="Times New Roman" w:eastAsia="宋体" w:cs="Times New Roman"/>
                <w:snapToGrid w:val="0"/>
                <w:spacing w:val="-6"/>
                <w:kern w:val="21"/>
                <w:szCs w:val="21"/>
              </w:rPr>
            </w:pPr>
            <w:r>
              <w:rPr>
                <w:rFonts w:hint="default" w:ascii="Times New Roman" w:hAnsi="Times New Roman" w:eastAsia="宋体" w:cs="Times New Roman"/>
                <w:snapToGrid w:val="0"/>
                <w:spacing w:val="-6"/>
                <w:kern w:val="21"/>
                <w:szCs w:val="21"/>
              </w:rPr>
              <w:fldChar w:fldCharType="begin"/>
            </w:r>
            <w:r>
              <w:rPr>
                <w:rFonts w:hint="default" w:ascii="Times New Roman" w:hAnsi="Times New Roman" w:eastAsia="宋体" w:cs="Times New Roman"/>
                <w:snapToGrid w:val="0"/>
                <w:spacing w:val="-6"/>
                <w:kern w:val="21"/>
                <w:szCs w:val="21"/>
              </w:rPr>
              <w:instrText xml:space="preserve"> = 2 \* GB3 \* MERGEFORMAT </w:instrText>
            </w:r>
            <w:r>
              <w:rPr>
                <w:rFonts w:hint="default" w:ascii="Times New Roman" w:hAnsi="Times New Roman" w:eastAsia="宋体" w:cs="Times New Roman"/>
                <w:snapToGrid w:val="0"/>
                <w:spacing w:val="-6"/>
                <w:kern w:val="21"/>
                <w:szCs w:val="21"/>
              </w:rPr>
              <w:fldChar w:fldCharType="separate"/>
            </w:r>
            <w:r>
              <w:rPr>
                <w:rFonts w:hint="eastAsia" w:ascii="Times New Roman" w:hAnsi="Times New Roman" w:eastAsia="宋体" w:cs="宋体"/>
                <w:snapToGrid w:val="0"/>
                <w:spacing w:val="-6"/>
                <w:kern w:val="21"/>
                <w:szCs w:val="21"/>
              </w:rPr>
              <w:t>②</w:t>
            </w:r>
            <w:r>
              <w:rPr>
                <w:rFonts w:hint="default" w:ascii="Times New Roman" w:hAnsi="Times New Roman" w:eastAsia="宋体" w:cs="Times New Roman"/>
                <w:snapToGrid w:val="0"/>
                <w:spacing w:val="-6"/>
                <w:kern w:val="21"/>
                <w:szCs w:val="21"/>
              </w:rPr>
              <w:fldChar w:fldCharType="end"/>
            </w:r>
          </w:p>
        </w:tc>
        <w:tc>
          <w:tcPr>
            <w:tcW w:w="1566" w:type="dxa"/>
            <w:noWrap w:val="0"/>
            <w:tcMar>
              <w:left w:w="28" w:type="dxa"/>
              <w:right w:w="28" w:type="dxa"/>
            </w:tcMar>
            <w:vAlign w:val="center"/>
          </w:tcPr>
          <w:p w14:paraId="53336474">
            <w:pPr>
              <w:pStyle w:val="52"/>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snapToGrid w:val="0"/>
                <w:spacing w:val="-6"/>
                <w:kern w:val="21"/>
                <w:szCs w:val="21"/>
              </w:rPr>
            </w:pPr>
            <w:r>
              <w:rPr>
                <w:rFonts w:hint="default" w:ascii="Times New Roman" w:hAnsi="Times New Roman" w:eastAsia="宋体" w:cs="Times New Roman"/>
                <w:snapToGrid w:val="0"/>
                <w:spacing w:val="-6"/>
                <w:kern w:val="21"/>
                <w:szCs w:val="21"/>
              </w:rPr>
              <w:t>在建工程</w:t>
            </w:r>
          </w:p>
          <w:p w14:paraId="2DCC050F">
            <w:pPr>
              <w:pStyle w:val="52"/>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spacing w:val="-6"/>
                <w:kern w:val="21"/>
                <w:szCs w:val="21"/>
              </w:rPr>
            </w:pPr>
            <w:r>
              <w:rPr>
                <w:rFonts w:hint="default" w:ascii="Times New Roman" w:hAnsi="Times New Roman" w:eastAsia="宋体" w:cs="Times New Roman"/>
                <w:snapToGrid w:val="0"/>
                <w:spacing w:val="-6"/>
                <w:kern w:val="21"/>
                <w:szCs w:val="21"/>
              </w:rPr>
              <w:t>排放量（固</w:t>
            </w:r>
            <w:r>
              <w:rPr>
                <w:rFonts w:hint="eastAsia" w:ascii="Times New Roman" w:hAnsi="Times New Roman" w:eastAsia="宋体" w:cs="Times New Roman"/>
                <w:snapToGrid w:val="0"/>
                <w:spacing w:val="-6"/>
                <w:kern w:val="21"/>
                <w:szCs w:val="21"/>
              </w:rPr>
              <w:t>体</w:t>
            </w:r>
            <w:r>
              <w:rPr>
                <w:rFonts w:hint="default" w:ascii="Times New Roman" w:hAnsi="Times New Roman" w:eastAsia="宋体" w:cs="Times New Roman"/>
                <w:snapToGrid w:val="0"/>
                <w:spacing w:val="-6"/>
                <w:kern w:val="21"/>
                <w:szCs w:val="21"/>
              </w:rPr>
              <w:t>废</w:t>
            </w:r>
            <w:r>
              <w:rPr>
                <w:rFonts w:hint="eastAsia" w:ascii="Times New Roman" w:hAnsi="Times New Roman" w:eastAsia="宋体" w:cs="Times New Roman"/>
                <w:snapToGrid w:val="0"/>
                <w:spacing w:val="-6"/>
                <w:kern w:val="21"/>
                <w:szCs w:val="21"/>
              </w:rPr>
              <w:t>物</w:t>
            </w:r>
            <w:r>
              <w:rPr>
                <w:rFonts w:hint="default" w:ascii="Times New Roman" w:hAnsi="Times New Roman" w:eastAsia="宋体" w:cs="Times New Roman"/>
                <w:snapToGrid w:val="0"/>
                <w:spacing w:val="-6"/>
                <w:kern w:val="21"/>
                <w:szCs w:val="21"/>
              </w:rPr>
              <w:t>产生量）</w:t>
            </w:r>
            <w:r>
              <w:rPr>
                <w:rFonts w:hint="default" w:ascii="Times New Roman" w:hAnsi="Times New Roman" w:eastAsia="宋体" w:cs="Times New Roman"/>
                <w:snapToGrid w:val="0"/>
                <w:spacing w:val="-6"/>
                <w:kern w:val="21"/>
                <w:szCs w:val="21"/>
              </w:rPr>
              <w:fldChar w:fldCharType="begin"/>
            </w:r>
            <w:r>
              <w:rPr>
                <w:rFonts w:hint="default" w:ascii="Times New Roman" w:hAnsi="Times New Roman" w:eastAsia="宋体" w:cs="Times New Roman"/>
                <w:snapToGrid w:val="0"/>
                <w:spacing w:val="-6"/>
                <w:kern w:val="21"/>
                <w:szCs w:val="21"/>
              </w:rPr>
              <w:instrText xml:space="preserve"> = 3 \* GB3 \* MERGEFORMAT </w:instrText>
            </w:r>
            <w:r>
              <w:rPr>
                <w:rFonts w:hint="default" w:ascii="Times New Roman" w:hAnsi="Times New Roman" w:eastAsia="宋体" w:cs="Times New Roman"/>
                <w:snapToGrid w:val="0"/>
                <w:spacing w:val="-6"/>
                <w:kern w:val="21"/>
                <w:szCs w:val="21"/>
              </w:rPr>
              <w:fldChar w:fldCharType="separate"/>
            </w:r>
            <w:r>
              <w:rPr>
                <w:rFonts w:hint="eastAsia" w:ascii="Times New Roman" w:hAnsi="Times New Roman" w:eastAsia="宋体" w:cs="宋体"/>
                <w:kern w:val="2"/>
                <w:szCs w:val="21"/>
              </w:rPr>
              <w:t>③</w:t>
            </w:r>
            <w:r>
              <w:rPr>
                <w:rFonts w:hint="default" w:ascii="Times New Roman" w:hAnsi="Times New Roman" w:eastAsia="宋体" w:cs="Times New Roman"/>
                <w:snapToGrid w:val="0"/>
                <w:spacing w:val="-6"/>
                <w:kern w:val="21"/>
                <w:szCs w:val="21"/>
              </w:rPr>
              <w:fldChar w:fldCharType="end"/>
            </w:r>
          </w:p>
        </w:tc>
        <w:tc>
          <w:tcPr>
            <w:tcW w:w="1545" w:type="dxa"/>
            <w:noWrap w:val="0"/>
            <w:tcMar>
              <w:left w:w="28" w:type="dxa"/>
              <w:right w:w="28" w:type="dxa"/>
            </w:tcMar>
            <w:vAlign w:val="center"/>
          </w:tcPr>
          <w:p w14:paraId="09C1C39A">
            <w:pPr>
              <w:pStyle w:val="52"/>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snapToGrid w:val="0"/>
                <w:spacing w:val="-6"/>
                <w:kern w:val="21"/>
                <w:szCs w:val="21"/>
              </w:rPr>
            </w:pPr>
            <w:r>
              <w:rPr>
                <w:rFonts w:hint="default" w:ascii="Times New Roman" w:hAnsi="Times New Roman" w:eastAsia="宋体" w:cs="Times New Roman"/>
                <w:snapToGrid w:val="0"/>
                <w:spacing w:val="-6"/>
                <w:kern w:val="21"/>
                <w:szCs w:val="21"/>
              </w:rPr>
              <w:t>本项目</w:t>
            </w:r>
          </w:p>
          <w:p w14:paraId="433CE3CC">
            <w:pPr>
              <w:pStyle w:val="52"/>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spacing w:val="-6"/>
                <w:kern w:val="21"/>
                <w:szCs w:val="21"/>
              </w:rPr>
            </w:pPr>
            <w:r>
              <w:rPr>
                <w:rFonts w:hint="default" w:ascii="Times New Roman" w:hAnsi="Times New Roman" w:eastAsia="宋体" w:cs="Times New Roman"/>
                <w:snapToGrid w:val="0"/>
                <w:spacing w:val="-6"/>
                <w:kern w:val="21"/>
                <w:szCs w:val="21"/>
              </w:rPr>
              <w:t>排放量（固</w:t>
            </w:r>
            <w:r>
              <w:rPr>
                <w:rFonts w:hint="eastAsia" w:ascii="Times New Roman" w:hAnsi="Times New Roman" w:eastAsia="宋体" w:cs="Times New Roman"/>
                <w:snapToGrid w:val="0"/>
                <w:spacing w:val="-6"/>
                <w:kern w:val="21"/>
                <w:szCs w:val="21"/>
              </w:rPr>
              <w:t>体</w:t>
            </w:r>
            <w:r>
              <w:rPr>
                <w:rFonts w:hint="default" w:ascii="Times New Roman" w:hAnsi="Times New Roman" w:eastAsia="宋体" w:cs="Times New Roman"/>
                <w:snapToGrid w:val="0"/>
                <w:spacing w:val="-6"/>
                <w:kern w:val="21"/>
                <w:szCs w:val="21"/>
              </w:rPr>
              <w:t>废</w:t>
            </w:r>
            <w:r>
              <w:rPr>
                <w:rFonts w:hint="eastAsia" w:ascii="Times New Roman" w:hAnsi="Times New Roman" w:eastAsia="宋体" w:cs="Times New Roman"/>
                <w:snapToGrid w:val="0"/>
                <w:spacing w:val="-6"/>
                <w:kern w:val="21"/>
                <w:szCs w:val="21"/>
              </w:rPr>
              <w:t>物</w:t>
            </w:r>
            <w:r>
              <w:rPr>
                <w:rFonts w:hint="default" w:ascii="Times New Roman" w:hAnsi="Times New Roman" w:eastAsia="宋体" w:cs="Times New Roman"/>
                <w:snapToGrid w:val="0"/>
                <w:spacing w:val="-6"/>
                <w:kern w:val="21"/>
                <w:szCs w:val="21"/>
              </w:rPr>
              <w:t>产生量）</w:t>
            </w:r>
            <w:r>
              <w:rPr>
                <w:rFonts w:hint="default" w:ascii="Times New Roman" w:hAnsi="Times New Roman" w:eastAsia="宋体" w:cs="Times New Roman"/>
                <w:snapToGrid w:val="0"/>
                <w:spacing w:val="-6"/>
                <w:kern w:val="21"/>
                <w:szCs w:val="21"/>
              </w:rPr>
              <w:fldChar w:fldCharType="begin"/>
            </w:r>
            <w:r>
              <w:rPr>
                <w:rFonts w:hint="default" w:ascii="Times New Roman" w:hAnsi="Times New Roman" w:eastAsia="宋体" w:cs="Times New Roman"/>
                <w:snapToGrid w:val="0"/>
                <w:spacing w:val="-6"/>
                <w:kern w:val="21"/>
                <w:szCs w:val="21"/>
              </w:rPr>
              <w:instrText xml:space="preserve"> = 4 \* GB3 \* MERGEFORMAT </w:instrText>
            </w:r>
            <w:r>
              <w:rPr>
                <w:rFonts w:hint="default" w:ascii="Times New Roman" w:hAnsi="Times New Roman" w:eastAsia="宋体" w:cs="Times New Roman"/>
                <w:snapToGrid w:val="0"/>
                <w:spacing w:val="-6"/>
                <w:kern w:val="21"/>
                <w:szCs w:val="21"/>
              </w:rPr>
              <w:fldChar w:fldCharType="separate"/>
            </w:r>
            <w:r>
              <w:rPr>
                <w:rFonts w:hint="eastAsia" w:ascii="Times New Roman" w:hAnsi="Times New Roman" w:eastAsia="宋体" w:cs="宋体"/>
                <w:kern w:val="2"/>
                <w:szCs w:val="21"/>
              </w:rPr>
              <w:t>④</w:t>
            </w:r>
            <w:r>
              <w:rPr>
                <w:rFonts w:hint="default" w:ascii="Times New Roman" w:hAnsi="Times New Roman" w:eastAsia="宋体" w:cs="Times New Roman"/>
                <w:snapToGrid w:val="0"/>
                <w:spacing w:val="-6"/>
                <w:kern w:val="21"/>
                <w:szCs w:val="21"/>
              </w:rPr>
              <w:fldChar w:fldCharType="end"/>
            </w:r>
          </w:p>
        </w:tc>
        <w:tc>
          <w:tcPr>
            <w:tcW w:w="1680" w:type="dxa"/>
            <w:noWrap w:val="0"/>
            <w:tcMar>
              <w:left w:w="28" w:type="dxa"/>
              <w:right w:w="28" w:type="dxa"/>
            </w:tcMar>
            <w:vAlign w:val="center"/>
          </w:tcPr>
          <w:p w14:paraId="7B118149">
            <w:pPr>
              <w:pStyle w:val="52"/>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snapToGrid w:val="0"/>
                <w:spacing w:val="-16"/>
                <w:kern w:val="21"/>
                <w:szCs w:val="21"/>
              </w:rPr>
            </w:pPr>
            <w:r>
              <w:rPr>
                <w:rFonts w:hint="default" w:ascii="Times New Roman" w:hAnsi="Times New Roman" w:eastAsia="宋体" w:cs="Times New Roman"/>
                <w:snapToGrid w:val="0"/>
                <w:spacing w:val="-16"/>
                <w:kern w:val="21"/>
                <w:szCs w:val="21"/>
              </w:rPr>
              <w:t>以新带老削减量</w:t>
            </w:r>
          </w:p>
          <w:p w14:paraId="47B6434A">
            <w:pPr>
              <w:pStyle w:val="52"/>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spacing w:val="-16"/>
                <w:kern w:val="21"/>
                <w:szCs w:val="21"/>
              </w:rPr>
            </w:pPr>
            <w:r>
              <w:rPr>
                <w:rFonts w:hint="default" w:ascii="Times New Roman" w:hAnsi="Times New Roman" w:eastAsia="宋体" w:cs="Times New Roman"/>
                <w:snapToGrid w:val="0"/>
                <w:spacing w:val="-16"/>
                <w:kern w:val="21"/>
                <w:szCs w:val="21"/>
              </w:rPr>
              <w:t>（新建项目不填）</w:t>
            </w:r>
            <w:r>
              <w:rPr>
                <w:rFonts w:hint="default" w:ascii="Times New Roman" w:hAnsi="Times New Roman" w:eastAsia="宋体" w:cs="Times New Roman"/>
                <w:snapToGrid w:val="0"/>
                <w:spacing w:val="-16"/>
                <w:kern w:val="21"/>
                <w:szCs w:val="21"/>
              </w:rPr>
              <w:fldChar w:fldCharType="begin"/>
            </w:r>
            <w:r>
              <w:rPr>
                <w:rFonts w:hint="default" w:ascii="Times New Roman" w:hAnsi="Times New Roman" w:eastAsia="宋体" w:cs="Times New Roman"/>
                <w:snapToGrid w:val="0"/>
                <w:spacing w:val="-16"/>
                <w:kern w:val="21"/>
                <w:szCs w:val="21"/>
              </w:rPr>
              <w:instrText xml:space="preserve"> = 5 \* GB3 \* MERGEFORMAT </w:instrText>
            </w:r>
            <w:r>
              <w:rPr>
                <w:rFonts w:hint="default" w:ascii="Times New Roman" w:hAnsi="Times New Roman" w:eastAsia="宋体" w:cs="Times New Roman"/>
                <w:snapToGrid w:val="0"/>
                <w:spacing w:val="-16"/>
                <w:kern w:val="21"/>
                <w:szCs w:val="21"/>
              </w:rPr>
              <w:fldChar w:fldCharType="separate"/>
            </w:r>
            <w:r>
              <w:rPr>
                <w:rFonts w:hint="eastAsia" w:ascii="Times New Roman" w:hAnsi="Times New Roman" w:eastAsia="宋体" w:cs="宋体"/>
                <w:kern w:val="2"/>
                <w:szCs w:val="21"/>
              </w:rPr>
              <w:t>⑤</w:t>
            </w:r>
            <w:r>
              <w:rPr>
                <w:rFonts w:hint="default" w:ascii="Times New Roman" w:hAnsi="Times New Roman" w:eastAsia="宋体" w:cs="Times New Roman"/>
                <w:snapToGrid w:val="0"/>
                <w:spacing w:val="-16"/>
                <w:kern w:val="21"/>
                <w:szCs w:val="21"/>
              </w:rPr>
              <w:fldChar w:fldCharType="end"/>
            </w:r>
          </w:p>
        </w:tc>
        <w:tc>
          <w:tcPr>
            <w:tcW w:w="1725" w:type="dxa"/>
            <w:noWrap w:val="0"/>
            <w:tcMar>
              <w:left w:w="28" w:type="dxa"/>
              <w:right w:w="28" w:type="dxa"/>
            </w:tcMar>
            <w:vAlign w:val="center"/>
          </w:tcPr>
          <w:p w14:paraId="1A6E0867">
            <w:pPr>
              <w:pStyle w:val="52"/>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snapToGrid w:val="0"/>
                <w:spacing w:val="-16"/>
                <w:kern w:val="21"/>
                <w:szCs w:val="21"/>
              </w:rPr>
            </w:pPr>
            <w:r>
              <w:rPr>
                <w:rFonts w:hint="default" w:ascii="Times New Roman" w:hAnsi="Times New Roman" w:eastAsia="宋体" w:cs="Times New Roman"/>
                <w:snapToGrid w:val="0"/>
                <w:spacing w:val="-16"/>
                <w:kern w:val="21"/>
                <w:szCs w:val="21"/>
              </w:rPr>
              <w:t>本项目建成后</w:t>
            </w:r>
          </w:p>
          <w:p w14:paraId="5471E94D">
            <w:pPr>
              <w:pStyle w:val="52"/>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spacing w:val="-16"/>
                <w:kern w:val="21"/>
                <w:szCs w:val="21"/>
              </w:rPr>
            </w:pPr>
            <w:r>
              <w:rPr>
                <w:rFonts w:hint="eastAsia" w:ascii="Times New Roman" w:hAnsi="Times New Roman" w:eastAsia="宋体" w:cs="Times New Roman"/>
                <w:snapToGrid w:val="0"/>
                <w:spacing w:val="-16"/>
                <w:kern w:val="21"/>
                <w:szCs w:val="21"/>
              </w:rPr>
              <w:t>全厂</w:t>
            </w:r>
            <w:r>
              <w:rPr>
                <w:rFonts w:hint="default" w:ascii="Times New Roman" w:hAnsi="Times New Roman" w:eastAsia="宋体" w:cs="Times New Roman"/>
                <w:snapToGrid w:val="0"/>
                <w:spacing w:val="-16"/>
                <w:kern w:val="21"/>
                <w:szCs w:val="21"/>
              </w:rPr>
              <w:t>排放量（固</w:t>
            </w:r>
            <w:r>
              <w:rPr>
                <w:rFonts w:hint="eastAsia" w:ascii="Times New Roman" w:hAnsi="Times New Roman" w:eastAsia="宋体" w:cs="Times New Roman"/>
                <w:snapToGrid w:val="0"/>
                <w:spacing w:val="-16"/>
                <w:kern w:val="21"/>
                <w:szCs w:val="21"/>
              </w:rPr>
              <w:t>体</w:t>
            </w:r>
            <w:r>
              <w:rPr>
                <w:rFonts w:hint="default" w:ascii="Times New Roman" w:hAnsi="Times New Roman" w:eastAsia="宋体" w:cs="Times New Roman"/>
                <w:snapToGrid w:val="0"/>
                <w:spacing w:val="-16"/>
                <w:kern w:val="21"/>
                <w:szCs w:val="21"/>
              </w:rPr>
              <w:t>废</w:t>
            </w:r>
            <w:r>
              <w:rPr>
                <w:rFonts w:hint="eastAsia" w:ascii="Times New Roman" w:hAnsi="Times New Roman" w:eastAsia="宋体" w:cs="Times New Roman"/>
                <w:snapToGrid w:val="0"/>
                <w:spacing w:val="-16"/>
                <w:kern w:val="21"/>
                <w:szCs w:val="21"/>
              </w:rPr>
              <w:t>物</w:t>
            </w:r>
            <w:r>
              <w:rPr>
                <w:rFonts w:hint="default" w:ascii="Times New Roman" w:hAnsi="Times New Roman" w:eastAsia="宋体" w:cs="Times New Roman"/>
                <w:snapToGrid w:val="0"/>
                <w:spacing w:val="-16"/>
                <w:kern w:val="21"/>
                <w:szCs w:val="21"/>
              </w:rPr>
              <w:t>产生量）</w:t>
            </w:r>
            <w:r>
              <w:rPr>
                <w:rFonts w:hint="default" w:ascii="Times New Roman" w:hAnsi="Times New Roman" w:eastAsia="宋体" w:cs="Times New Roman"/>
                <w:snapToGrid w:val="0"/>
                <w:spacing w:val="-16"/>
                <w:kern w:val="21"/>
                <w:szCs w:val="21"/>
              </w:rPr>
              <w:fldChar w:fldCharType="begin"/>
            </w:r>
            <w:r>
              <w:rPr>
                <w:rFonts w:hint="default" w:ascii="Times New Roman" w:hAnsi="Times New Roman" w:eastAsia="宋体" w:cs="Times New Roman"/>
                <w:snapToGrid w:val="0"/>
                <w:spacing w:val="-16"/>
                <w:kern w:val="21"/>
                <w:szCs w:val="21"/>
              </w:rPr>
              <w:instrText xml:space="preserve"> = 6 \* GB3 \* MERGEFORMAT </w:instrText>
            </w:r>
            <w:r>
              <w:rPr>
                <w:rFonts w:hint="default" w:ascii="Times New Roman" w:hAnsi="Times New Roman" w:eastAsia="宋体" w:cs="Times New Roman"/>
                <w:snapToGrid w:val="0"/>
                <w:spacing w:val="-16"/>
                <w:kern w:val="21"/>
                <w:szCs w:val="21"/>
              </w:rPr>
              <w:fldChar w:fldCharType="separate"/>
            </w:r>
            <w:r>
              <w:rPr>
                <w:rFonts w:hint="eastAsia" w:ascii="Times New Roman" w:hAnsi="Times New Roman" w:eastAsia="宋体" w:cs="宋体"/>
                <w:kern w:val="2"/>
                <w:szCs w:val="21"/>
              </w:rPr>
              <w:t>⑥</w:t>
            </w:r>
            <w:r>
              <w:rPr>
                <w:rFonts w:hint="default" w:ascii="Times New Roman" w:hAnsi="Times New Roman" w:eastAsia="宋体" w:cs="Times New Roman"/>
                <w:snapToGrid w:val="0"/>
                <w:spacing w:val="-16"/>
                <w:kern w:val="21"/>
                <w:szCs w:val="21"/>
              </w:rPr>
              <w:fldChar w:fldCharType="end"/>
            </w:r>
          </w:p>
        </w:tc>
        <w:tc>
          <w:tcPr>
            <w:tcW w:w="1367" w:type="dxa"/>
            <w:noWrap w:val="0"/>
            <w:tcMar>
              <w:left w:w="28" w:type="dxa"/>
              <w:right w:w="28" w:type="dxa"/>
            </w:tcMar>
            <w:vAlign w:val="center"/>
          </w:tcPr>
          <w:p w14:paraId="446A032B">
            <w:pPr>
              <w:pStyle w:val="52"/>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spacing w:val="-6"/>
                <w:kern w:val="21"/>
                <w:szCs w:val="21"/>
              </w:rPr>
            </w:pPr>
            <w:r>
              <w:rPr>
                <w:rFonts w:hint="default" w:ascii="Times New Roman" w:hAnsi="Times New Roman" w:eastAsia="宋体" w:cs="Times New Roman"/>
                <w:snapToGrid w:val="0"/>
                <w:spacing w:val="-6"/>
                <w:kern w:val="21"/>
                <w:szCs w:val="21"/>
              </w:rPr>
              <w:t>变化量</w:t>
            </w:r>
          </w:p>
          <w:p w14:paraId="4D798AFA">
            <w:pPr>
              <w:pStyle w:val="52"/>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spacing w:val="-6"/>
                <w:kern w:val="21"/>
                <w:szCs w:val="21"/>
              </w:rPr>
            </w:pPr>
            <w:r>
              <w:rPr>
                <w:rFonts w:hint="default" w:ascii="Times New Roman" w:hAnsi="Times New Roman" w:eastAsia="宋体" w:cs="Times New Roman"/>
                <w:snapToGrid w:val="0"/>
                <w:spacing w:val="-6"/>
                <w:kern w:val="21"/>
                <w:szCs w:val="21"/>
              </w:rPr>
              <w:fldChar w:fldCharType="begin"/>
            </w:r>
            <w:r>
              <w:rPr>
                <w:rFonts w:hint="default" w:ascii="Times New Roman" w:hAnsi="Times New Roman" w:eastAsia="宋体" w:cs="Times New Roman"/>
                <w:snapToGrid w:val="0"/>
                <w:spacing w:val="-6"/>
                <w:kern w:val="21"/>
                <w:szCs w:val="21"/>
              </w:rPr>
              <w:instrText xml:space="preserve"> = 7 \* GB3 \* MERGEFORMAT </w:instrText>
            </w:r>
            <w:r>
              <w:rPr>
                <w:rFonts w:hint="default" w:ascii="Times New Roman" w:hAnsi="Times New Roman" w:eastAsia="宋体" w:cs="Times New Roman"/>
                <w:snapToGrid w:val="0"/>
                <w:spacing w:val="-6"/>
                <w:kern w:val="21"/>
                <w:szCs w:val="21"/>
              </w:rPr>
              <w:fldChar w:fldCharType="separate"/>
            </w:r>
            <w:r>
              <w:rPr>
                <w:rFonts w:hint="eastAsia" w:ascii="Times New Roman" w:hAnsi="Times New Roman" w:eastAsia="宋体" w:cs="宋体"/>
                <w:kern w:val="2"/>
                <w:szCs w:val="21"/>
              </w:rPr>
              <w:t>⑦</w:t>
            </w:r>
            <w:r>
              <w:rPr>
                <w:rFonts w:hint="default" w:ascii="Times New Roman" w:hAnsi="Times New Roman" w:eastAsia="宋体" w:cs="Times New Roman"/>
                <w:snapToGrid w:val="0"/>
                <w:spacing w:val="-6"/>
                <w:kern w:val="21"/>
                <w:szCs w:val="21"/>
              </w:rPr>
              <w:fldChar w:fldCharType="end"/>
            </w:r>
          </w:p>
        </w:tc>
      </w:tr>
      <w:tr w14:paraId="4723C4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3" w:type="dxa"/>
            <w:noWrap w:val="0"/>
            <w:vAlign w:val="center"/>
          </w:tcPr>
          <w:p w14:paraId="3CC738DB">
            <w:pPr>
              <w:pStyle w:val="52"/>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宋体"/>
                <w:snapToGrid w:val="0"/>
                <w:kern w:val="21"/>
                <w:szCs w:val="21"/>
              </w:rPr>
            </w:pPr>
            <w:r>
              <w:rPr>
                <w:rFonts w:hint="eastAsia" w:ascii="Times New Roman" w:hAnsi="Times New Roman" w:eastAsia="宋体" w:cs="宋体"/>
                <w:snapToGrid w:val="0"/>
                <w:kern w:val="21"/>
                <w:szCs w:val="21"/>
              </w:rPr>
              <w:t>废气</w:t>
            </w:r>
          </w:p>
        </w:tc>
        <w:tc>
          <w:tcPr>
            <w:tcW w:w="1470" w:type="dxa"/>
            <w:noWrap w:val="0"/>
            <w:vAlign w:val="center"/>
          </w:tcPr>
          <w:p w14:paraId="57F9D739">
            <w:pPr>
              <w:pStyle w:val="52"/>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宋体"/>
                <w:snapToGrid w:val="0"/>
                <w:kern w:val="21"/>
                <w:szCs w:val="21"/>
              </w:rPr>
            </w:pPr>
            <w:r>
              <w:rPr>
                <w:rFonts w:hint="eastAsia" w:ascii="Times New Roman" w:hAnsi="Times New Roman" w:eastAsia="宋体" w:cs="宋体"/>
                <w:snapToGrid w:val="0"/>
                <w:kern w:val="21"/>
                <w:szCs w:val="21"/>
              </w:rPr>
              <w:t>颗粒物</w:t>
            </w:r>
          </w:p>
          <w:p w14:paraId="19F49FA6">
            <w:pPr>
              <w:pStyle w:val="52"/>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kern w:val="21"/>
                <w:szCs w:val="21"/>
              </w:rPr>
            </w:pPr>
            <w:r>
              <w:rPr>
                <w:rFonts w:hint="default" w:ascii="Times New Roman" w:hAnsi="Times New Roman" w:eastAsia="宋体" w:cs="Times New Roman"/>
                <w:color w:val="auto"/>
                <w:sz w:val="21"/>
                <w:szCs w:val="21"/>
              </w:rPr>
              <w:t>（t/a）</w:t>
            </w:r>
          </w:p>
        </w:tc>
        <w:tc>
          <w:tcPr>
            <w:tcW w:w="1665" w:type="dxa"/>
            <w:noWrap w:val="0"/>
            <w:vAlign w:val="center"/>
          </w:tcPr>
          <w:p w14:paraId="537EF195">
            <w:pPr>
              <w:pStyle w:val="52"/>
              <w:keepNext w:val="0"/>
              <w:keepLines w:val="0"/>
              <w:suppressLineNumbers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宋体"/>
                <w:snapToGrid w:val="0"/>
                <w:kern w:val="21"/>
                <w:szCs w:val="21"/>
              </w:rPr>
            </w:pPr>
          </w:p>
        </w:tc>
        <w:tc>
          <w:tcPr>
            <w:tcW w:w="1404" w:type="dxa"/>
            <w:noWrap w:val="0"/>
            <w:vAlign w:val="center"/>
          </w:tcPr>
          <w:p w14:paraId="25B32C71">
            <w:pPr>
              <w:pStyle w:val="52"/>
              <w:keepNext w:val="0"/>
              <w:keepLines w:val="0"/>
              <w:suppressLineNumbers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宋体"/>
                <w:snapToGrid w:val="0"/>
                <w:kern w:val="21"/>
                <w:szCs w:val="21"/>
              </w:rPr>
            </w:pPr>
          </w:p>
        </w:tc>
        <w:tc>
          <w:tcPr>
            <w:tcW w:w="1566" w:type="dxa"/>
            <w:noWrap w:val="0"/>
            <w:vAlign w:val="center"/>
          </w:tcPr>
          <w:p w14:paraId="16363DEB">
            <w:pPr>
              <w:pStyle w:val="52"/>
              <w:keepNext w:val="0"/>
              <w:keepLines w:val="0"/>
              <w:suppressLineNumbers w:val="0"/>
              <w:spacing w:before="0" w:beforeLines="0" w:beforeAutospacing="0" w:after="0" w:afterLines="0" w:afterAutospacing="0" w:line="240" w:lineRule="auto"/>
              <w:ind w:left="0" w:leftChars="0" w:right="0" w:rightChars="0" w:firstLine="0" w:firstLineChars="0"/>
              <w:jc w:val="center"/>
              <w:rPr>
                <w:rFonts w:hint="eastAsia" w:ascii="Times New Roman" w:hAnsi="Times New Roman" w:eastAsia="宋体" w:cs="宋体"/>
                <w:snapToGrid w:val="0"/>
                <w:kern w:val="21"/>
                <w:szCs w:val="21"/>
                <w:lang w:val="en-US" w:eastAsia="zh-CN"/>
              </w:rPr>
            </w:pPr>
          </w:p>
        </w:tc>
        <w:tc>
          <w:tcPr>
            <w:tcW w:w="1545" w:type="dxa"/>
            <w:noWrap w:val="0"/>
            <w:vAlign w:val="center"/>
          </w:tcPr>
          <w:p w14:paraId="59081260">
            <w:pPr>
              <w:keepNext w:val="0"/>
              <w:keepLines w:val="0"/>
              <w:suppressLineNumbers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snapToGrid w:val="0"/>
                <w:kern w:val="21"/>
                <w:szCs w:val="21"/>
                <w:lang w:val="en-US" w:eastAsia="zh-CN"/>
              </w:rPr>
            </w:pPr>
            <w:r>
              <w:rPr>
                <w:rFonts w:hint="eastAsia" w:cs="Times New Roman"/>
                <w:snapToGrid w:val="0"/>
                <w:kern w:val="21"/>
                <w:szCs w:val="21"/>
                <w:lang w:val="en-US" w:eastAsia="zh-CN"/>
              </w:rPr>
              <w:t>0.6688</w:t>
            </w:r>
          </w:p>
        </w:tc>
        <w:tc>
          <w:tcPr>
            <w:tcW w:w="1680" w:type="dxa"/>
            <w:noWrap w:val="0"/>
            <w:vAlign w:val="center"/>
          </w:tcPr>
          <w:p w14:paraId="686CEA68">
            <w:pPr>
              <w:keepNext w:val="0"/>
              <w:keepLines w:val="0"/>
              <w:suppressLineNumbers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宋体"/>
                <w:snapToGrid w:val="0"/>
                <w:kern w:val="21"/>
                <w:szCs w:val="21"/>
              </w:rPr>
            </w:pPr>
          </w:p>
        </w:tc>
        <w:tc>
          <w:tcPr>
            <w:tcW w:w="1725" w:type="dxa"/>
            <w:noWrap w:val="0"/>
            <w:vAlign w:val="center"/>
          </w:tcPr>
          <w:p w14:paraId="42AC0259">
            <w:pPr>
              <w:keepNext w:val="0"/>
              <w:keepLines w:val="0"/>
              <w:suppressLineNumbers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snapToGrid w:val="0"/>
                <w:kern w:val="21"/>
                <w:szCs w:val="21"/>
                <w:lang w:val="en-US"/>
              </w:rPr>
            </w:pPr>
            <w:r>
              <w:rPr>
                <w:rFonts w:hint="eastAsia" w:cs="Times New Roman"/>
                <w:snapToGrid w:val="0"/>
                <w:kern w:val="21"/>
                <w:szCs w:val="21"/>
                <w:lang w:val="en-US" w:eastAsia="zh-CN"/>
              </w:rPr>
              <w:t>0.6688</w:t>
            </w:r>
          </w:p>
        </w:tc>
        <w:tc>
          <w:tcPr>
            <w:tcW w:w="1367" w:type="dxa"/>
            <w:noWrap w:val="0"/>
            <w:vAlign w:val="center"/>
          </w:tcPr>
          <w:p w14:paraId="11DBA7B2">
            <w:pPr>
              <w:keepNext w:val="0"/>
              <w:keepLines w:val="0"/>
              <w:suppressLineNumbers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snapToGrid w:val="0"/>
                <w:kern w:val="21"/>
                <w:szCs w:val="21"/>
                <w:lang w:val="en-US" w:eastAsia="zh-CN"/>
              </w:rPr>
            </w:pPr>
            <w:r>
              <w:rPr>
                <w:rFonts w:hint="eastAsia" w:ascii="Times New Roman" w:hAnsi="Times New Roman" w:eastAsia="宋体" w:cs="Times New Roman"/>
                <w:snapToGrid w:val="0"/>
                <w:kern w:val="21"/>
                <w:szCs w:val="21"/>
                <w:lang w:val="en-US" w:eastAsia="zh-CN"/>
              </w:rPr>
              <w:t>+</w:t>
            </w:r>
            <w:r>
              <w:rPr>
                <w:rFonts w:hint="eastAsia" w:cs="Times New Roman"/>
                <w:snapToGrid w:val="0"/>
                <w:kern w:val="21"/>
                <w:szCs w:val="21"/>
                <w:lang w:val="en-US" w:eastAsia="zh-CN"/>
              </w:rPr>
              <w:t>0.6688</w:t>
            </w:r>
          </w:p>
        </w:tc>
      </w:tr>
      <w:tr w14:paraId="14F6BB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3" w:type="dxa"/>
            <w:vMerge w:val="restart"/>
            <w:noWrap w:val="0"/>
            <w:vAlign w:val="center"/>
          </w:tcPr>
          <w:p w14:paraId="000E434E">
            <w:pPr>
              <w:pStyle w:val="52"/>
              <w:keepNext w:val="0"/>
              <w:keepLines w:val="0"/>
              <w:suppressLineNumbers w:val="0"/>
              <w:spacing w:before="24" w:beforeAutospacing="0" w:after="24" w:afterAutospacing="0" w:line="240" w:lineRule="auto"/>
              <w:ind w:left="0" w:right="0"/>
              <w:rPr>
                <w:rFonts w:hint="eastAsia" w:ascii="Times New Roman" w:hAnsi="Times New Roman" w:eastAsia="宋体" w:cs="宋体"/>
                <w:snapToGrid w:val="0"/>
                <w:kern w:val="21"/>
                <w:szCs w:val="21"/>
                <w:lang w:val="en-US" w:eastAsia="zh-CN"/>
              </w:rPr>
            </w:pPr>
            <w:r>
              <w:rPr>
                <w:rFonts w:hint="eastAsia" w:ascii="Times New Roman" w:cs="宋体"/>
                <w:snapToGrid w:val="0"/>
                <w:kern w:val="21"/>
                <w:szCs w:val="21"/>
                <w:lang w:val="en-US" w:eastAsia="zh-CN"/>
              </w:rPr>
              <w:t>废水</w:t>
            </w:r>
          </w:p>
        </w:tc>
        <w:tc>
          <w:tcPr>
            <w:tcW w:w="1470" w:type="dxa"/>
            <w:noWrap w:val="0"/>
            <w:vAlign w:val="center"/>
          </w:tcPr>
          <w:p w14:paraId="433615D4">
            <w:pPr>
              <w:pStyle w:val="125"/>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Cs w:val="21"/>
              </w:rPr>
            </w:pPr>
            <w:r>
              <w:rPr>
                <w:rFonts w:hint="default" w:eastAsia="宋体"/>
                <w:spacing w:val="7"/>
                <w:sz w:val="21"/>
                <w:szCs w:val="21"/>
              </w:rPr>
              <w:t>COD</w:t>
            </w:r>
            <w:r>
              <w:rPr>
                <w:rFonts w:hint="default" w:eastAsia="宋体"/>
                <w:sz w:val="21"/>
                <w:szCs w:val="21"/>
              </w:rPr>
              <w:t>（t/a）</w:t>
            </w:r>
          </w:p>
        </w:tc>
        <w:tc>
          <w:tcPr>
            <w:tcW w:w="1665" w:type="dxa"/>
            <w:noWrap w:val="0"/>
            <w:vAlign w:val="center"/>
          </w:tcPr>
          <w:p w14:paraId="152D98BE">
            <w:pPr>
              <w:pStyle w:val="52"/>
              <w:keepNext w:val="0"/>
              <w:keepLines w:val="0"/>
              <w:suppressLineNumbers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宋体"/>
                <w:snapToGrid w:val="0"/>
                <w:kern w:val="21"/>
                <w:szCs w:val="21"/>
              </w:rPr>
            </w:pPr>
          </w:p>
        </w:tc>
        <w:tc>
          <w:tcPr>
            <w:tcW w:w="1404" w:type="dxa"/>
            <w:noWrap w:val="0"/>
            <w:vAlign w:val="center"/>
          </w:tcPr>
          <w:p w14:paraId="0B581156">
            <w:pPr>
              <w:pStyle w:val="52"/>
              <w:keepNext w:val="0"/>
              <w:keepLines w:val="0"/>
              <w:suppressLineNumbers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宋体"/>
                <w:snapToGrid w:val="0"/>
                <w:kern w:val="21"/>
                <w:szCs w:val="21"/>
              </w:rPr>
            </w:pPr>
          </w:p>
        </w:tc>
        <w:tc>
          <w:tcPr>
            <w:tcW w:w="1566" w:type="dxa"/>
            <w:noWrap w:val="0"/>
            <w:vAlign w:val="center"/>
          </w:tcPr>
          <w:p w14:paraId="64587EC9">
            <w:pPr>
              <w:pStyle w:val="52"/>
              <w:keepNext w:val="0"/>
              <w:keepLines w:val="0"/>
              <w:suppressLineNumbers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宋体"/>
                <w:snapToGrid w:val="0"/>
                <w:kern w:val="21"/>
                <w:szCs w:val="21"/>
              </w:rPr>
            </w:pPr>
          </w:p>
        </w:tc>
        <w:tc>
          <w:tcPr>
            <w:tcW w:w="1545" w:type="dxa"/>
            <w:noWrap w:val="0"/>
            <w:vAlign w:val="center"/>
          </w:tcPr>
          <w:p w14:paraId="3852D62E">
            <w:pPr>
              <w:keepNext w:val="0"/>
              <w:keepLines w:val="0"/>
              <w:suppressLineNumbers w:val="0"/>
              <w:snapToGrid w:val="0"/>
              <w:spacing w:before="0" w:beforeAutospacing="0" w:after="0" w:afterAutospacing="0"/>
              <w:ind w:left="0" w:leftChars="0" w:right="0" w:rightChars="0"/>
              <w:jc w:val="center"/>
              <w:rPr>
                <w:rFonts w:hint="eastAsia" w:cs="Times New Roman"/>
                <w:color w:val="auto"/>
                <w:szCs w:val="21"/>
                <w:lang w:val="en-US" w:eastAsia="zh-CN"/>
              </w:rPr>
            </w:pPr>
            <w:r>
              <w:rPr>
                <w:rFonts w:hint="eastAsia" w:ascii="Times New Roman" w:hAnsi="Times New Roman" w:eastAsia="宋体" w:cs="Times New Roman"/>
                <w:bCs/>
                <w:szCs w:val="21"/>
              </w:rPr>
              <w:t>0.0</w:t>
            </w:r>
            <w:r>
              <w:rPr>
                <w:rFonts w:hint="eastAsia" w:ascii="Times New Roman" w:hAnsi="Times New Roman" w:eastAsia="宋体" w:cs="Times New Roman"/>
                <w:bCs/>
                <w:szCs w:val="21"/>
                <w:lang w:val="en-US" w:eastAsia="zh-CN"/>
              </w:rPr>
              <w:t>026</w:t>
            </w:r>
          </w:p>
        </w:tc>
        <w:tc>
          <w:tcPr>
            <w:tcW w:w="1680" w:type="dxa"/>
            <w:noWrap w:val="0"/>
            <w:vAlign w:val="center"/>
          </w:tcPr>
          <w:p w14:paraId="52E08ABE">
            <w:pPr>
              <w:keepNext w:val="0"/>
              <w:keepLines w:val="0"/>
              <w:suppressLineNumbers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宋体"/>
                <w:snapToGrid w:val="0"/>
                <w:kern w:val="21"/>
                <w:szCs w:val="21"/>
              </w:rPr>
            </w:pPr>
          </w:p>
        </w:tc>
        <w:tc>
          <w:tcPr>
            <w:tcW w:w="1725" w:type="dxa"/>
            <w:noWrap w:val="0"/>
            <w:vAlign w:val="center"/>
          </w:tcPr>
          <w:p w14:paraId="323C8F24">
            <w:pPr>
              <w:keepNext w:val="0"/>
              <w:keepLines w:val="0"/>
              <w:suppressLineNumbers w:val="0"/>
              <w:snapToGrid w:val="0"/>
              <w:spacing w:before="0" w:beforeAutospacing="0" w:after="0" w:afterAutospacing="0"/>
              <w:ind w:left="0" w:leftChars="0" w:right="0" w:rightChars="0"/>
              <w:jc w:val="center"/>
              <w:rPr>
                <w:rFonts w:hint="eastAsia" w:cs="Times New Roman"/>
                <w:color w:val="auto"/>
                <w:szCs w:val="21"/>
                <w:lang w:val="en-US" w:eastAsia="zh-CN"/>
              </w:rPr>
            </w:pPr>
            <w:r>
              <w:rPr>
                <w:rFonts w:hint="eastAsia" w:ascii="Times New Roman" w:hAnsi="Times New Roman" w:eastAsia="宋体" w:cs="Times New Roman"/>
                <w:bCs/>
                <w:szCs w:val="21"/>
              </w:rPr>
              <w:t>0.0</w:t>
            </w:r>
            <w:r>
              <w:rPr>
                <w:rFonts w:hint="eastAsia" w:ascii="Times New Roman" w:hAnsi="Times New Roman" w:eastAsia="宋体" w:cs="Times New Roman"/>
                <w:bCs/>
                <w:szCs w:val="21"/>
                <w:lang w:val="en-US" w:eastAsia="zh-CN"/>
              </w:rPr>
              <w:t>026</w:t>
            </w:r>
          </w:p>
        </w:tc>
        <w:tc>
          <w:tcPr>
            <w:tcW w:w="1367" w:type="dxa"/>
            <w:noWrap w:val="0"/>
            <w:vAlign w:val="center"/>
          </w:tcPr>
          <w:p w14:paraId="0A6D7905">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bCs/>
                <w:szCs w:val="21"/>
                <w:lang w:val="en-US" w:eastAsia="zh-CN"/>
              </w:rPr>
              <w:t>+</w:t>
            </w:r>
            <w:r>
              <w:rPr>
                <w:rFonts w:hint="eastAsia" w:ascii="Times New Roman" w:hAnsi="Times New Roman" w:eastAsia="宋体" w:cs="Times New Roman"/>
                <w:bCs/>
                <w:szCs w:val="21"/>
              </w:rPr>
              <w:t>0.0</w:t>
            </w:r>
            <w:r>
              <w:rPr>
                <w:rFonts w:hint="eastAsia" w:ascii="Times New Roman" w:hAnsi="Times New Roman" w:eastAsia="宋体" w:cs="Times New Roman"/>
                <w:bCs/>
                <w:szCs w:val="21"/>
                <w:lang w:val="en-US" w:eastAsia="zh-CN"/>
              </w:rPr>
              <w:t>026</w:t>
            </w:r>
          </w:p>
        </w:tc>
      </w:tr>
      <w:tr w14:paraId="1A0B56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3" w:type="dxa"/>
            <w:vMerge w:val="continue"/>
            <w:noWrap w:val="0"/>
            <w:vAlign w:val="center"/>
          </w:tcPr>
          <w:p w14:paraId="46BFDE75">
            <w:pPr>
              <w:pStyle w:val="52"/>
              <w:keepNext w:val="0"/>
              <w:keepLines w:val="0"/>
              <w:suppressLineNumbers w:val="0"/>
              <w:spacing w:before="24" w:beforeAutospacing="0" w:after="24" w:afterAutospacing="0" w:line="240" w:lineRule="auto"/>
              <w:ind w:left="0" w:right="0"/>
              <w:rPr>
                <w:rFonts w:hint="eastAsia" w:ascii="Times New Roman" w:hAnsi="Times New Roman" w:eastAsia="宋体" w:cs="宋体"/>
                <w:snapToGrid w:val="0"/>
                <w:kern w:val="21"/>
                <w:szCs w:val="21"/>
              </w:rPr>
            </w:pPr>
          </w:p>
        </w:tc>
        <w:tc>
          <w:tcPr>
            <w:tcW w:w="1470" w:type="dxa"/>
            <w:noWrap w:val="0"/>
            <w:vAlign w:val="center"/>
          </w:tcPr>
          <w:p w14:paraId="4FFA4DC7">
            <w:pPr>
              <w:pStyle w:val="125"/>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Cs w:val="21"/>
              </w:rPr>
            </w:pPr>
            <w:r>
              <w:rPr>
                <w:rFonts w:hint="default" w:eastAsia="宋体"/>
                <w:sz w:val="21"/>
                <w:szCs w:val="21"/>
              </w:rPr>
              <w:t>NH</w:t>
            </w:r>
            <w:r>
              <w:rPr>
                <w:rFonts w:hint="default" w:eastAsia="宋体"/>
                <w:sz w:val="21"/>
                <w:szCs w:val="21"/>
                <w:vertAlign w:val="subscript"/>
              </w:rPr>
              <w:t>3</w:t>
            </w:r>
            <w:r>
              <w:rPr>
                <w:rFonts w:hint="default" w:eastAsia="宋体"/>
                <w:sz w:val="21"/>
                <w:szCs w:val="21"/>
              </w:rPr>
              <w:t>-N（t/a）</w:t>
            </w:r>
          </w:p>
        </w:tc>
        <w:tc>
          <w:tcPr>
            <w:tcW w:w="1665" w:type="dxa"/>
            <w:noWrap w:val="0"/>
            <w:vAlign w:val="center"/>
          </w:tcPr>
          <w:p w14:paraId="118EC1CA">
            <w:pPr>
              <w:pStyle w:val="52"/>
              <w:keepNext w:val="0"/>
              <w:keepLines w:val="0"/>
              <w:suppressLineNumbers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宋体"/>
                <w:snapToGrid w:val="0"/>
                <w:kern w:val="21"/>
                <w:szCs w:val="21"/>
              </w:rPr>
            </w:pPr>
          </w:p>
        </w:tc>
        <w:tc>
          <w:tcPr>
            <w:tcW w:w="1404" w:type="dxa"/>
            <w:noWrap w:val="0"/>
            <w:vAlign w:val="center"/>
          </w:tcPr>
          <w:p w14:paraId="48CCCB9B">
            <w:pPr>
              <w:pStyle w:val="52"/>
              <w:keepNext w:val="0"/>
              <w:keepLines w:val="0"/>
              <w:suppressLineNumbers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宋体"/>
                <w:snapToGrid w:val="0"/>
                <w:kern w:val="21"/>
                <w:szCs w:val="21"/>
              </w:rPr>
            </w:pPr>
          </w:p>
        </w:tc>
        <w:tc>
          <w:tcPr>
            <w:tcW w:w="1566" w:type="dxa"/>
            <w:noWrap w:val="0"/>
            <w:vAlign w:val="center"/>
          </w:tcPr>
          <w:p w14:paraId="6783C254">
            <w:pPr>
              <w:pStyle w:val="52"/>
              <w:keepNext w:val="0"/>
              <w:keepLines w:val="0"/>
              <w:suppressLineNumbers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宋体"/>
                <w:snapToGrid w:val="0"/>
                <w:kern w:val="21"/>
                <w:szCs w:val="21"/>
              </w:rPr>
            </w:pPr>
          </w:p>
        </w:tc>
        <w:tc>
          <w:tcPr>
            <w:tcW w:w="1545" w:type="dxa"/>
            <w:noWrap w:val="0"/>
            <w:vAlign w:val="center"/>
          </w:tcPr>
          <w:p w14:paraId="2EAEEC65">
            <w:pPr>
              <w:keepNext w:val="0"/>
              <w:keepLines w:val="0"/>
              <w:suppressLineNumbers w:val="0"/>
              <w:snapToGrid w:val="0"/>
              <w:spacing w:before="0" w:beforeAutospacing="0" w:after="0" w:afterAutospacing="0"/>
              <w:ind w:left="0" w:leftChars="0" w:right="0" w:rightChars="0"/>
              <w:jc w:val="center"/>
              <w:rPr>
                <w:rFonts w:hint="eastAsia" w:cs="Times New Roman"/>
                <w:color w:val="auto"/>
                <w:szCs w:val="21"/>
                <w:lang w:val="en-US" w:eastAsia="zh-CN"/>
              </w:rPr>
            </w:pPr>
            <w:r>
              <w:rPr>
                <w:rFonts w:hint="eastAsia" w:ascii="Times New Roman" w:hAnsi="Times New Roman" w:eastAsia="宋体" w:cs="Times New Roman"/>
                <w:bCs/>
                <w:szCs w:val="21"/>
              </w:rPr>
              <w:t>0.00</w:t>
            </w:r>
            <w:r>
              <w:rPr>
                <w:rFonts w:hint="eastAsia" w:ascii="Times New Roman" w:hAnsi="Times New Roman" w:eastAsia="宋体" w:cs="Times New Roman"/>
                <w:bCs/>
                <w:szCs w:val="21"/>
                <w:lang w:val="en-US" w:eastAsia="zh-CN"/>
              </w:rPr>
              <w:t>03</w:t>
            </w:r>
          </w:p>
        </w:tc>
        <w:tc>
          <w:tcPr>
            <w:tcW w:w="1680" w:type="dxa"/>
            <w:noWrap w:val="0"/>
            <w:vAlign w:val="center"/>
          </w:tcPr>
          <w:p w14:paraId="2BCB7763">
            <w:pPr>
              <w:keepNext w:val="0"/>
              <w:keepLines w:val="0"/>
              <w:suppressLineNumbers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宋体"/>
                <w:snapToGrid w:val="0"/>
                <w:kern w:val="21"/>
                <w:szCs w:val="21"/>
              </w:rPr>
            </w:pPr>
          </w:p>
        </w:tc>
        <w:tc>
          <w:tcPr>
            <w:tcW w:w="1725" w:type="dxa"/>
            <w:noWrap w:val="0"/>
            <w:vAlign w:val="center"/>
          </w:tcPr>
          <w:p w14:paraId="7AB8AD76">
            <w:pPr>
              <w:keepNext w:val="0"/>
              <w:keepLines w:val="0"/>
              <w:suppressLineNumbers w:val="0"/>
              <w:snapToGrid w:val="0"/>
              <w:spacing w:before="0" w:beforeAutospacing="0" w:after="0" w:afterAutospacing="0"/>
              <w:ind w:left="0" w:leftChars="0" w:right="0" w:rightChars="0"/>
              <w:jc w:val="center"/>
              <w:rPr>
                <w:rFonts w:hint="eastAsia" w:cs="Times New Roman"/>
                <w:color w:val="auto"/>
                <w:szCs w:val="21"/>
                <w:lang w:val="en-US" w:eastAsia="zh-CN"/>
              </w:rPr>
            </w:pPr>
            <w:r>
              <w:rPr>
                <w:rFonts w:hint="eastAsia" w:ascii="Times New Roman" w:hAnsi="Times New Roman" w:eastAsia="宋体" w:cs="Times New Roman"/>
                <w:bCs/>
                <w:szCs w:val="21"/>
              </w:rPr>
              <w:t>0.00</w:t>
            </w:r>
            <w:r>
              <w:rPr>
                <w:rFonts w:hint="eastAsia" w:ascii="Times New Roman" w:hAnsi="Times New Roman" w:eastAsia="宋体" w:cs="Times New Roman"/>
                <w:bCs/>
                <w:szCs w:val="21"/>
                <w:lang w:val="en-US" w:eastAsia="zh-CN"/>
              </w:rPr>
              <w:t>03</w:t>
            </w:r>
          </w:p>
        </w:tc>
        <w:tc>
          <w:tcPr>
            <w:tcW w:w="1367" w:type="dxa"/>
            <w:noWrap w:val="0"/>
            <w:vAlign w:val="center"/>
          </w:tcPr>
          <w:p w14:paraId="31EBE52D">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bCs/>
                <w:szCs w:val="21"/>
                <w:lang w:val="en-US" w:eastAsia="zh-CN"/>
              </w:rPr>
              <w:t>+</w:t>
            </w:r>
            <w:r>
              <w:rPr>
                <w:rFonts w:hint="eastAsia" w:ascii="Times New Roman" w:hAnsi="Times New Roman" w:eastAsia="宋体" w:cs="Times New Roman"/>
                <w:bCs/>
                <w:szCs w:val="21"/>
              </w:rPr>
              <w:t>0.00</w:t>
            </w:r>
            <w:r>
              <w:rPr>
                <w:rFonts w:hint="eastAsia" w:ascii="Times New Roman" w:hAnsi="Times New Roman" w:eastAsia="宋体" w:cs="Times New Roman"/>
                <w:bCs/>
                <w:szCs w:val="21"/>
                <w:lang w:val="en-US" w:eastAsia="zh-CN"/>
              </w:rPr>
              <w:t>03</w:t>
            </w:r>
          </w:p>
        </w:tc>
      </w:tr>
      <w:tr w14:paraId="3A0812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3" w:type="dxa"/>
            <w:vMerge w:val="restart"/>
            <w:noWrap w:val="0"/>
            <w:vAlign w:val="center"/>
          </w:tcPr>
          <w:p w14:paraId="1FA5D304">
            <w:pPr>
              <w:pStyle w:val="52"/>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宋体"/>
                <w:snapToGrid w:val="0"/>
                <w:kern w:val="21"/>
                <w:szCs w:val="21"/>
              </w:rPr>
            </w:pPr>
            <w:r>
              <w:rPr>
                <w:rFonts w:hint="eastAsia" w:ascii="Times New Roman" w:hAnsi="Times New Roman" w:eastAsia="宋体" w:cs="宋体"/>
                <w:snapToGrid w:val="0"/>
                <w:kern w:val="21"/>
                <w:szCs w:val="21"/>
              </w:rPr>
              <w:t>一般工业</w:t>
            </w:r>
          </w:p>
          <w:p w14:paraId="7CBDBBC2">
            <w:pPr>
              <w:pStyle w:val="52"/>
              <w:keepNext w:val="0"/>
              <w:keepLines w:val="0"/>
              <w:suppressLineNumbers w:val="0"/>
              <w:spacing w:before="24" w:beforeAutospacing="0" w:after="24" w:afterAutospacing="0" w:line="240" w:lineRule="auto"/>
              <w:ind w:left="0" w:right="0"/>
              <w:rPr>
                <w:rFonts w:hint="eastAsia" w:ascii="Times New Roman" w:hAnsi="Times New Roman" w:eastAsia="宋体" w:cs="宋体"/>
                <w:snapToGrid w:val="0"/>
                <w:kern w:val="21"/>
                <w:szCs w:val="21"/>
              </w:rPr>
            </w:pPr>
            <w:r>
              <w:rPr>
                <w:rFonts w:hint="eastAsia" w:ascii="Times New Roman" w:hAnsi="Times New Roman" w:eastAsia="宋体" w:cs="宋体"/>
                <w:snapToGrid w:val="0"/>
                <w:kern w:val="21"/>
                <w:szCs w:val="21"/>
              </w:rPr>
              <w:t>固体废物</w:t>
            </w:r>
          </w:p>
        </w:tc>
        <w:tc>
          <w:tcPr>
            <w:tcW w:w="1470" w:type="dxa"/>
            <w:noWrap w:val="0"/>
            <w:vAlign w:val="center"/>
          </w:tcPr>
          <w:p w14:paraId="0871F3B3">
            <w:pPr>
              <w:keepNext w:val="0"/>
              <w:keepLines w:val="0"/>
              <w:suppressLineNumbers w:val="0"/>
              <w:spacing w:before="0" w:beforeAutospacing="0" w:after="0" w:afterAutospacing="0"/>
              <w:ind w:left="0" w:right="0"/>
              <w:jc w:val="center"/>
              <w:rPr>
                <w:rFonts w:hint="default" w:ascii="Times New Roman" w:hAnsi="Times New Roman" w:eastAsia="宋体" w:cs="宋体"/>
                <w:snapToGrid w:val="0"/>
                <w:kern w:val="21"/>
                <w:szCs w:val="21"/>
              </w:rPr>
            </w:pPr>
            <w:r>
              <w:rPr>
                <w:rFonts w:hint="default" w:ascii="Times New Roman" w:hAnsi="Times New Roman" w:eastAsia="宋体" w:cs="Times New Roman"/>
                <w:szCs w:val="21"/>
              </w:rPr>
              <w:t>生活垃圾</w:t>
            </w:r>
            <w:r>
              <w:rPr>
                <w:rFonts w:hint="default" w:ascii="Times New Roman" w:hAnsi="Times New Roman" w:eastAsia="宋体" w:cs="Times New Roman"/>
                <w:color w:val="auto"/>
                <w:sz w:val="21"/>
                <w:szCs w:val="21"/>
              </w:rPr>
              <w:t>（t/a）</w:t>
            </w:r>
          </w:p>
        </w:tc>
        <w:tc>
          <w:tcPr>
            <w:tcW w:w="1665" w:type="dxa"/>
            <w:noWrap w:val="0"/>
            <w:vAlign w:val="center"/>
          </w:tcPr>
          <w:p w14:paraId="260D8892">
            <w:pPr>
              <w:pStyle w:val="52"/>
              <w:keepNext w:val="0"/>
              <w:keepLines w:val="0"/>
              <w:suppressLineNumbers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宋体"/>
                <w:snapToGrid w:val="0"/>
                <w:kern w:val="21"/>
                <w:szCs w:val="21"/>
              </w:rPr>
            </w:pPr>
          </w:p>
        </w:tc>
        <w:tc>
          <w:tcPr>
            <w:tcW w:w="1404" w:type="dxa"/>
            <w:noWrap w:val="0"/>
            <w:vAlign w:val="center"/>
          </w:tcPr>
          <w:p w14:paraId="58A4375C">
            <w:pPr>
              <w:pStyle w:val="52"/>
              <w:keepNext w:val="0"/>
              <w:keepLines w:val="0"/>
              <w:suppressLineNumbers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宋体"/>
                <w:snapToGrid w:val="0"/>
                <w:kern w:val="21"/>
                <w:szCs w:val="21"/>
              </w:rPr>
            </w:pPr>
          </w:p>
        </w:tc>
        <w:tc>
          <w:tcPr>
            <w:tcW w:w="1566" w:type="dxa"/>
            <w:noWrap w:val="0"/>
            <w:vAlign w:val="center"/>
          </w:tcPr>
          <w:p w14:paraId="5EF6F04C">
            <w:pPr>
              <w:pStyle w:val="52"/>
              <w:keepNext w:val="0"/>
              <w:keepLines w:val="0"/>
              <w:suppressLineNumbers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宋体"/>
                <w:snapToGrid w:val="0"/>
                <w:kern w:val="21"/>
                <w:szCs w:val="21"/>
              </w:rPr>
            </w:pPr>
          </w:p>
        </w:tc>
        <w:tc>
          <w:tcPr>
            <w:tcW w:w="1545" w:type="dxa"/>
            <w:noWrap w:val="0"/>
            <w:vAlign w:val="center"/>
          </w:tcPr>
          <w:p w14:paraId="71DFCF24">
            <w:pPr>
              <w:keepNext w:val="0"/>
              <w:keepLines w:val="0"/>
              <w:suppressLineNumbers w:val="0"/>
              <w:autoSpaceDE w:val="0"/>
              <w:autoSpaceDN w:val="0"/>
              <w:adjustRightInd w:val="0"/>
              <w:spacing w:before="0" w:beforeAutospacing="0" w:after="0" w:afterAutospacing="0"/>
              <w:ind w:left="0" w:right="0"/>
              <w:jc w:val="center"/>
              <w:textAlignment w:val="center"/>
              <w:rPr>
                <w:rFonts w:hint="default" w:ascii="Times New Roman" w:hAnsi="Times New Roman" w:eastAsia="宋体" w:cs="Times New Roman"/>
                <w:lang w:val="en-US"/>
              </w:rPr>
            </w:pPr>
            <w:r>
              <w:rPr>
                <w:rFonts w:hint="eastAsia" w:cs="Times New Roman"/>
                <w:color w:val="auto"/>
                <w:szCs w:val="21"/>
                <w:lang w:val="en-US" w:eastAsia="zh-CN"/>
              </w:rPr>
              <w:t>0.6</w:t>
            </w:r>
          </w:p>
        </w:tc>
        <w:tc>
          <w:tcPr>
            <w:tcW w:w="1680" w:type="dxa"/>
            <w:noWrap w:val="0"/>
            <w:vAlign w:val="center"/>
          </w:tcPr>
          <w:p w14:paraId="35EDB147">
            <w:pPr>
              <w:keepNext w:val="0"/>
              <w:keepLines w:val="0"/>
              <w:suppressLineNumbers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宋体"/>
                <w:snapToGrid w:val="0"/>
                <w:kern w:val="21"/>
                <w:szCs w:val="21"/>
              </w:rPr>
            </w:pPr>
          </w:p>
        </w:tc>
        <w:tc>
          <w:tcPr>
            <w:tcW w:w="1725" w:type="dxa"/>
            <w:noWrap w:val="0"/>
            <w:vAlign w:val="center"/>
          </w:tcPr>
          <w:p w14:paraId="411C5651">
            <w:pPr>
              <w:keepNext w:val="0"/>
              <w:keepLines w:val="0"/>
              <w:suppressLineNumbers w:val="0"/>
              <w:autoSpaceDE w:val="0"/>
              <w:autoSpaceDN w:val="0"/>
              <w:adjustRightInd w:val="0"/>
              <w:spacing w:before="0" w:beforeAutospacing="0" w:after="0" w:afterAutospacing="0"/>
              <w:ind w:left="0" w:right="0"/>
              <w:jc w:val="center"/>
              <w:textAlignment w:val="center"/>
              <w:rPr>
                <w:rFonts w:hint="default" w:ascii="Times New Roman" w:hAnsi="Times New Roman" w:eastAsia="宋体" w:cs="Times New Roman"/>
                <w:lang w:val="en-US"/>
              </w:rPr>
            </w:pPr>
            <w:r>
              <w:rPr>
                <w:rFonts w:hint="eastAsia" w:cs="Times New Roman"/>
                <w:color w:val="auto"/>
                <w:szCs w:val="21"/>
                <w:lang w:val="en-US" w:eastAsia="zh-CN"/>
              </w:rPr>
              <w:t>0.6</w:t>
            </w:r>
          </w:p>
        </w:tc>
        <w:tc>
          <w:tcPr>
            <w:tcW w:w="1367" w:type="dxa"/>
            <w:noWrap w:val="0"/>
            <w:vAlign w:val="center"/>
          </w:tcPr>
          <w:p w14:paraId="379B341E">
            <w:pPr>
              <w:keepNext w:val="0"/>
              <w:keepLines w:val="0"/>
              <w:suppressLineNumbers w:val="0"/>
              <w:autoSpaceDE w:val="0"/>
              <w:autoSpaceDN w:val="0"/>
              <w:adjustRightInd w:val="0"/>
              <w:spacing w:before="0" w:beforeAutospacing="0" w:after="0" w:afterAutospacing="0"/>
              <w:ind w:left="0" w:right="0"/>
              <w:jc w:val="center"/>
              <w:textAlignment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color w:val="auto"/>
                <w:szCs w:val="21"/>
                <w:lang w:val="en-US" w:eastAsia="zh-CN"/>
              </w:rPr>
              <w:t>+</w:t>
            </w:r>
            <w:r>
              <w:rPr>
                <w:rFonts w:hint="eastAsia" w:cs="Times New Roman"/>
                <w:color w:val="auto"/>
                <w:szCs w:val="21"/>
                <w:lang w:val="en-US" w:eastAsia="zh-CN"/>
              </w:rPr>
              <w:t>0.6</w:t>
            </w:r>
          </w:p>
        </w:tc>
      </w:tr>
      <w:tr w14:paraId="54DA77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3" w:type="dxa"/>
            <w:vMerge w:val="continue"/>
            <w:noWrap w:val="0"/>
            <w:vAlign w:val="center"/>
          </w:tcPr>
          <w:p w14:paraId="73394810">
            <w:pPr>
              <w:pStyle w:val="52"/>
              <w:keepNext w:val="0"/>
              <w:keepLines w:val="0"/>
              <w:suppressLineNumbers w:val="0"/>
              <w:spacing w:before="24" w:beforeAutospacing="0" w:after="24" w:afterAutospacing="0" w:line="240" w:lineRule="auto"/>
              <w:ind w:left="0" w:right="0"/>
              <w:rPr>
                <w:rFonts w:hint="eastAsia" w:ascii="Times New Roman" w:hAnsi="Times New Roman" w:eastAsia="宋体" w:cs="宋体"/>
                <w:snapToGrid w:val="0"/>
                <w:kern w:val="21"/>
                <w:szCs w:val="21"/>
              </w:rPr>
            </w:pPr>
          </w:p>
        </w:tc>
        <w:tc>
          <w:tcPr>
            <w:tcW w:w="1470" w:type="dxa"/>
            <w:noWrap w:val="0"/>
            <w:vAlign w:val="center"/>
          </w:tcPr>
          <w:p w14:paraId="12BB717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cs="Times New Roman"/>
                <w:szCs w:val="21"/>
                <w:lang w:val="en-US" w:eastAsia="zh-CN"/>
              </w:rPr>
              <w:t>预处理池污泥</w:t>
            </w:r>
            <w:r>
              <w:rPr>
                <w:rFonts w:hint="default" w:ascii="Times New Roman" w:hAnsi="Times New Roman" w:eastAsia="宋体" w:cs="Times New Roman"/>
                <w:color w:val="auto"/>
                <w:sz w:val="21"/>
                <w:szCs w:val="21"/>
              </w:rPr>
              <w:t>（t/a）</w:t>
            </w:r>
          </w:p>
        </w:tc>
        <w:tc>
          <w:tcPr>
            <w:tcW w:w="1665" w:type="dxa"/>
            <w:noWrap w:val="0"/>
            <w:vAlign w:val="center"/>
          </w:tcPr>
          <w:p w14:paraId="5C01A0EC">
            <w:pPr>
              <w:pStyle w:val="52"/>
              <w:keepNext w:val="0"/>
              <w:keepLines w:val="0"/>
              <w:suppressLineNumbers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宋体"/>
                <w:snapToGrid w:val="0"/>
                <w:kern w:val="21"/>
                <w:szCs w:val="21"/>
              </w:rPr>
            </w:pPr>
          </w:p>
        </w:tc>
        <w:tc>
          <w:tcPr>
            <w:tcW w:w="1404" w:type="dxa"/>
            <w:noWrap w:val="0"/>
            <w:vAlign w:val="center"/>
          </w:tcPr>
          <w:p w14:paraId="3D072C76">
            <w:pPr>
              <w:pStyle w:val="52"/>
              <w:keepNext w:val="0"/>
              <w:keepLines w:val="0"/>
              <w:suppressLineNumbers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宋体"/>
                <w:snapToGrid w:val="0"/>
                <w:kern w:val="21"/>
                <w:szCs w:val="21"/>
              </w:rPr>
            </w:pPr>
          </w:p>
        </w:tc>
        <w:tc>
          <w:tcPr>
            <w:tcW w:w="1566" w:type="dxa"/>
            <w:noWrap w:val="0"/>
            <w:vAlign w:val="center"/>
          </w:tcPr>
          <w:p w14:paraId="7EDC5BDD">
            <w:pPr>
              <w:pStyle w:val="52"/>
              <w:keepNext w:val="0"/>
              <w:keepLines w:val="0"/>
              <w:suppressLineNumbers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宋体"/>
                <w:snapToGrid w:val="0"/>
                <w:kern w:val="21"/>
                <w:szCs w:val="21"/>
              </w:rPr>
            </w:pPr>
          </w:p>
        </w:tc>
        <w:tc>
          <w:tcPr>
            <w:tcW w:w="1545" w:type="dxa"/>
            <w:noWrap w:val="0"/>
            <w:vAlign w:val="center"/>
          </w:tcPr>
          <w:p w14:paraId="5248205A">
            <w:pPr>
              <w:keepNext w:val="0"/>
              <w:keepLines w:val="0"/>
              <w:suppressLineNumbers w:val="0"/>
              <w:autoSpaceDE w:val="0"/>
              <w:autoSpaceDN w:val="0"/>
              <w:adjustRightInd w:val="0"/>
              <w:spacing w:before="0" w:beforeAutospacing="0" w:after="0" w:afterAutospacing="0"/>
              <w:ind w:left="0" w:right="0"/>
              <w:jc w:val="center"/>
              <w:textAlignment w:val="center"/>
              <w:rPr>
                <w:rFonts w:hint="default" w:cs="Times New Roman"/>
                <w:color w:val="auto"/>
                <w:szCs w:val="21"/>
                <w:lang w:val="en-US" w:eastAsia="zh-CN"/>
              </w:rPr>
            </w:pPr>
            <w:r>
              <w:rPr>
                <w:rFonts w:hint="eastAsia" w:cs="Times New Roman"/>
                <w:color w:val="auto"/>
                <w:szCs w:val="21"/>
                <w:lang w:val="en-US" w:eastAsia="zh-CN"/>
              </w:rPr>
              <w:t>0.5</w:t>
            </w:r>
          </w:p>
        </w:tc>
        <w:tc>
          <w:tcPr>
            <w:tcW w:w="1680" w:type="dxa"/>
            <w:noWrap w:val="0"/>
            <w:vAlign w:val="center"/>
          </w:tcPr>
          <w:p w14:paraId="34664AD3">
            <w:pPr>
              <w:keepNext w:val="0"/>
              <w:keepLines w:val="0"/>
              <w:suppressLineNumbers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宋体"/>
                <w:snapToGrid w:val="0"/>
                <w:kern w:val="21"/>
                <w:szCs w:val="21"/>
              </w:rPr>
            </w:pPr>
          </w:p>
        </w:tc>
        <w:tc>
          <w:tcPr>
            <w:tcW w:w="1725" w:type="dxa"/>
            <w:noWrap w:val="0"/>
            <w:vAlign w:val="center"/>
          </w:tcPr>
          <w:p w14:paraId="0481EB39">
            <w:pPr>
              <w:keepNext w:val="0"/>
              <w:keepLines w:val="0"/>
              <w:suppressLineNumbers w:val="0"/>
              <w:autoSpaceDE w:val="0"/>
              <w:autoSpaceDN w:val="0"/>
              <w:adjustRightInd w:val="0"/>
              <w:spacing w:before="0" w:beforeAutospacing="0" w:after="0" w:afterAutospacing="0"/>
              <w:ind w:left="0" w:right="0"/>
              <w:jc w:val="center"/>
              <w:textAlignment w:val="center"/>
              <w:rPr>
                <w:rFonts w:hint="default" w:cs="Times New Roman"/>
                <w:color w:val="auto"/>
                <w:szCs w:val="21"/>
                <w:lang w:val="en-US" w:eastAsia="zh-CN"/>
              </w:rPr>
            </w:pPr>
            <w:r>
              <w:rPr>
                <w:rFonts w:hint="eastAsia" w:cs="Times New Roman"/>
                <w:color w:val="auto"/>
                <w:szCs w:val="21"/>
                <w:lang w:val="en-US" w:eastAsia="zh-CN"/>
              </w:rPr>
              <w:t>0.5</w:t>
            </w:r>
          </w:p>
        </w:tc>
        <w:tc>
          <w:tcPr>
            <w:tcW w:w="1367" w:type="dxa"/>
            <w:noWrap w:val="0"/>
            <w:vAlign w:val="center"/>
          </w:tcPr>
          <w:p w14:paraId="25C304C3">
            <w:pPr>
              <w:keepNext w:val="0"/>
              <w:keepLines w:val="0"/>
              <w:suppressLineNumbers w:val="0"/>
              <w:autoSpaceDE w:val="0"/>
              <w:autoSpaceDN w:val="0"/>
              <w:adjustRightInd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+0.5</w:t>
            </w:r>
          </w:p>
        </w:tc>
      </w:tr>
      <w:tr w14:paraId="3EA4B6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3" w:type="dxa"/>
            <w:vMerge w:val="continue"/>
            <w:noWrap w:val="0"/>
            <w:vAlign w:val="center"/>
          </w:tcPr>
          <w:p w14:paraId="34C63F41">
            <w:pPr>
              <w:pStyle w:val="52"/>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宋体"/>
                <w:snapToGrid w:val="0"/>
                <w:kern w:val="21"/>
                <w:szCs w:val="21"/>
              </w:rPr>
            </w:pPr>
          </w:p>
        </w:tc>
        <w:tc>
          <w:tcPr>
            <w:tcW w:w="1470" w:type="dxa"/>
            <w:noWrap w:val="0"/>
            <w:vAlign w:val="center"/>
          </w:tcPr>
          <w:p w14:paraId="28D0752E">
            <w:pPr>
              <w:keepNext w:val="0"/>
              <w:keepLines w:val="0"/>
              <w:widowControl/>
              <w:suppressLineNumbers w:val="0"/>
              <w:spacing w:before="0" w:beforeAutospacing="0" w:after="0" w:afterAutospacing="0"/>
              <w:ind w:left="0" w:right="0"/>
              <w:jc w:val="center"/>
              <w:rPr>
                <w:rFonts w:hint="default" w:ascii="Times New Roman" w:hAnsi="Times New Roman" w:eastAsia="宋体" w:cs="宋体"/>
                <w:snapToGrid w:val="0"/>
                <w:kern w:val="21"/>
                <w:szCs w:val="21"/>
              </w:rPr>
            </w:pPr>
            <w:r>
              <w:rPr>
                <w:rFonts w:hint="eastAsia" w:cs="Times New Roman"/>
                <w:color w:val="auto"/>
                <w:szCs w:val="21"/>
                <w:lang w:val="en-US" w:eastAsia="zh-CN"/>
              </w:rPr>
              <w:t>泥饼</w:t>
            </w:r>
            <w:r>
              <w:rPr>
                <w:rFonts w:hint="default" w:ascii="Times New Roman" w:hAnsi="Times New Roman" w:eastAsia="宋体" w:cs="Times New Roman"/>
                <w:color w:val="auto"/>
                <w:sz w:val="21"/>
                <w:szCs w:val="21"/>
              </w:rPr>
              <w:t>（t/a）</w:t>
            </w:r>
          </w:p>
        </w:tc>
        <w:tc>
          <w:tcPr>
            <w:tcW w:w="1665" w:type="dxa"/>
            <w:noWrap w:val="0"/>
            <w:vAlign w:val="center"/>
          </w:tcPr>
          <w:p w14:paraId="5457AA7A">
            <w:pPr>
              <w:pStyle w:val="52"/>
              <w:keepNext w:val="0"/>
              <w:keepLines w:val="0"/>
              <w:suppressLineNumbers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宋体"/>
                <w:snapToGrid w:val="0"/>
                <w:kern w:val="21"/>
                <w:szCs w:val="21"/>
              </w:rPr>
            </w:pPr>
          </w:p>
        </w:tc>
        <w:tc>
          <w:tcPr>
            <w:tcW w:w="1404" w:type="dxa"/>
            <w:noWrap w:val="0"/>
            <w:vAlign w:val="center"/>
          </w:tcPr>
          <w:p w14:paraId="5A13A2CD">
            <w:pPr>
              <w:pStyle w:val="52"/>
              <w:keepNext w:val="0"/>
              <w:keepLines w:val="0"/>
              <w:suppressLineNumbers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宋体"/>
                <w:snapToGrid w:val="0"/>
                <w:kern w:val="21"/>
                <w:szCs w:val="21"/>
              </w:rPr>
            </w:pPr>
          </w:p>
        </w:tc>
        <w:tc>
          <w:tcPr>
            <w:tcW w:w="1566" w:type="dxa"/>
            <w:noWrap w:val="0"/>
            <w:vAlign w:val="center"/>
          </w:tcPr>
          <w:p w14:paraId="7E34AB8F">
            <w:pPr>
              <w:pStyle w:val="52"/>
              <w:keepNext w:val="0"/>
              <w:keepLines w:val="0"/>
              <w:suppressLineNumbers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宋体"/>
                <w:snapToGrid w:val="0"/>
                <w:kern w:val="21"/>
                <w:szCs w:val="21"/>
              </w:rPr>
            </w:pPr>
          </w:p>
        </w:tc>
        <w:tc>
          <w:tcPr>
            <w:tcW w:w="1545" w:type="dxa"/>
            <w:noWrap w:val="0"/>
            <w:vAlign w:val="center"/>
          </w:tcPr>
          <w:p w14:paraId="7B6F82B9">
            <w:pPr>
              <w:keepNext w:val="0"/>
              <w:keepLines w:val="0"/>
              <w:suppressLineNumbers w:val="0"/>
              <w:autoSpaceDE w:val="0"/>
              <w:autoSpaceDN w:val="0"/>
              <w:adjustRightInd w:val="0"/>
              <w:spacing w:before="0" w:beforeAutospacing="0" w:after="0" w:afterAutospacing="0"/>
              <w:ind w:left="0" w:right="0"/>
              <w:jc w:val="center"/>
              <w:textAlignment w:val="center"/>
              <w:rPr>
                <w:rFonts w:hint="default" w:ascii="Times New Roman" w:hAnsi="Times New Roman" w:eastAsia="宋体" w:cs="Times New Roman"/>
                <w:lang w:val="en-US" w:eastAsia="zh-CN"/>
              </w:rPr>
            </w:pPr>
            <w:r>
              <w:rPr>
                <w:rFonts w:hint="eastAsia" w:cs="Times New Roman"/>
                <w:lang w:val="en-US" w:eastAsia="zh-CN"/>
              </w:rPr>
              <w:t>4247.3312</w:t>
            </w:r>
          </w:p>
        </w:tc>
        <w:tc>
          <w:tcPr>
            <w:tcW w:w="1680" w:type="dxa"/>
            <w:noWrap w:val="0"/>
            <w:vAlign w:val="center"/>
          </w:tcPr>
          <w:p w14:paraId="3E19D133">
            <w:pPr>
              <w:keepNext w:val="0"/>
              <w:keepLines w:val="0"/>
              <w:suppressLineNumbers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宋体"/>
                <w:snapToGrid w:val="0"/>
                <w:kern w:val="21"/>
                <w:szCs w:val="21"/>
              </w:rPr>
            </w:pPr>
          </w:p>
        </w:tc>
        <w:tc>
          <w:tcPr>
            <w:tcW w:w="1725" w:type="dxa"/>
            <w:noWrap w:val="0"/>
            <w:vAlign w:val="center"/>
          </w:tcPr>
          <w:p w14:paraId="7E2B1FE8">
            <w:pPr>
              <w:keepNext w:val="0"/>
              <w:keepLines w:val="0"/>
              <w:suppressLineNumbers w:val="0"/>
              <w:autoSpaceDE w:val="0"/>
              <w:autoSpaceDN w:val="0"/>
              <w:adjustRightInd w:val="0"/>
              <w:spacing w:before="0" w:beforeAutospacing="0" w:after="0" w:afterAutospacing="0"/>
              <w:ind w:left="0" w:right="0"/>
              <w:jc w:val="center"/>
              <w:textAlignment w:val="center"/>
              <w:rPr>
                <w:rFonts w:hint="default" w:ascii="Times New Roman" w:hAnsi="Times New Roman" w:eastAsia="宋体" w:cs="Times New Roman"/>
                <w:lang w:val="en-US"/>
              </w:rPr>
            </w:pPr>
            <w:r>
              <w:rPr>
                <w:rFonts w:hint="eastAsia" w:cs="Times New Roman"/>
                <w:lang w:val="en-US" w:eastAsia="zh-CN"/>
              </w:rPr>
              <w:t>4247.3312</w:t>
            </w:r>
          </w:p>
        </w:tc>
        <w:tc>
          <w:tcPr>
            <w:tcW w:w="1367" w:type="dxa"/>
            <w:noWrap w:val="0"/>
            <w:vAlign w:val="center"/>
          </w:tcPr>
          <w:p w14:paraId="32E78FF0">
            <w:pPr>
              <w:keepNext w:val="0"/>
              <w:keepLines w:val="0"/>
              <w:suppressLineNumbers w:val="0"/>
              <w:autoSpaceDE w:val="0"/>
              <w:autoSpaceDN w:val="0"/>
              <w:adjustRightInd w:val="0"/>
              <w:spacing w:before="0" w:beforeAutospacing="0" w:after="0" w:afterAutospacing="0"/>
              <w:ind w:left="0" w:right="0"/>
              <w:jc w:val="center"/>
              <w:textAlignment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lang w:val="en-US" w:eastAsia="zh-CN"/>
              </w:rPr>
              <w:t>+</w:t>
            </w:r>
            <w:r>
              <w:rPr>
                <w:rFonts w:hint="eastAsia" w:cs="Times New Roman"/>
                <w:lang w:val="en-US" w:eastAsia="zh-CN"/>
              </w:rPr>
              <w:t>4247.3312</w:t>
            </w:r>
          </w:p>
        </w:tc>
      </w:tr>
      <w:tr w14:paraId="1B2601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3" w:type="dxa"/>
            <w:vMerge w:val="restart"/>
            <w:noWrap w:val="0"/>
            <w:vAlign w:val="center"/>
          </w:tcPr>
          <w:p w14:paraId="23DE6154">
            <w:pPr>
              <w:pStyle w:val="52"/>
              <w:keepNext w:val="0"/>
              <w:keepLines w:val="0"/>
              <w:suppressLineNumbers w:val="0"/>
              <w:spacing w:before="24" w:beforeAutospacing="0" w:after="24" w:afterAutospacing="0" w:line="240" w:lineRule="auto"/>
              <w:ind w:left="0" w:right="0"/>
              <w:rPr>
                <w:rFonts w:hint="eastAsia" w:ascii="Times New Roman" w:hAnsi="Times New Roman" w:eastAsia="宋体" w:cs="宋体"/>
                <w:snapToGrid w:val="0"/>
                <w:kern w:val="21"/>
                <w:szCs w:val="21"/>
              </w:rPr>
            </w:pPr>
            <w:r>
              <w:rPr>
                <w:rFonts w:hint="eastAsia" w:ascii="Times New Roman" w:hAnsi="Times New Roman" w:eastAsia="宋体" w:cs="宋体"/>
                <w:snapToGrid w:val="0"/>
                <w:kern w:val="21"/>
                <w:szCs w:val="21"/>
              </w:rPr>
              <w:t>危险废物</w:t>
            </w:r>
          </w:p>
        </w:tc>
        <w:tc>
          <w:tcPr>
            <w:tcW w:w="1470" w:type="dxa"/>
            <w:noWrap w:val="0"/>
            <w:vAlign w:val="center"/>
          </w:tcPr>
          <w:p w14:paraId="2696D1A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napToGrid w:val="0"/>
                <w:kern w:val="21"/>
                <w:szCs w:val="21"/>
              </w:rPr>
            </w:pPr>
            <w:r>
              <w:rPr>
                <w:rFonts w:hint="eastAsia" w:ascii="Times New Roman" w:hAnsi="Times New Roman" w:eastAsia="宋体" w:cs="Times New Roman"/>
                <w:bCs/>
                <w:color w:val="auto"/>
                <w:kern w:val="0"/>
                <w:szCs w:val="21"/>
              </w:rPr>
              <w:t>废矿物油及油桶</w:t>
            </w:r>
          </w:p>
        </w:tc>
        <w:tc>
          <w:tcPr>
            <w:tcW w:w="1665" w:type="dxa"/>
            <w:noWrap w:val="0"/>
            <w:vAlign w:val="center"/>
          </w:tcPr>
          <w:p w14:paraId="5A25EDF7">
            <w:pPr>
              <w:pStyle w:val="52"/>
              <w:keepNext w:val="0"/>
              <w:keepLines w:val="0"/>
              <w:suppressLineNumbers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宋体"/>
                <w:snapToGrid w:val="0"/>
                <w:kern w:val="21"/>
                <w:szCs w:val="21"/>
              </w:rPr>
            </w:pPr>
          </w:p>
        </w:tc>
        <w:tc>
          <w:tcPr>
            <w:tcW w:w="1404" w:type="dxa"/>
            <w:noWrap w:val="0"/>
            <w:vAlign w:val="center"/>
          </w:tcPr>
          <w:p w14:paraId="3FC5C3BF">
            <w:pPr>
              <w:pStyle w:val="52"/>
              <w:keepNext w:val="0"/>
              <w:keepLines w:val="0"/>
              <w:suppressLineNumbers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宋体"/>
                <w:snapToGrid w:val="0"/>
                <w:kern w:val="21"/>
                <w:szCs w:val="21"/>
              </w:rPr>
            </w:pPr>
          </w:p>
        </w:tc>
        <w:tc>
          <w:tcPr>
            <w:tcW w:w="1566" w:type="dxa"/>
            <w:noWrap w:val="0"/>
            <w:vAlign w:val="center"/>
          </w:tcPr>
          <w:p w14:paraId="4E82F79E">
            <w:pPr>
              <w:pStyle w:val="52"/>
              <w:keepNext w:val="0"/>
              <w:keepLines w:val="0"/>
              <w:suppressLineNumbers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宋体"/>
                <w:snapToGrid w:val="0"/>
                <w:kern w:val="21"/>
                <w:szCs w:val="21"/>
              </w:rPr>
            </w:pPr>
          </w:p>
        </w:tc>
        <w:tc>
          <w:tcPr>
            <w:tcW w:w="1545" w:type="dxa"/>
            <w:noWrap w:val="0"/>
            <w:vAlign w:val="center"/>
          </w:tcPr>
          <w:p w14:paraId="7828A993">
            <w:pPr>
              <w:keepNext w:val="0"/>
              <w:keepLines w:val="0"/>
              <w:suppressLineNumbers w:val="0"/>
              <w:autoSpaceDE w:val="0"/>
              <w:autoSpaceDN w:val="0"/>
              <w:adjustRightInd w:val="0"/>
              <w:spacing w:before="0" w:beforeAutospacing="0" w:after="0" w:afterAutospacing="0"/>
              <w:ind w:left="0" w:right="0"/>
              <w:jc w:val="center"/>
              <w:textAlignment w:val="center"/>
              <w:rPr>
                <w:rFonts w:hint="default" w:ascii="Times New Roman" w:hAnsi="Times New Roman" w:eastAsia="宋体" w:cs="Times New Roman"/>
                <w:lang w:val="en-US" w:eastAsia="zh-CN"/>
              </w:rPr>
            </w:pPr>
            <w:r>
              <w:rPr>
                <w:rFonts w:hint="eastAsia" w:cs="Times New Roman"/>
                <w:color w:val="auto"/>
                <w:szCs w:val="21"/>
                <w:lang w:val="en-US" w:eastAsia="zh-CN"/>
              </w:rPr>
              <w:t>0.06</w:t>
            </w:r>
          </w:p>
        </w:tc>
        <w:tc>
          <w:tcPr>
            <w:tcW w:w="1680" w:type="dxa"/>
            <w:noWrap w:val="0"/>
            <w:vAlign w:val="center"/>
          </w:tcPr>
          <w:p w14:paraId="178B5C0D">
            <w:pPr>
              <w:keepNext w:val="0"/>
              <w:keepLines w:val="0"/>
              <w:suppressLineNumbers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宋体"/>
                <w:snapToGrid w:val="0"/>
                <w:kern w:val="21"/>
                <w:szCs w:val="21"/>
              </w:rPr>
            </w:pPr>
          </w:p>
        </w:tc>
        <w:tc>
          <w:tcPr>
            <w:tcW w:w="1725" w:type="dxa"/>
            <w:noWrap w:val="0"/>
            <w:vAlign w:val="center"/>
          </w:tcPr>
          <w:p w14:paraId="1C19CACA">
            <w:pPr>
              <w:keepNext w:val="0"/>
              <w:keepLines w:val="0"/>
              <w:suppressLineNumbers w:val="0"/>
              <w:autoSpaceDE w:val="0"/>
              <w:autoSpaceDN w:val="0"/>
              <w:adjustRightInd w:val="0"/>
              <w:spacing w:before="0" w:beforeAutospacing="0" w:after="0" w:afterAutospacing="0"/>
              <w:ind w:left="0" w:right="0"/>
              <w:jc w:val="center"/>
              <w:textAlignment w:val="center"/>
              <w:rPr>
                <w:rFonts w:hint="eastAsia" w:ascii="Times New Roman" w:hAnsi="Times New Roman" w:eastAsia="宋体" w:cs="Times New Roman"/>
                <w:lang w:eastAsia="zh-CN"/>
              </w:rPr>
            </w:pPr>
            <w:r>
              <w:rPr>
                <w:rFonts w:hint="eastAsia" w:cs="Times New Roman"/>
                <w:color w:val="auto"/>
                <w:szCs w:val="21"/>
                <w:lang w:val="en-US" w:eastAsia="zh-CN"/>
              </w:rPr>
              <w:t>0.06</w:t>
            </w:r>
          </w:p>
        </w:tc>
        <w:tc>
          <w:tcPr>
            <w:tcW w:w="1367" w:type="dxa"/>
            <w:noWrap w:val="0"/>
            <w:vAlign w:val="center"/>
          </w:tcPr>
          <w:p w14:paraId="7995EAC4">
            <w:pPr>
              <w:keepNext w:val="0"/>
              <w:keepLines w:val="0"/>
              <w:suppressLineNumbers w:val="0"/>
              <w:autoSpaceDE w:val="0"/>
              <w:autoSpaceDN w:val="0"/>
              <w:adjustRightInd w:val="0"/>
              <w:spacing w:before="0" w:beforeAutospacing="0" w:after="0" w:afterAutospacing="0"/>
              <w:ind w:left="0" w:right="0"/>
              <w:jc w:val="center"/>
              <w:textAlignment w:val="center"/>
              <w:rPr>
                <w:rFonts w:hint="eastAsia" w:ascii="Times New Roman" w:hAnsi="Times New Roman" w:eastAsia="宋体" w:cs="Times New Roman"/>
                <w:kern w:val="2"/>
                <w:sz w:val="21"/>
                <w:szCs w:val="24"/>
                <w:lang w:val="en-US" w:eastAsia="zh-CN" w:bidi="ar-SA"/>
              </w:rPr>
            </w:pPr>
            <w:r>
              <w:rPr>
                <w:rFonts w:hint="eastAsia" w:cs="Times New Roman"/>
                <w:color w:val="auto"/>
                <w:szCs w:val="21"/>
                <w:lang w:val="en-US" w:eastAsia="zh-CN"/>
              </w:rPr>
              <w:t>+0.06</w:t>
            </w:r>
          </w:p>
        </w:tc>
      </w:tr>
      <w:tr w14:paraId="343F77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3" w:type="dxa"/>
            <w:vMerge w:val="continue"/>
            <w:noWrap w:val="0"/>
            <w:vAlign w:val="center"/>
          </w:tcPr>
          <w:p w14:paraId="2669FAE2">
            <w:pPr>
              <w:pStyle w:val="52"/>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宋体"/>
                <w:snapToGrid w:val="0"/>
                <w:kern w:val="21"/>
                <w:szCs w:val="21"/>
              </w:rPr>
            </w:pPr>
          </w:p>
        </w:tc>
        <w:tc>
          <w:tcPr>
            <w:tcW w:w="1470" w:type="dxa"/>
            <w:noWrap w:val="0"/>
            <w:vAlign w:val="center"/>
          </w:tcPr>
          <w:p w14:paraId="6E421E40">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Cs/>
                <w:sz w:val="21"/>
                <w:szCs w:val="21"/>
                <w:lang w:eastAsia="zh-CN"/>
              </w:rPr>
            </w:pPr>
            <w:r>
              <w:rPr>
                <w:rFonts w:hint="eastAsia" w:ascii="Times New Roman" w:hAnsi="Times New Roman" w:eastAsia="宋体" w:cs="宋体"/>
                <w:color w:val="auto"/>
                <w:szCs w:val="21"/>
              </w:rPr>
              <w:t>废含油棉纱手套</w:t>
            </w:r>
            <w:r>
              <w:rPr>
                <w:rFonts w:hint="default" w:ascii="Times New Roman" w:hAnsi="Times New Roman" w:eastAsia="宋体" w:cs="Times New Roman"/>
                <w:color w:val="auto"/>
                <w:sz w:val="21"/>
                <w:szCs w:val="21"/>
              </w:rPr>
              <w:t>（t/a）</w:t>
            </w:r>
          </w:p>
        </w:tc>
        <w:tc>
          <w:tcPr>
            <w:tcW w:w="1665" w:type="dxa"/>
            <w:noWrap w:val="0"/>
            <w:vAlign w:val="center"/>
          </w:tcPr>
          <w:p w14:paraId="185EB6E6">
            <w:pPr>
              <w:pStyle w:val="52"/>
              <w:keepNext w:val="0"/>
              <w:keepLines w:val="0"/>
              <w:suppressLineNumbers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宋体"/>
                <w:snapToGrid w:val="0"/>
                <w:kern w:val="21"/>
                <w:szCs w:val="21"/>
              </w:rPr>
            </w:pPr>
          </w:p>
        </w:tc>
        <w:tc>
          <w:tcPr>
            <w:tcW w:w="1404" w:type="dxa"/>
            <w:noWrap w:val="0"/>
            <w:vAlign w:val="center"/>
          </w:tcPr>
          <w:p w14:paraId="75AC5525">
            <w:pPr>
              <w:pStyle w:val="52"/>
              <w:keepNext w:val="0"/>
              <w:keepLines w:val="0"/>
              <w:suppressLineNumbers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宋体"/>
                <w:snapToGrid w:val="0"/>
                <w:kern w:val="21"/>
                <w:szCs w:val="21"/>
              </w:rPr>
            </w:pPr>
          </w:p>
        </w:tc>
        <w:tc>
          <w:tcPr>
            <w:tcW w:w="1566" w:type="dxa"/>
            <w:noWrap w:val="0"/>
            <w:vAlign w:val="center"/>
          </w:tcPr>
          <w:p w14:paraId="1EC5085B">
            <w:pPr>
              <w:pStyle w:val="52"/>
              <w:keepNext w:val="0"/>
              <w:keepLines w:val="0"/>
              <w:suppressLineNumbers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宋体"/>
                <w:snapToGrid w:val="0"/>
                <w:kern w:val="21"/>
                <w:szCs w:val="21"/>
              </w:rPr>
            </w:pPr>
          </w:p>
        </w:tc>
        <w:tc>
          <w:tcPr>
            <w:tcW w:w="1545" w:type="dxa"/>
            <w:noWrap w:val="0"/>
            <w:vAlign w:val="center"/>
          </w:tcPr>
          <w:p w14:paraId="2BDEAB1A">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rPr>
            </w:pPr>
            <w:r>
              <w:rPr>
                <w:rFonts w:hint="eastAsia" w:ascii="Times New Roman" w:hAnsi="Times New Roman" w:eastAsia="宋体" w:cs="Times New Roman"/>
                <w:color w:val="auto"/>
                <w:sz w:val="21"/>
                <w:szCs w:val="21"/>
              </w:rPr>
              <w:t>0.01</w:t>
            </w:r>
          </w:p>
        </w:tc>
        <w:tc>
          <w:tcPr>
            <w:tcW w:w="1680" w:type="dxa"/>
            <w:noWrap w:val="0"/>
            <w:vAlign w:val="center"/>
          </w:tcPr>
          <w:p w14:paraId="32B09535">
            <w:pPr>
              <w:keepNext w:val="0"/>
              <w:keepLines w:val="0"/>
              <w:suppressLineNumbers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宋体"/>
                <w:snapToGrid w:val="0"/>
                <w:kern w:val="21"/>
                <w:szCs w:val="21"/>
              </w:rPr>
            </w:pPr>
          </w:p>
        </w:tc>
        <w:tc>
          <w:tcPr>
            <w:tcW w:w="1725" w:type="dxa"/>
            <w:noWrap w:val="0"/>
            <w:vAlign w:val="center"/>
          </w:tcPr>
          <w:p w14:paraId="64C46642">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rPr>
            </w:pPr>
            <w:r>
              <w:rPr>
                <w:rFonts w:hint="eastAsia" w:ascii="Times New Roman" w:hAnsi="Times New Roman" w:eastAsia="宋体" w:cs="Times New Roman"/>
                <w:color w:val="auto"/>
                <w:sz w:val="21"/>
                <w:szCs w:val="21"/>
              </w:rPr>
              <w:t>0.01</w:t>
            </w:r>
          </w:p>
        </w:tc>
        <w:tc>
          <w:tcPr>
            <w:tcW w:w="1367" w:type="dxa"/>
            <w:noWrap w:val="0"/>
            <w:vAlign w:val="center"/>
          </w:tcPr>
          <w:p w14:paraId="21B3775F">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color w:val="auto"/>
                <w:szCs w:val="21"/>
                <w:lang w:val="en-US" w:eastAsia="zh-CN"/>
              </w:rPr>
              <w:t>+</w:t>
            </w:r>
            <w:r>
              <w:rPr>
                <w:rFonts w:hint="eastAsia" w:ascii="Times New Roman" w:hAnsi="Times New Roman" w:eastAsia="宋体" w:cs="Times New Roman"/>
                <w:color w:val="auto"/>
                <w:sz w:val="21"/>
                <w:szCs w:val="21"/>
              </w:rPr>
              <w:t>0.01</w:t>
            </w:r>
          </w:p>
        </w:tc>
      </w:tr>
    </w:tbl>
    <w:p w14:paraId="38B28CC5">
      <w:pPr>
        <w:pStyle w:val="52"/>
        <w:spacing w:before="192" w:beforeLines="80" w:after="24"/>
        <w:jc w:val="left"/>
        <w:rPr>
          <w:rFonts w:hint="eastAsia" w:ascii="Times New Roman" w:hAnsi="Times New Roman" w:eastAsia="宋体"/>
          <w:snapToGrid w:val="0"/>
          <w:spacing w:val="-6"/>
          <w:kern w:val="21"/>
          <w:szCs w:val="21"/>
        </w:rPr>
      </w:pPr>
      <w:r>
        <w:rPr>
          <w:rFonts w:ascii="Times New Roman" w:hAnsi="Times New Roman" w:eastAsia="宋体"/>
          <w:snapToGrid w:val="0"/>
          <w:kern w:val="21"/>
          <w:szCs w:val="21"/>
        </w:rPr>
        <w:t>注：</w:t>
      </w:r>
      <w:r>
        <w:rPr>
          <w:rFonts w:ascii="Times New Roman" w:hAnsi="Times New Roman" w:eastAsia="宋体"/>
          <w:snapToGrid w:val="0"/>
          <w:spacing w:val="-16"/>
          <w:kern w:val="21"/>
          <w:szCs w:val="21"/>
        </w:rPr>
        <w:fldChar w:fldCharType="begin"/>
      </w:r>
      <w:r>
        <w:rPr>
          <w:rFonts w:ascii="Times New Roman" w:hAnsi="Times New Roman" w:eastAsia="宋体"/>
          <w:snapToGrid w:val="0"/>
          <w:spacing w:val="-16"/>
          <w:kern w:val="21"/>
          <w:szCs w:val="21"/>
        </w:rPr>
        <w:instrText xml:space="preserve"> = 6 \* GB3 \* MERGEFORMAT </w:instrText>
      </w:r>
      <w:r>
        <w:rPr>
          <w:rFonts w:ascii="Times New Roman" w:hAnsi="Times New Roman" w:eastAsia="宋体"/>
          <w:snapToGrid w:val="0"/>
          <w:spacing w:val="-16"/>
          <w:kern w:val="21"/>
          <w:szCs w:val="21"/>
        </w:rPr>
        <w:fldChar w:fldCharType="separate"/>
      </w:r>
      <w:r>
        <w:rPr>
          <w:rFonts w:hint="eastAsia" w:ascii="Times New Roman" w:hAnsi="Times New Roman" w:eastAsia="宋体"/>
          <w:szCs w:val="21"/>
        </w:rPr>
        <w:t>⑥</w:t>
      </w:r>
      <w:r>
        <w:rPr>
          <w:rFonts w:ascii="Times New Roman" w:hAnsi="Times New Roman" w:eastAsia="宋体"/>
          <w:snapToGrid w:val="0"/>
          <w:spacing w:val="-16"/>
          <w:kern w:val="21"/>
          <w:szCs w:val="21"/>
        </w:rPr>
        <w:fldChar w:fldCharType="end"/>
      </w:r>
      <w:r>
        <w:rPr>
          <w:rFonts w:ascii="Times New Roman" w:hAnsi="Times New Roman" w:eastAsia="宋体"/>
          <w:snapToGrid w:val="0"/>
          <w:spacing w:val="-16"/>
          <w:kern w:val="21"/>
          <w:szCs w:val="21"/>
        </w:rPr>
        <w:t>=</w:t>
      </w:r>
      <w:r>
        <w:rPr>
          <w:rFonts w:ascii="Times New Roman" w:hAnsi="Times New Roman" w:eastAsia="宋体"/>
          <w:snapToGrid w:val="0"/>
          <w:spacing w:val="-6"/>
          <w:kern w:val="21"/>
          <w:szCs w:val="21"/>
        </w:rPr>
        <w:fldChar w:fldCharType="begin"/>
      </w:r>
      <w:r>
        <w:rPr>
          <w:rFonts w:ascii="Times New Roman" w:hAnsi="Times New Roman" w:eastAsia="宋体"/>
          <w:snapToGrid w:val="0"/>
          <w:spacing w:val="-6"/>
          <w:kern w:val="21"/>
          <w:szCs w:val="21"/>
        </w:rPr>
        <w:instrText xml:space="preserve"> = 1 \* GB3 \* MERGEFORMAT </w:instrText>
      </w:r>
      <w:r>
        <w:rPr>
          <w:rFonts w:ascii="Times New Roman" w:hAnsi="Times New Roman" w:eastAsia="宋体"/>
          <w:snapToGrid w:val="0"/>
          <w:spacing w:val="-6"/>
          <w:kern w:val="21"/>
          <w:szCs w:val="21"/>
        </w:rPr>
        <w:fldChar w:fldCharType="separate"/>
      </w:r>
      <w:r>
        <w:rPr>
          <w:rFonts w:hint="eastAsia" w:ascii="Times New Roman" w:hAnsi="Times New Roman" w:eastAsia="宋体"/>
          <w:szCs w:val="21"/>
        </w:rPr>
        <w:t>①</w:t>
      </w:r>
      <w:r>
        <w:rPr>
          <w:rFonts w:ascii="Times New Roman" w:hAnsi="Times New Roman" w:eastAsia="宋体"/>
          <w:snapToGrid w:val="0"/>
          <w:spacing w:val="-6"/>
          <w:kern w:val="21"/>
          <w:szCs w:val="21"/>
        </w:rPr>
        <w:fldChar w:fldCharType="end"/>
      </w:r>
      <w:r>
        <w:rPr>
          <w:rFonts w:ascii="Times New Roman" w:hAnsi="Times New Roman" w:eastAsia="宋体"/>
          <w:snapToGrid w:val="0"/>
          <w:spacing w:val="-6"/>
          <w:kern w:val="21"/>
          <w:szCs w:val="21"/>
        </w:rPr>
        <w:t>+</w:t>
      </w:r>
      <w:r>
        <w:rPr>
          <w:rFonts w:ascii="Times New Roman" w:hAnsi="Times New Roman" w:eastAsia="宋体"/>
          <w:snapToGrid w:val="0"/>
          <w:spacing w:val="-6"/>
          <w:kern w:val="21"/>
          <w:szCs w:val="21"/>
        </w:rPr>
        <w:fldChar w:fldCharType="begin"/>
      </w:r>
      <w:r>
        <w:rPr>
          <w:rFonts w:ascii="Times New Roman" w:hAnsi="Times New Roman" w:eastAsia="宋体"/>
          <w:snapToGrid w:val="0"/>
          <w:spacing w:val="-6"/>
          <w:kern w:val="21"/>
          <w:szCs w:val="21"/>
        </w:rPr>
        <w:instrText xml:space="preserve"> = 3 \* GB3 \* MERGEFORMAT </w:instrText>
      </w:r>
      <w:r>
        <w:rPr>
          <w:rFonts w:ascii="Times New Roman" w:hAnsi="Times New Roman" w:eastAsia="宋体"/>
          <w:snapToGrid w:val="0"/>
          <w:spacing w:val="-6"/>
          <w:kern w:val="21"/>
          <w:szCs w:val="21"/>
        </w:rPr>
        <w:fldChar w:fldCharType="separate"/>
      </w:r>
      <w:r>
        <w:rPr>
          <w:rFonts w:hint="eastAsia" w:ascii="Times New Roman" w:hAnsi="Times New Roman" w:eastAsia="宋体"/>
          <w:szCs w:val="21"/>
        </w:rPr>
        <w:t>③</w:t>
      </w:r>
      <w:r>
        <w:rPr>
          <w:rFonts w:ascii="Times New Roman" w:hAnsi="Times New Roman" w:eastAsia="宋体"/>
          <w:snapToGrid w:val="0"/>
          <w:spacing w:val="-6"/>
          <w:kern w:val="21"/>
          <w:szCs w:val="21"/>
        </w:rPr>
        <w:fldChar w:fldCharType="end"/>
      </w:r>
      <w:r>
        <w:rPr>
          <w:rFonts w:ascii="Times New Roman" w:hAnsi="Times New Roman" w:eastAsia="宋体"/>
          <w:snapToGrid w:val="0"/>
          <w:spacing w:val="-6"/>
          <w:kern w:val="21"/>
          <w:szCs w:val="21"/>
        </w:rPr>
        <w:t>+</w:t>
      </w:r>
      <w:r>
        <w:rPr>
          <w:rFonts w:ascii="Times New Roman" w:hAnsi="Times New Roman" w:eastAsia="宋体"/>
          <w:snapToGrid w:val="0"/>
          <w:spacing w:val="-6"/>
          <w:kern w:val="21"/>
          <w:szCs w:val="21"/>
        </w:rPr>
        <w:fldChar w:fldCharType="begin"/>
      </w:r>
      <w:r>
        <w:rPr>
          <w:rFonts w:ascii="Times New Roman" w:hAnsi="Times New Roman" w:eastAsia="宋体"/>
          <w:snapToGrid w:val="0"/>
          <w:spacing w:val="-6"/>
          <w:kern w:val="21"/>
          <w:szCs w:val="21"/>
        </w:rPr>
        <w:instrText xml:space="preserve"> = 4 \* GB3 \* MERGEFORMAT </w:instrText>
      </w:r>
      <w:r>
        <w:rPr>
          <w:rFonts w:ascii="Times New Roman" w:hAnsi="Times New Roman" w:eastAsia="宋体"/>
          <w:snapToGrid w:val="0"/>
          <w:spacing w:val="-6"/>
          <w:kern w:val="21"/>
          <w:szCs w:val="21"/>
        </w:rPr>
        <w:fldChar w:fldCharType="separate"/>
      </w:r>
      <w:r>
        <w:rPr>
          <w:rFonts w:hint="eastAsia" w:ascii="Times New Roman" w:hAnsi="Times New Roman" w:eastAsia="宋体"/>
          <w:szCs w:val="21"/>
        </w:rPr>
        <w:t>④</w:t>
      </w:r>
      <w:r>
        <w:rPr>
          <w:rFonts w:ascii="Times New Roman" w:hAnsi="Times New Roman" w:eastAsia="宋体"/>
          <w:snapToGrid w:val="0"/>
          <w:spacing w:val="-6"/>
          <w:kern w:val="21"/>
          <w:szCs w:val="21"/>
        </w:rPr>
        <w:fldChar w:fldCharType="end"/>
      </w:r>
      <w:r>
        <w:rPr>
          <w:rFonts w:ascii="Times New Roman" w:hAnsi="Times New Roman" w:eastAsia="宋体"/>
          <w:snapToGrid w:val="0"/>
          <w:spacing w:val="-6"/>
          <w:kern w:val="21"/>
          <w:szCs w:val="21"/>
        </w:rPr>
        <w:t>-</w:t>
      </w:r>
      <w:r>
        <w:rPr>
          <w:rFonts w:ascii="Times New Roman" w:hAnsi="Times New Roman" w:eastAsia="宋体"/>
          <w:snapToGrid w:val="0"/>
          <w:spacing w:val="-16"/>
          <w:kern w:val="21"/>
          <w:szCs w:val="21"/>
        </w:rPr>
        <w:fldChar w:fldCharType="begin"/>
      </w:r>
      <w:r>
        <w:rPr>
          <w:rFonts w:ascii="Times New Roman" w:hAnsi="Times New Roman" w:eastAsia="宋体"/>
          <w:snapToGrid w:val="0"/>
          <w:spacing w:val="-16"/>
          <w:kern w:val="21"/>
          <w:szCs w:val="21"/>
        </w:rPr>
        <w:instrText xml:space="preserve"> = 5 \* GB3 \* MERGEFORMAT </w:instrText>
      </w:r>
      <w:r>
        <w:rPr>
          <w:rFonts w:ascii="Times New Roman" w:hAnsi="Times New Roman" w:eastAsia="宋体"/>
          <w:snapToGrid w:val="0"/>
          <w:spacing w:val="-16"/>
          <w:kern w:val="21"/>
          <w:szCs w:val="21"/>
        </w:rPr>
        <w:fldChar w:fldCharType="separate"/>
      </w:r>
      <w:r>
        <w:rPr>
          <w:rFonts w:hint="eastAsia" w:ascii="Times New Roman" w:hAnsi="Times New Roman" w:eastAsia="宋体"/>
          <w:szCs w:val="21"/>
        </w:rPr>
        <w:t>⑤</w:t>
      </w:r>
      <w:r>
        <w:rPr>
          <w:rFonts w:ascii="Times New Roman" w:hAnsi="Times New Roman" w:eastAsia="宋体"/>
          <w:snapToGrid w:val="0"/>
          <w:spacing w:val="-16"/>
          <w:kern w:val="21"/>
          <w:szCs w:val="21"/>
        </w:rPr>
        <w:fldChar w:fldCharType="end"/>
      </w:r>
      <w:r>
        <w:rPr>
          <w:rFonts w:ascii="Times New Roman" w:hAnsi="Times New Roman" w:eastAsia="宋体"/>
          <w:snapToGrid w:val="0"/>
          <w:spacing w:val="-16"/>
          <w:kern w:val="21"/>
          <w:szCs w:val="21"/>
        </w:rPr>
        <w:t>；</w:t>
      </w:r>
      <w:r>
        <w:rPr>
          <w:rFonts w:ascii="Times New Roman" w:hAnsi="Times New Roman" w:eastAsia="宋体"/>
          <w:snapToGrid w:val="0"/>
          <w:spacing w:val="-6"/>
          <w:kern w:val="21"/>
          <w:szCs w:val="21"/>
        </w:rPr>
        <w:fldChar w:fldCharType="begin"/>
      </w:r>
      <w:r>
        <w:rPr>
          <w:rFonts w:ascii="Times New Roman" w:hAnsi="Times New Roman" w:eastAsia="宋体"/>
          <w:snapToGrid w:val="0"/>
          <w:spacing w:val="-6"/>
          <w:kern w:val="21"/>
          <w:szCs w:val="21"/>
        </w:rPr>
        <w:instrText xml:space="preserve"> = 7 \* GB3 \* MERGEFORMAT </w:instrText>
      </w:r>
      <w:r>
        <w:rPr>
          <w:rFonts w:ascii="Times New Roman" w:hAnsi="Times New Roman" w:eastAsia="宋体"/>
          <w:snapToGrid w:val="0"/>
          <w:spacing w:val="-6"/>
          <w:kern w:val="21"/>
          <w:szCs w:val="21"/>
        </w:rPr>
        <w:fldChar w:fldCharType="separate"/>
      </w:r>
      <w:r>
        <w:rPr>
          <w:rFonts w:hint="eastAsia" w:ascii="Times New Roman" w:hAnsi="Times New Roman" w:eastAsia="宋体"/>
          <w:szCs w:val="21"/>
        </w:rPr>
        <w:t>⑦</w:t>
      </w:r>
      <w:r>
        <w:rPr>
          <w:rFonts w:ascii="Times New Roman" w:hAnsi="Times New Roman" w:eastAsia="宋体"/>
          <w:snapToGrid w:val="0"/>
          <w:spacing w:val="-6"/>
          <w:kern w:val="21"/>
          <w:szCs w:val="21"/>
        </w:rPr>
        <w:fldChar w:fldCharType="end"/>
      </w:r>
      <w:r>
        <w:rPr>
          <w:rFonts w:ascii="Times New Roman" w:hAnsi="Times New Roman" w:eastAsia="宋体"/>
          <w:snapToGrid w:val="0"/>
          <w:spacing w:val="-6"/>
          <w:kern w:val="21"/>
          <w:szCs w:val="21"/>
        </w:rPr>
        <w:t>=</w:t>
      </w:r>
      <w:r>
        <w:rPr>
          <w:rFonts w:ascii="Times New Roman" w:hAnsi="Times New Roman" w:eastAsia="宋体"/>
          <w:snapToGrid w:val="0"/>
          <w:spacing w:val="-16"/>
          <w:kern w:val="21"/>
          <w:szCs w:val="21"/>
        </w:rPr>
        <w:fldChar w:fldCharType="begin"/>
      </w:r>
      <w:r>
        <w:rPr>
          <w:rFonts w:ascii="Times New Roman" w:hAnsi="Times New Roman" w:eastAsia="宋体"/>
          <w:snapToGrid w:val="0"/>
          <w:spacing w:val="-16"/>
          <w:kern w:val="21"/>
          <w:szCs w:val="21"/>
        </w:rPr>
        <w:instrText xml:space="preserve"> = 6 \* GB3 \* MERGEFORMAT </w:instrText>
      </w:r>
      <w:r>
        <w:rPr>
          <w:rFonts w:ascii="Times New Roman" w:hAnsi="Times New Roman" w:eastAsia="宋体"/>
          <w:snapToGrid w:val="0"/>
          <w:spacing w:val="-16"/>
          <w:kern w:val="21"/>
          <w:szCs w:val="21"/>
        </w:rPr>
        <w:fldChar w:fldCharType="separate"/>
      </w:r>
      <w:r>
        <w:rPr>
          <w:rFonts w:hint="eastAsia" w:ascii="Times New Roman" w:hAnsi="Times New Roman" w:eastAsia="宋体"/>
          <w:szCs w:val="21"/>
        </w:rPr>
        <w:t>⑥</w:t>
      </w:r>
      <w:r>
        <w:rPr>
          <w:rFonts w:ascii="Times New Roman" w:hAnsi="Times New Roman" w:eastAsia="宋体"/>
          <w:snapToGrid w:val="0"/>
          <w:spacing w:val="-16"/>
          <w:kern w:val="21"/>
          <w:szCs w:val="21"/>
        </w:rPr>
        <w:fldChar w:fldCharType="end"/>
      </w:r>
      <w:r>
        <w:rPr>
          <w:rFonts w:ascii="Times New Roman" w:hAnsi="Times New Roman" w:eastAsia="宋体"/>
          <w:snapToGrid w:val="0"/>
          <w:spacing w:val="-16"/>
          <w:kern w:val="21"/>
          <w:szCs w:val="21"/>
        </w:rPr>
        <w:t>-</w:t>
      </w:r>
      <w:r>
        <w:rPr>
          <w:rFonts w:ascii="Times New Roman" w:hAnsi="Times New Roman" w:eastAsia="宋体"/>
          <w:snapToGrid w:val="0"/>
          <w:spacing w:val="-6"/>
          <w:kern w:val="21"/>
          <w:szCs w:val="21"/>
        </w:rPr>
        <w:fldChar w:fldCharType="begin"/>
      </w:r>
      <w:r>
        <w:rPr>
          <w:rFonts w:ascii="Times New Roman" w:hAnsi="Times New Roman" w:eastAsia="宋体"/>
          <w:snapToGrid w:val="0"/>
          <w:spacing w:val="-6"/>
          <w:kern w:val="21"/>
          <w:szCs w:val="21"/>
        </w:rPr>
        <w:instrText xml:space="preserve"> = 1 \* GB3 \* MERGEFORMAT </w:instrText>
      </w:r>
      <w:r>
        <w:rPr>
          <w:rFonts w:ascii="Times New Roman" w:hAnsi="Times New Roman" w:eastAsia="宋体"/>
          <w:snapToGrid w:val="0"/>
          <w:spacing w:val="-6"/>
          <w:kern w:val="21"/>
          <w:szCs w:val="21"/>
        </w:rPr>
        <w:fldChar w:fldCharType="separate"/>
      </w:r>
      <w:r>
        <w:rPr>
          <w:rFonts w:hint="eastAsia" w:ascii="Times New Roman" w:hAnsi="Times New Roman" w:eastAsia="宋体"/>
          <w:szCs w:val="21"/>
        </w:rPr>
        <w:t>①</w:t>
      </w:r>
      <w:r>
        <w:rPr>
          <w:rFonts w:ascii="Times New Roman" w:hAnsi="Times New Roman" w:eastAsia="宋体"/>
          <w:snapToGrid w:val="0"/>
          <w:spacing w:val="-6"/>
          <w:kern w:val="21"/>
          <w:szCs w:val="21"/>
        </w:rPr>
        <w:fldChar w:fldCharType="end"/>
      </w:r>
    </w:p>
    <w:sectPr>
      <w:footerReference r:id="rId8" w:type="default"/>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Plotter">
    <w:altName w:val="Lucida Console"/>
    <w:panose1 w:val="00000000000000000000"/>
    <w:charset w:val="00"/>
    <w:family w:val="modern"/>
    <w:pitch w:val="default"/>
    <w:sig w:usb0="00000000" w:usb1="00000000" w:usb2="00000000" w:usb3="00000000" w:csb0="00000001" w:csb1="00000000"/>
  </w:font>
  <w:font w:name="Lucida Console">
    <w:panose1 w:val="020B0609040504020204"/>
    <w:charset w:val="00"/>
    <w:family w:val="auto"/>
    <w:pitch w:val="default"/>
    <w:sig w:usb0="8000028F" w:usb1="00001800" w:usb2="00000000" w:usb3="00000000" w:csb0="0000001F" w:csb1="D7D7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Helvetica">
    <w:altName w:val="Arial"/>
    <w:panose1 w:val="00000000000000000000"/>
    <w:charset w:val="00"/>
    <w:family w:val="roman"/>
    <w:pitch w:val="default"/>
    <w:sig w:usb0="00000000" w:usb1="00000000" w:usb2="00000000" w:usb3="00000000" w:csb0="00000001" w:csb1="0000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AB4A7D">
    <w:pPr>
      <w:pStyle w:val="18"/>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BF9DDC">
    <w:pPr>
      <w:pStyle w:val="18"/>
      <w:framePr w:wrap="around" w:vAnchor="text" w:hAnchor="margin" w:xAlign="center" w:y="1"/>
      <w:rPr>
        <w:rStyle w:val="29"/>
      </w:rPr>
    </w:pPr>
    <w:r>
      <w:fldChar w:fldCharType="begin"/>
    </w:r>
    <w:r>
      <w:rPr>
        <w:rStyle w:val="29"/>
      </w:rPr>
      <w:instrText xml:space="preserve">PAGE  </w:instrText>
    </w:r>
    <w:r>
      <w:fldChar w:fldCharType="end"/>
    </w:r>
  </w:p>
  <w:p w14:paraId="7019FB7C">
    <w:pPr>
      <w:pStyle w:val="1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C0C676">
    <w:pPr>
      <w:pStyle w:val="18"/>
      <w:ind w:right="360"/>
      <w:jc w:val="both"/>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-161925</wp:posOffset>
              </wp:positionV>
              <wp:extent cx="1828800" cy="1828800"/>
              <wp:effectExtent l="0" t="0" r="0" b="0"/>
              <wp:wrapNone/>
              <wp:docPr id="46" name="文本框 10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E956898">
                          <w:pPr>
                            <w:pStyle w:val="18"/>
                            <w:rPr>
                              <w:rFonts w:hint="eastAsia"/>
                            </w:rPr>
                          </w:pPr>
                          <w:r>
                            <w:rPr>
                              <w:rFonts w:hint="eastAsia"/>
                            </w:rPr>
                            <w:fldChar w:fldCharType="begin"/>
                          </w:r>
                          <w:r>
                            <w:rPr>
                              <w:rFonts w:hint="eastAsia"/>
                            </w:rPr>
                            <w:instrText xml:space="preserve"> PAGE  \* MERGEFORMAT </w:instrText>
                          </w:r>
                          <w:r>
                            <w:rPr>
                              <w:rFonts w:hint="eastAsia"/>
                            </w:rPr>
                            <w:fldChar w:fldCharType="separate"/>
                          </w:r>
                          <w:r>
                            <w:t>80</w:t>
                          </w:r>
                          <w:r>
                            <w:rPr>
                              <w:rFonts w:hint="eastAsia"/>
                            </w:rPr>
                            <w:fldChar w:fldCharType="end"/>
                          </w:r>
                        </w:p>
                      </w:txbxContent>
                    </wps:txbx>
                    <wps:bodyPr wrap="none" lIns="0" tIns="0" rIns="0" bIns="0" upright="0">
                      <a:spAutoFit/>
                    </wps:bodyPr>
                  </wps:wsp>
                </a:graphicData>
              </a:graphic>
            </wp:anchor>
          </w:drawing>
        </mc:Choice>
        <mc:Fallback>
          <w:pict>
            <v:shape id="文本框 1032" o:spid="_x0000_s1026" o:spt="202" type="#_x0000_t202" style="position:absolute;left:0pt;margin-top:-12.75pt;height:144pt;width:144pt;mso-position-horizontal:center;mso-position-horizontal-relative:margin;mso-wrap-style:none;z-index:251663360;mso-width-relative:page;mso-height-relative:page;" filled="f" stroked="f" coordsize="21600,21600" o:gfxdata="UEsDBAoAAAAAAIdO4kAAAAAAAAAAAAAAAAAEAAAAZHJzL1BLAwQUAAAACACHTuJAd2W+ntQAAAAI&#10;AQAADwAAAGRycy9kb3ducmV2LnhtbE2PMU/DMBCFdyT+g3VIbK3TSClRiNOhEgsbBSGxufE1jrDP&#10;ke2myb/nmGC7u/f07nvtYfFOzBjTGEjBbluAQOqDGWlQ8PH+sqlBpKzJaBcIFayY4NDd37W6MeFG&#10;bzif8iA4hFKjFdicp0bK1Fv0Om3DhMTaJUSvM69xkCbqG4d7J8ui2EuvR+IPVk94tNh/n65ewdPy&#10;GXBKeMSvy9xHO661e12VenzYFc8gMi75zwy/+IwOHTOdw5VMEk4BF8kKNmVVgWC5rGu+nHnYlxXI&#10;rpX/C3Q/UEsDBBQAAAAIAIdO4kCr5QNRywEAAJ0DAAAOAAAAZHJzL2Uyb0RvYy54bWytU82O0zAQ&#10;viPxDpbv1GlBqypqugJVi5AQIC08gOvYjSX/yeM26QvAG3Diwp3n6nMwdpIuLJc9cHHGM+Nv5vtm&#10;srkdrCEnGUF719DloqJEOuFb7Q4N/fL57sWaEkjctdx4Jxt6lkBvt8+fbfpQy5XvvGllJAjioO5D&#10;Q7uUQs0YiE5aDgsfpMOg8tHyhNd4YG3kPaJbw1ZVdcN6H9sQvZAA6N2NQTohxqcAeqW0kDsvjla6&#10;NKJGaXhCStDpAHRbulVKivRRKZCJmIYi01ROLIL2Pp9su+H1IfLQaTG1wJ/SwiNOlmuHRa9QO544&#10;OUb9D5TVInrwKi2Et2wkUhRBFsvqkTb3HQ+ycEGpIVxFh/8HKz6cPkWi24a+uqHEcYsTv3z/dvnx&#10;6/LzK1lWL1dZoj5AjZn3AXPT8MYPuDizH9CZmQ8q2vxFTgTjKPD5KrAcEhH50Xq1XlcYEhibL4jP&#10;Hp6HCOmt9JZko6ERJ1iE5af3kMbUOSVXc/5OG1OmaNxfDsTMHpZ7H3vMVhr2w0Ro79sz8ulx+A11&#10;uOuUmHcOtc17MhtxNvazcQxRH7qySLkehNfHhE2U3nKFEXYqjFMr7KYNy2vx571kPfxV2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3Zb6e1AAAAAgBAAAPAAAAAAAAAAEAIAAAACIAAABkcnMvZG93&#10;bnJldi54bWxQSwECFAAUAAAACACHTuJAq+UDUcsBAACdAwAADgAAAAAAAAABACAAAAAjAQAAZHJz&#10;L2Uyb0RvYy54bWxQSwUGAAAAAAYABgBZAQAAYAUAAAAA&#10;">
              <v:fill on="f" focussize="0,0"/>
              <v:stroke on="f"/>
              <v:imagedata o:title=""/>
              <o:lock v:ext="edit" aspectratio="f"/>
              <v:textbox inset="0mm,0mm,0mm,0mm" style="mso-fit-shape-to-text:t;">
                <w:txbxContent>
                  <w:p w14:paraId="6E956898">
                    <w:pPr>
                      <w:pStyle w:val="18"/>
                      <w:rPr>
                        <w:rFonts w:hint="eastAsia"/>
                      </w:rPr>
                    </w:pPr>
                    <w:r>
                      <w:rPr>
                        <w:rFonts w:hint="eastAsia"/>
                      </w:rPr>
                      <w:fldChar w:fldCharType="begin"/>
                    </w:r>
                    <w:r>
                      <w:rPr>
                        <w:rFonts w:hint="eastAsia"/>
                      </w:rPr>
                      <w:instrText xml:space="preserve"> PAGE  \* MERGEFORMAT </w:instrText>
                    </w:r>
                    <w:r>
                      <w:rPr>
                        <w:rFonts w:hint="eastAsia"/>
                      </w:rPr>
                      <w:fldChar w:fldCharType="separate"/>
                    </w:r>
                    <w:r>
                      <w:t>80</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134594">
    <w:pPr>
      <w:pStyle w:val="18"/>
      <w:ind w:right="360"/>
      <w:jc w:val="both"/>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-161925</wp:posOffset>
              </wp:positionV>
              <wp:extent cx="1828800" cy="1828800"/>
              <wp:effectExtent l="0" t="0" r="0" b="0"/>
              <wp:wrapNone/>
              <wp:docPr id="44" name="文本框 10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B91F843">
                          <w:pPr>
                            <w:pStyle w:val="18"/>
                            <w:rPr>
                              <w:rFonts w:hint="eastAsia"/>
                            </w:rPr>
                          </w:pPr>
                          <w:r>
                            <w:rPr>
                              <w:rFonts w:hint="eastAsia"/>
                            </w:rPr>
                            <w:fldChar w:fldCharType="begin"/>
                          </w:r>
                          <w:r>
                            <w:rPr>
                              <w:rFonts w:hint="eastAsia"/>
                            </w:rPr>
                            <w:instrText xml:space="preserve"> PAGE  \* MERGEFORMAT </w:instrText>
                          </w:r>
                          <w:r>
                            <w:rPr>
                              <w:rFonts w:hint="eastAsia"/>
                            </w:rPr>
                            <w:fldChar w:fldCharType="separate"/>
                          </w:r>
                          <w:r>
                            <w:t>80</w:t>
                          </w:r>
                          <w:r>
                            <w:rPr>
                              <w:rFonts w:hint="eastAsia"/>
                            </w:rPr>
                            <w:fldChar w:fldCharType="end"/>
                          </w:r>
                        </w:p>
                      </w:txbxContent>
                    </wps:txbx>
                    <wps:bodyPr wrap="none" lIns="0" tIns="0" rIns="0" bIns="0" upright="0">
                      <a:spAutoFit/>
                    </wps:bodyPr>
                  </wps:wsp>
                </a:graphicData>
              </a:graphic>
            </wp:anchor>
          </w:drawing>
        </mc:Choice>
        <mc:Fallback>
          <w:pict>
            <v:shape id="文本框 1032" o:spid="_x0000_s1026" o:spt="202" type="#_x0000_t202" style="position:absolute;left:0pt;margin-top:-12.75pt;height:144pt;width:144pt;mso-position-horizontal:center;mso-position-horizontal-relative:margin;mso-wrap-style:none;z-index:251660288;mso-width-relative:page;mso-height-relative:page;" filled="f" stroked="f" coordsize="21600,21600" o:gfxdata="UEsDBAoAAAAAAIdO4kAAAAAAAAAAAAAAAAAEAAAAZHJzL1BLAwQUAAAACACHTuJAd2W+ntQAAAAI&#10;AQAADwAAAGRycy9kb3ducmV2LnhtbE2PMU/DMBCFdyT+g3VIbK3TSClRiNOhEgsbBSGxufE1jrDP&#10;ke2myb/nmGC7u/f07nvtYfFOzBjTGEjBbluAQOqDGWlQ8PH+sqlBpKzJaBcIFayY4NDd37W6MeFG&#10;bzif8iA4hFKjFdicp0bK1Fv0Om3DhMTaJUSvM69xkCbqG4d7J8ui2EuvR+IPVk94tNh/n65ewdPy&#10;GXBKeMSvy9xHO661e12VenzYFc8gMi75zwy/+IwOHTOdw5VMEk4BF8kKNmVVgWC5rGu+nHnYlxXI&#10;rpX/C3Q/UEsDBBQAAAAIAIdO4kB8cuLRywEAAJ0DAAAOAAAAZHJzL2Uyb0RvYy54bWytU82O0zAQ&#10;viPxDpbv1GlZoSpqugJVi5AQIC08gOvYjSX/yeM26QvAG3Diwp3n6nMwdpIuLJc9cHHGM+Nv5vtm&#10;srkdrCEnGUF719DloqJEOuFb7Q4N/fL57sWaEkjctdx4Jxt6lkBvt8+fbfpQy5XvvGllJAjioO5D&#10;Q7uUQs0YiE5aDgsfpMOg8tHyhNd4YG3kPaJbw1ZV9Yr1PrYheiEB0Lsbg3RCjE8B9EppIXdeHK10&#10;aUSN0vCElKDTAei2dKuUFOmjUiATMQ1FpqmcWATtfT7ZdsPrQ+Sh02JqgT+lhUecLNcOi16hdjxx&#10;coz6HyirRfTgVVoIb9lIpCiCLJbVI23uOx5k4YJSQ7iKDv8PVnw4fYpEtw29uaHEcYsTv3z/dvnx&#10;6/LzK1lWL1dZoj5AjZn3AXPT8MYPuDizH9CZmQ8q2vxFTgTjKPD5KrAcEhH50Xq1XlcYEhibL4jP&#10;Hp6HCOmt9JZko6ERJ1iE5af3kMbUOSVXc/5OG1OmaNxfDsTMHpZ7H3vMVhr2w0Ro79sz8ulx+A11&#10;uOuUmHcOtc17MhtxNvazcQxRH7qySLkehNfHhE2U3nKFEXYqjFMr7KYNy2vx571kPfxV2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3Zb6e1AAAAAgBAAAPAAAAAAAAAAEAIAAAACIAAABkcnMvZG93&#10;bnJldi54bWxQSwECFAAUAAAACACHTuJAfHLi0csBAACdAwAADgAAAAAAAAABACAAAAAjAQAAZHJz&#10;L2Uyb0RvYy54bWxQSwUGAAAAAAYABgBZAQAAYAUAAAAA&#10;">
              <v:fill on="f" focussize="0,0"/>
              <v:stroke on="f"/>
              <v:imagedata o:title=""/>
              <o:lock v:ext="edit" aspectratio="f"/>
              <v:textbox inset="0mm,0mm,0mm,0mm" style="mso-fit-shape-to-text:t;">
                <w:txbxContent>
                  <w:p w14:paraId="2B91F843">
                    <w:pPr>
                      <w:pStyle w:val="18"/>
                      <w:rPr>
                        <w:rFonts w:hint="eastAsia"/>
                      </w:rPr>
                    </w:pPr>
                    <w:r>
                      <w:rPr>
                        <w:rFonts w:hint="eastAsia"/>
                      </w:rPr>
                      <w:fldChar w:fldCharType="begin"/>
                    </w:r>
                    <w:r>
                      <w:rPr>
                        <w:rFonts w:hint="eastAsia"/>
                      </w:rPr>
                      <w:instrText xml:space="preserve"> PAGE  \* MERGEFORMAT </w:instrText>
                    </w:r>
                    <w:r>
                      <w:rPr>
                        <w:rFonts w:hint="eastAsia"/>
                      </w:rPr>
                      <w:fldChar w:fldCharType="separate"/>
                    </w:r>
                    <w:r>
                      <w:t>80</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70DE7A">
    <w:pPr>
      <w:pStyle w:val="18"/>
      <w:ind w:right="360"/>
      <w:jc w:val="both"/>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-161925</wp:posOffset>
              </wp:positionV>
              <wp:extent cx="1828800" cy="1828800"/>
              <wp:effectExtent l="0" t="0" r="0" b="0"/>
              <wp:wrapNone/>
              <wp:docPr id="45" name="文本框 10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5A40572">
                          <w:pPr>
                            <w:pStyle w:val="18"/>
                            <w:rPr>
                              <w:rFonts w:hint="eastAsia"/>
                            </w:rPr>
                          </w:pPr>
                          <w:r>
                            <w:rPr>
                              <w:rFonts w:hint="eastAsia"/>
                            </w:rPr>
                            <w:fldChar w:fldCharType="begin"/>
                          </w:r>
                          <w:r>
                            <w:rPr>
                              <w:rFonts w:hint="eastAsia"/>
                            </w:rPr>
                            <w:instrText xml:space="preserve"> PAGE  \* MERGEFORMAT </w:instrText>
                          </w:r>
                          <w:r>
                            <w:rPr>
                              <w:rFonts w:hint="eastAsia"/>
                            </w:rPr>
                            <w:fldChar w:fldCharType="separate"/>
                          </w:r>
                          <w:r>
                            <w:t>80</w:t>
                          </w:r>
                          <w:r>
                            <w:rPr>
                              <w:rFonts w:hint="eastAsia"/>
                            </w:rPr>
                            <w:fldChar w:fldCharType="end"/>
                          </w:r>
                        </w:p>
                      </w:txbxContent>
                    </wps:txbx>
                    <wps:bodyPr wrap="none" lIns="0" tIns="0" rIns="0" bIns="0" upright="0">
                      <a:spAutoFit/>
                    </wps:bodyPr>
                  </wps:wsp>
                </a:graphicData>
              </a:graphic>
            </wp:anchor>
          </w:drawing>
        </mc:Choice>
        <mc:Fallback>
          <w:pict>
            <v:shape id="文本框 1032" o:spid="_x0000_s1026" o:spt="202" type="#_x0000_t202" style="position:absolute;left:0pt;margin-top:-12.75pt;height:144pt;width:144pt;mso-position-horizontal:center;mso-position-horizontal-relative:margin;mso-wrap-style:none;z-index:251661312;mso-width-relative:page;mso-height-relative:page;" filled="f" stroked="f" coordsize="21600,21600" o:gfxdata="UEsDBAoAAAAAAIdO4kAAAAAAAAAAAAAAAAAEAAAAZHJzL1BLAwQUAAAACACHTuJAd2W+ntQAAAAI&#10;AQAADwAAAGRycy9kb3ducmV2LnhtbE2PMU/DMBCFdyT+g3VIbK3TSClRiNOhEgsbBSGxufE1jrDP&#10;ke2myb/nmGC7u/f07nvtYfFOzBjTGEjBbluAQOqDGWlQ8PH+sqlBpKzJaBcIFayY4NDd37W6MeFG&#10;bzif8iA4hFKjFdicp0bK1Fv0Om3DhMTaJUSvM69xkCbqG4d7J8ui2EuvR+IPVk94tNh/n65ewdPy&#10;GXBKeMSvy9xHO661e12VenzYFc8gMi75zwy/+IwOHTOdw5VMEk4BF8kKNmVVgWC5rGu+nHnYlxXI&#10;rpX/C3Q/UEsDBBQAAAAIAIdO4kC3Oip8zAEAAJ0DAAAOAAAAZHJzL2Uyb0RvYy54bWytU02u0zAQ&#10;3iNxB8t76rT8qIqaPoGqh5AQID04gOvYjSX/yeM26QXgBqzYsOdcPQdjJ+mDx+Yt2DjjmfE3830z&#10;2dwM1pCTjKC9a+hyUVEinfCtdoeGfvl8+2xNCSTuWm68kw09S6A326dPNn2o5cp33rQyEgRxUPeh&#10;oV1KoWYMRCcth4UP0mFQ+Wh5wms8sDbyHtGtYauqesV6H9sQvZAA6N2NQTohxscAeqW0kDsvjla6&#10;NKJGaXhCStDpAHRbulVKivRRKZCJmIYi01ROLIL2Pp9su+H1IfLQaTG1wB/TwgNOlmuHRa9QO544&#10;OUb9D5TVInrwKi2Et2wkUhRBFsvqgTZ3HQ+ycEGpIVxFh/8HKz6cPkWi24a+eEmJ4xYnfvn+7fLj&#10;1+XnV7Ksnq+yRH2AGjPvAuam4Y0fcHFmP6AzMx9UtPmLnAjGUeDzVWA5JCLyo/Vqva4wJDA2XxCf&#10;3T8PEdJb6S3JRkMjTrAIy0/vIY2pc0qu5vytNqZM0bi/HIiZPSz3PvaYrTTsh4nQ3rdn5NPj8Bvq&#10;cNcpMe8capv3ZDbibOxn4xiiPnRlkXI9CK+PCZsoveUKI+xUGKdW2E0bltfiz3vJuv+rt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d2W+ntQAAAAIAQAADwAAAAAAAAABACAAAAAiAAAAZHJzL2Rv&#10;d25yZXYueG1sUEsBAhQAFAAAAAgAh07iQLc6KnzMAQAAnQMAAA4AAAAAAAAAAQAgAAAAIwEAAGRy&#10;cy9lMm9Eb2MueG1sUEsFBgAAAAAGAAYAWQEAAGEFAAAAAA==&#10;">
              <v:fill on="f" focussize="0,0"/>
              <v:stroke on="f"/>
              <v:imagedata o:title=""/>
              <o:lock v:ext="edit" aspectratio="f"/>
              <v:textbox inset="0mm,0mm,0mm,0mm" style="mso-fit-shape-to-text:t;">
                <w:txbxContent>
                  <w:p w14:paraId="65A40572">
                    <w:pPr>
                      <w:pStyle w:val="18"/>
                      <w:rPr>
                        <w:rFonts w:hint="eastAsia"/>
                      </w:rPr>
                    </w:pPr>
                    <w:r>
                      <w:rPr>
                        <w:rFonts w:hint="eastAsia"/>
                      </w:rPr>
                      <w:fldChar w:fldCharType="begin"/>
                    </w:r>
                    <w:r>
                      <w:rPr>
                        <w:rFonts w:hint="eastAsia"/>
                      </w:rPr>
                      <w:instrText xml:space="preserve"> PAGE  \* MERGEFORMAT </w:instrText>
                    </w:r>
                    <w:r>
                      <w:rPr>
                        <w:rFonts w:hint="eastAsia"/>
                      </w:rPr>
                      <w:fldChar w:fldCharType="separate"/>
                    </w:r>
                    <w:r>
                      <w:t>80</w:t>
                    </w:r>
                    <w:r>
                      <w:rPr>
                        <w:rFonts w:hint="eastAsia"/>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1868FE">
    <w:pPr>
      <w:pStyle w:val="18"/>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-161925</wp:posOffset>
              </wp:positionV>
              <wp:extent cx="1828800" cy="1828800"/>
              <wp:effectExtent l="0" t="0" r="0" b="0"/>
              <wp:wrapNone/>
              <wp:docPr id="43" name="文本框 10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0C4DD5B">
                          <w:pPr>
                            <w:pStyle w:val="18"/>
                            <w:rPr>
                              <w:rFonts w:hint="eastAsia"/>
                            </w:rPr>
                          </w:pPr>
                          <w:r>
                            <w:rPr>
                              <w:rFonts w:hint="eastAsia"/>
                            </w:rPr>
                            <w:fldChar w:fldCharType="begin"/>
                          </w:r>
                          <w:r>
                            <w:rPr>
                              <w:rFonts w:hint="eastAsia"/>
                            </w:rPr>
                            <w:instrText xml:space="preserve"> PAGE  \* MERGEFORMAT </w:instrText>
                          </w:r>
                          <w:r>
                            <w:rPr>
                              <w:rFonts w:hint="eastAsia"/>
                            </w:rPr>
                            <w:fldChar w:fldCharType="separate"/>
                          </w:r>
                          <w:r>
                            <w:t>83</w:t>
                          </w:r>
                          <w:r>
                            <w:rPr>
                              <w:rFonts w:hint="eastAsia"/>
                            </w:rPr>
                            <w:fldChar w:fldCharType="end"/>
                          </w:r>
                        </w:p>
                      </w:txbxContent>
                    </wps:txbx>
                    <wps:bodyPr wrap="none" lIns="0" tIns="0" rIns="0" bIns="0" upright="0">
                      <a:spAutoFit/>
                    </wps:bodyPr>
                  </wps:wsp>
                </a:graphicData>
              </a:graphic>
            </wp:anchor>
          </w:drawing>
        </mc:Choice>
        <mc:Fallback>
          <w:pict>
            <v:shape id="文本框 1031" o:spid="_x0000_s1026" o:spt="202" type="#_x0000_t202" style="position:absolute;left:0pt;margin-top:-12.75pt;height:144pt;width:144pt;mso-position-horizontal:center;mso-position-horizontal-relative:margin;mso-wrap-style:none;z-index:251659264;mso-width-relative:page;mso-height-relative:page;" filled="f" stroked="f" coordsize="21600,21600" o:gfxdata="UEsDBAoAAAAAAIdO4kAAAAAAAAAAAAAAAAAEAAAAZHJzL1BLAwQUAAAACACHTuJAd2W+ntQAAAAI&#10;AQAADwAAAGRycy9kb3ducmV2LnhtbE2PMU/DMBCFdyT+g3VIbK3TSClRiNOhEgsbBSGxufE1jrDP&#10;ke2myb/nmGC7u/f07nvtYfFOzBjTGEjBbluAQOqDGWlQ8PH+sqlBpKzJaBcIFayY4NDd37W6MeFG&#10;bzif8iA4hFKjFdicp0bK1Fv0Om3DhMTaJUSvM69xkCbqG4d7J8ui2EuvR+IPVk94tNh/n65ewdPy&#10;GXBKeMSvy9xHO661e12VenzYFc8gMi75zwy/+IwOHTOdw5VMEk4BF8kKNmVVgWC5rGu+nHnYlxXI&#10;rpX/C3Q/UEsDBBQAAAAIAIdO4kCMS4wLywEAAJ0DAAAOAAAAZHJzL2Uyb0RvYy54bWytU82O0zAQ&#10;viPxDpbv1GkXoSpqugJVi5AQIC08gOvYjSX/yeM26QvAG3Diwp3n6nMwdpIuLJc9cHHGM+Nv5vtm&#10;srkdrCEnGUF719DloqJEOuFb7Q4N/fL57sWaEkjctdx4Jxt6lkBvt8+fbfpQy5XvvGllJAjioO5D&#10;Q7uUQs0YiE5aDgsfpMOg8tHyhNd4YG3kPaJbw1ZV9Yr1PrYheiEB0Lsbg3RCjE8B9EppIXdeHK10&#10;aUSN0vCElKDTAei2dKuUFOmjUiATMQ1FpqmcWATtfT7ZdsPrQ+Sh02JqgT+lhUecLNcOi16hdjxx&#10;coz6HyirRfTgVVoIb9lIpCiCLJbVI23uOx5k4YJSQ7iKDv8PVnw4fYpEtw19eUOJ4xYnfvn+7fLj&#10;1+XnV7KsbpZZoj5AjZn3AXPT8MYPuDizH9CZmQ8q2vxFTgTjKPD5KrAcEhH50Xq1XlcYEhibL4jP&#10;Hp6HCOmt9JZko6ERJ1iE5af3kMbUOSVXc/5OG1OmaNxfDsTMHpZ7H3vMVhr2w0Ro79sz8ulx+A11&#10;uOuUmHcOtc17MhtxNvazcQxRH7qySLkehNfHhE2U3nKFEXYqjFMr7KYNy2vx571kPfxV2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3Zb6e1AAAAAgBAAAPAAAAAAAAAAEAIAAAACIAAABkcnMvZG93&#10;bnJldi54bWxQSwECFAAUAAAACACHTuJAjEuMC8sBAACdAwAADgAAAAAAAAABACAAAAAjAQAAZHJz&#10;L2Uyb0RvYy54bWxQSwUGAAAAAAYABgBZAQAAYAUAAAAA&#10;">
              <v:fill on="f" focussize="0,0"/>
              <v:stroke on="f"/>
              <v:imagedata o:title=""/>
              <o:lock v:ext="edit" aspectratio="f"/>
              <v:textbox inset="0mm,0mm,0mm,0mm" style="mso-fit-shape-to-text:t;">
                <w:txbxContent>
                  <w:p w14:paraId="30C4DD5B">
                    <w:pPr>
                      <w:pStyle w:val="18"/>
                      <w:rPr>
                        <w:rFonts w:hint="eastAsia"/>
                      </w:rPr>
                    </w:pPr>
                    <w:r>
                      <w:rPr>
                        <w:rFonts w:hint="eastAsia"/>
                      </w:rPr>
                      <w:fldChar w:fldCharType="begin"/>
                    </w:r>
                    <w:r>
                      <w:rPr>
                        <w:rFonts w:hint="eastAsia"/>
                      </w:rPr>
                      <w:instrText xml:space="preserve"> PAGE  \* MERGEFORMAT </w:instrText>
                    </w:r>
                    <w:r>
                      <w:rPr>
                        <w:rFonts w:hint="eastAsia"/>
                      </w:rPr>
                      <w:fldChar w:fldCharType="separate"/>
                    </w:r>
                    <w:r>
                      <w:t>83</w:t>
                    </w:r>
                    <w:r>
                      <w:rPr>
                        <w:rFonts w:hint="eastAsia"/>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ViMGI1N2I5MTY1NGZlOWFjYzNmMDQ0MzkwOTAyZDAifQ=="/>
  </w:docVars>
  <w:rsids>
    <w:rsidRoot w:val="00172A27"/>
    <w:rsid w:val="00000077"/>
    <w:rsid w:val="00000FCA"/>
    <w:rsid w:val="00002263"/>
    <w:rsid w:val="0000481B"/>
    <w:rsid w:val="000060B3"/>
    <w:rsid w:val="00006CDB"/>
    <w:rsid w:val="00007A0C"/>
    <w:rsid w:val="00012F4D"/>
    <w:rsid w:val="000132CD"/>
    <w:rsid w:val="000138E5"/>
    <w:rsid w:val="00015A58"/>
    <w:rsid w:val="00015D19"/>
    <w:rsid w:val="0001690B"/>
    <w:rsid w:val="00016D03"/>
    <w:rsid w:val="00020A6C"/>
    <w:rsid w:val="00020ED4"/>
    <w:rsid w:val="00021F2A"/>
    <w:rsid w:val="00022215"/>
    <w:rsid w:val="00022E38"/>
    <w:rsid w:val="000239B9"/>
    <w:rsid w:val="00023C6A"/>
    <w:rsid w:val="0002485D"/>
    <w:rsid w:val="00024F98"/>
    <w:rsid w:val="000269D0"/>
    <w:rsid w:val="0003034E"/>
    <w:rsid w:val="0003091B"/>
    <w:rsid w:val="00030D29"/>
    <w:rsid w:val="00030F8B"/>
    <w:rsid w:val="0003185F"/>
    <w:rsid w:val="00031E51"/>
    <w:rsid w:val="00031EF3"/>
    <w:rsid w:val="00033197"/>
    <w:rsid w:val="0003361C"/>
    <w:rsid w:val="000337FA"/>
    <w:rsid w:val="0003473D"/>
    <w:rsid w:val="000351E4"/>
    <w:rsid w:val="00035597"/>
    <w:rsid w:val="0004364B"/>
    <w:rsid w:val="00043C9E"/>
    <w:rsid w:val="00044466"/>
    <w:rsid w:val="0004734E"/>
    <w:rsid w:val="00047A7E"/>
    <w:rsid w:val="00050289"/>
    <w:rsid w:val="00050B29"/>
    <w:rsid w:val="00050F04"/>
    <w:rsid w:val="0005195B"/>
    <w:rsid w:val="00051EF1"/>
    <w:rsid w:val="00051FF9"/>
    <w:rsid w:val="00052AC1"/>
    <w:rsid w:val="0005362E"/>
    <w:rsid w:val="00054299"/>
    <w:rsid w:val="00055877"/>
    <w:rsid w:val="00055D89"/>
    <w:rsid w:val="0005626C"/>
    <w:rsid w:val="00057C4C"/>
    <w:rsid w:val="00060123"/>
    <w:rsid w:val="000609A7"/>
    <w:rsid w:val="00061836"/>
    <w:rsid w:val="00061B1F"/>
    <w:rsid w:val="000622A2"/>
    <w:rsid w:val="00063C06"/>
    <w:rsid w:val="000640DB"/>
    <w:rsid w:val="00064C0F"/>
    <w:rsid w:val="00065554"/>
    <w:rsid w:val="00065F14"/>
    <w:rsid w:val="0006774D"/>
    <w:rsid w:val="00067DDE"/>
    <w:rsid w:val="00070AEA"/>
    <w:rsid w:val="0007126B"/>
    <w:rsid w:val="0007128B"/>
    <w:rsid w:val="000733C4"/>
    <w:rsid w:val="0007438F"/>
    <w:rsid w:val="00074783"/>
    <w:rsid w:val="00074E2A"/>
    <w:rsid w:val="00074F36"/>
    <w:rsid w:val="00075776"/>
    <w:rsid w:val="00077068"/>
    <w:rsid w:val="000770C9"/>
    <w:rsid w:val="000779E3"/>
    <w:rsid w:val="0008070B"/>
    <w:rsid w:val="00080918"/>
    <w:rsid w:val="000810AC"/>
    <w:rsid w:val="00081A02"/>
    <w:rsid w:val="00082231"/>
    <w:rsid w:val="000826EE"/>
    <w:rsid w:val="00082A87"/>
    <w:rsid w:val="00082F3A"/>
    <w:rsid w:val="00083B19"/>
    <w:rsid w:val="00083BBA"/>
    <w:rsid w:val="00083D40"/>
    <w:rsid w:val="00085E04"/>
    <w:rsid w:val="00086468"/>
    <w:rsid w:val="00086781"/>
    <w:rsid w:val="00087DD4"/>
    <w:rsid w:val="00091F04"/>
    <w:rsid w:val="00091F99"/>
    <w:rsid w:val="00092D38"/>
    <w:rsid w:val="000931E2"/>
    <w:rsid w:val="00093379"/>
    <w:rsid w:val="0009377B"/>
    <w:rsid w:val="0009427C"/>
    <w:rsid w:val="0009449F"/>
    <w:rsid w:val="00094BBE"/>
    <w:rsid w:val="000951BA"/>
    <w:rsid w:val="00096849"/>
    <w:rsid w:val="00096AB4"/>
    <w:rsid w:val="000972BD"/>
    <w:rsid w:val="00097439"/>
    <w:rsid w:val="000978FC"/>
    <w:rsid w:val="000A129A"/>
    <w:rsid w:val="000A20C9"/>
    <w:rsid w:val="000A4177"/>
    <w:rsid w:val="000A523A"/>
    <w:rsid w:val="000A6297"/>
    <w:rsid w:val="000A78C0"/>
    <w:rsid w:val="000B058F"/>
    <w:rsid w:val="000B22C4"/>
    <w:rsid w:val="000B22DE"/>
    <w:rsid w:val="000B308A"/>
    <w:rsid w:val="000B36CD"/>
    <w:rsid w:val="000B39B1"/>
    <w:rsid w:val="000B3A2C"/>
    <w:rsid w:val="000B3A79"/>
    <w:rsid w:val="000B4467"/>
    <w:rsid w:val="000B4D23"/>
    <w:rsid w:val="000B4DB9"/>
    <w:rsid w:val="000B5013"/>
    <w:rsid w:val="000B621A"/>
    <w:rsid w:val="000B6F55"/>
    <w:rsid w:val="000B7F9A"/>
    <w:rsid w:val="000C09AC"/>
    <w:rsid w:val="000C1048"/>
    <w:rsid w:val="000C152A"/>
    <w:rsid w:val="000C3B78"/>
    <w:rsid w:val="000C4D3B"/>
    <w:rsid w:val="000C563B"/>
    <w:rsid w:val="000C5CB6"/>
    <w:rsid w:val="000C767F"/>
    <w:rsid w:val="000C7FA9"/>
    <w:rsid w:val="000D0921"/>
    <w:rsid w:val="000D0F0C"/>
    <w:rsid w:val="000D21D4"/>
    <w:rsid w:val="000D229C"/>
    <w:rsid w:val="000D2346"/>
    <w:rsid w:val="000D2525"/>
    <w:rsid w:val="000D2CAC"/>
    <w:rsid w:val="000D3762"/>
    <w:rsid w:val="000D379B"/>
    <w:rsid w:val="000D3C2D"/>
    <w:rsid w:val="000D4129"/>
    <w:rsid w:val="000D5473"/>
    <w:rsid w:val="000D5A44"/>
    <w:rsid w:val="000D5EB2"/>
    <w:rsid w:val="000D7AC7"/>
    <w:rsid w:val="000E0279"/>
    <w:rsid w:val="000E0663"/>
    <w:rsid w:val="000E0911"/>
    <w:rsid w:val="000E1078"/>
    <w:rsid w:val="000E2389"/>
    <w:rsid w:val="000E28D6"/>
    <w:rsid w:val="000E380A"/>
    <w:rsid w:val="000E3ED2"/>
    <w:rsid w:val="000E46E7"/>
    <w:rsid w:val="000E4ED9"/>
    <w:rsid w:val="000E59BF"/>
    <w:rsid w:val="000E6662"/>
    <w:rsid w:val="000F34E6"/>
    <w:rsid w:val="000F3AF9"/>
    <w:rsid w:val="000F4013"/>
    <w:rsid w:val="000F4C1A"/>
    <w:rsid w:val="000F604E"/>
    <w:rsid w:val="000F688C"/>
    <w:rsid w:val="000F69EF"/>
    <w:rsid w:val="000F74F4"/>
    <w:rsid w:val="000F7FA8"/>
    <w:rsid w:val="00101850"/>
    <w:rsid w:val="00102551"/>
    <w:rsid w:val="0010320F"/>
    <w:rsid w:val="0010453C"/>
    <w:rsid w:val="00104BF7"/>
    <w:rsid w:val="00106A1E"/>
    <w:rsid w:val="00107154"/>
    <w:rsid w:val="00107F6C"/>
    <w:rsid w:val="001104C4"/>
    <w:rsid w:val="00111DCB"/>
    <w:rsid w:val="001120A1"/>
    <w:rsid w:val="001148D9"/>
    <w:rsid w:val="0011526D"/>
    <w:rsid w:val="001156D7"/>
    <w:rsid w:val="00115849"/>
    <w:rsid w:val="00117076"/>
    <w:rsid w:val="0011718C"/>
    <w:rsid w:val="00120AAF"/>
    <w:rsid w:val="001214F2"/>
    <w:rsid w:val="001217C6"/>
    <w:rsid w:val="00123614"/>
    <w:rsid w:val="00123A3E"/>
    <w:rsid w:val="00123CE7"/>
    <w:rsid w:val="001255D1"/>
    <w:rsid w:val="001276BE"/>
    <w:rsid w:val="00127AD4"/>
    <w:rsid w:val="00130C99"/>
    <w:rsid w:val="00131B9E"/>
    <w:rsid w:val="00131E1F"/>
    <w:rsid w:val="00131F42"/>
    <w:rsid w:val="00134C43"/>
    <w:rsid w:val="0013513A"/>
    <w:rsid w:val="001357F1"/>
    <w:rsid w:val="00135D9D"/>
    <w:rsid w:val="0013677C"/>
    <w:rsid w:val="001367BA"/>
    <w:rsid w:val="00136CDD"/>
    <w:rsid w:val="00140FA8"/>
    <w:rsid w:val="00142FEB"/>
    <w:rsid w:val="00143679"/>
    <w:rsid w:val="00143A2D"/>
    <w:rsid w:val="001441E5"/>
    <w:rsid w:val="00144F3D"/>
    <w:rsid w:val="00145088"/>
    <w:rsid w:val="00145A41"/>
    <w:rsid w:val="00145AAF"/>
    <w:rsid w:val="0014608F"/>
    <w:rsid w:val="00146C4C"/>
    <w:rsid w:val="00147265"/>
    <w:rsid w:val="00147BF9"/>
    <w:rsid w:val="00147F87"/>
    <w:rsid w:val="00150E57"/>
    <w:rsid w:val="00151675"/>
    <w:rsid w:val="00151F88"/>
    <w:rsid w:val="0015226A"/>
    <w:rsid w:val="0015296D"/>
    <w:rsid w:val="00152AD9"/>
    <w:rsid w:val="00153078"/>
    <w:rsid w:val="001538FC"/>
    <w:rsid w:val="001557F4"/>
    <w:rsid w:val="00155992"/>
    <w:rsid w:val="0015727E"/>
    <w:rsid w:val="00157435"/>
    <w:rsid w:val="0016073A"/>
    <w:rsid w:val="00161B16"/>
    <w:rsid w:val="00162777"/>
    <w:rsid w:val="00162A4A"/>
    <w:rsid w:val="00164FE9"/>
    <w:rsid w:val="00164FFD"/>
    <w:rsid w:val="001652B3"/>
    <w:rsid w:val="001661CA"/>
    <w:rsid w:val="001666B6"/>
    <w:rsid w:val="00166A7D"/>
    <w:rsid w:val="001673B1"/>
    <w:rsid w:val="001676DF"/>
    <w:rsid w:val="00167AF0"/>
    <w:rsid w:val="00172D00"/>
    <w:rsid w:val="00172FBE"/>
    <w:rsid w:val="00174A7A"/>
    <w:rsid w:val="0017504D"/>
    <w:rsid w:val="00176227"/>
    <w:rsid w:val="0017671A"/>
    <w:rsid w:val="00176D3D"/>
    <w:rsid w:val="00177422"/>
    <w:rsid w:val="0017799C"/>
    <w:rsid w:val="00177A5B"/>
    <w:rsid w:val="0018143C"/>
    <w:rsid w:val="00183526"/>
    <w:rsid w:val="001839A5"/>
    <w:rsid w:val="001839C2"/>
    <w:rsid w:val="00184590"/>
    <w:rsid w:val="001861CC"/>
    <w:rsid w:val="001870D1"/>
    <w:rsid w:val="0018781E"/>
    <w:rsid w:val="0019030D"/>
    <w:rsid w:val="001903A0"/>
    <w:rsid w:val="00190654"/>
    <w:rsid w:val="00191241"/>
    <w:rsid w:val="001917C4"/>
    <w:rsid w:val="0019208D"/>
    <w:rsid w:val="0019262D"/>
    <w:rsid w:val="001926A2"/>
    <w:rsid w:val="001926BD"/>
    <w:rsid w:val="00192D17"/>
    <w:rsid w:val="0019313F"/>
    <w:rsid w:val="0019361A"/>
    <w:rsid w:val="00193B49"/>
    <w:rsid w:val="00194E79"/>
    <w:rsid w:val="00194F8F"/>
    <w:rsid w:val="00195951"/>
    <w:rsid w:val="001959C5"/>
    <w:rsid w:val="001968AB"/>
    <w:rsid w:val="001A0D95"/>
    <w:rsid w:val="001A1B35"/>
    <w:rsid w:val="001A1BAD"/>
    <w:rsid w:val="001A2DDF"/>
    <w:rsid w:val="001A30FD"/>
    <w:rsid w:val="001A4568"/>
    <w:rsid w:val="001A4845"/>
    <w:rsid w:val="001A48A2"/>
    <w:rsid w:val="001A5CE7"/>
    <w:rsid w:val="001A5DD6"/>
    <w:rsid w:val="001A664D"/>
    <w:rsid w:val="001A696D"/>
    <w:rsid w:val="001A6F61"/>
    <w:rsid w:val="001A7B93"/>
    <w:rsid w:val="001A7F96"/>
    <w:rsid w:val="001B024C"/>
    <w:rsid w:val="001B153B"/>
    <w:rsid w:val="001B2461"/>
    <w:rsid w:val="001B28BA"/>
    <w:rsid w:val="001B2C44"/>
    <w:rsid w:val="001B4590"/>
    <w:rsid w:val="001B4FA3"/>
    <w:rsid w:val="001B5839"/>
    <w:rsid w:val="001B5C51"/>
    <w:rsid w:val="001B63D1"/>
    <w:rsid w:val="001B6C0C"/>
    <w:rsid w:val="001B72B8"/>
    <w:rsid w:val="001B7723"/>
    <w:rsid w:val="001C0564"/>
    <w:rsid w:val="001C0C25"/>
    <w:rsid w:val="001C1580"/>
    <w:rsid w:val="001C1749"/>
    <w:rsid w:val="001C1895"/>
    <w:rsid w:val="001C29E1"/>
    <w:rsid w:val="001C37EE"/>
    <w:rsid w:val="001C3ACD"/>
    <w:rsid w:val="001C47FC"/>
    <w:rsid w:val="001C4EB2"/>
    <w:rsid w:val="001C5651"/>
    <w:rsid w:val="001C5802"/>
    <w:rsid w:val="001C69B3"/>
    <w:rsid w:val="001C6E78"/>
    <w:rsid w:val="001C7527"/>
    <w:rsid w:val="001C7665"/>
    <w:rsid w:val="001C7729"/>
    <w:rsid w:val="001D1629"/>
    <w:rsid w:val="001D2DC8"/>
    <w:rsid w:val="001D3DBC"/>
    <w:rsid w:val="001D5053"/>
    <w:rsid w:val="001D50CF"/>
    <w:rsid w:val="001D5595"/>
    <w:rsid w:val="001D5C00"/>
    <w:rsid w:val="001D69AF"/>
    <w:rsid w:val="001D6B82"/>
    <w:rsid w:val="001D7874"/>
    <w:rsid w:val="001D7F22"/>
    <w:rsid w:val="001E0C10"/>
    <w:rsid w:val="001E13E8"/>
    <w:rsid w:val="001E215A"/>
    <w:rsid w:val="001E5565"/>
    <w:rsid w:val="001E5876"/>
    <w:rsid w:val="001E5905"/>
    <w:rsid w:val="001E5909"/>
    <w:rsid w:val="001E59B8"/>
    <w:rsid w:val="001E5C0C"/>
    <w:rsid w:val="001E6C21"/>
    <w:rsid w:val="001E7A68"/>
    <w:rsid w:val="001E7D15"/>
    <w:rsid w:val="001F01F6"/>
    <w:rsid w:val="001F0BCF"/>
    <w:rsid w:val="001F0E25"/>
    <w:rsid w:val="001F0F17"/>
    <w:rsid w:val="001F3347"/>
    <w:rsid w:val="001F353B"/>
    <w:rsid w:val="001F3CCD"/>
    <w:rsid w:val="001F3D72"/>
    <w:rsid w:val="001F40EB"/>
    <w:rsid w:val="001F50F7"/>
    <w:rsid w:val="001F5305"/>
    <w:rsid w:val="001F69E4"/>
    <w:rsid w:val="001F726A"/>
    <w:rsid w:val="002006E0"/>
    <w:rsid w:val="00200F9D"/>
    <w:rsid w:val="002016A4"/>
    <w:rsid w:val="00201985"/>
    <w:rsid w:val="00203354"/>
    <w:rsid w:val="002035F1"/>
    <w:rsid w:val="00205267"/>
    <w:rsid w:val="00205E66"/>
    <w:rsid w:val="002073DA"/>
    <w:rsid w:val="00207E46"/>
    <w:rsid w:val="002102A4"/>
    <w:rsid w:val="002106B6"/>
    <w:rsid w:val="002125B4"/>
    <w:rsid w:val="00213396"/>
    <w:rsid w:val="00213DFE"/>
    <w:rsid w:val="0021412D"/>
    <w:rsid w:val="00214C16"/>
    <w:rsid w:val="00215345"/>
    <w:rsid w:val="002155B8"/>
    <w:rsid w:val="00217386"/>
    <w:rsid w:val="00221E70"/>
    <w:rsid w:val="00222101"/>
    <w:rsid w:val="002225F6"/>
    <w:rsid w:val="00223345"/>
    <w:rsid w:val="00223446"/>
    <w:rsid w:val="0022376C"/>
    <w:rsid w:val="0022454F"/>
    <w:rsid w:val="00224839"/>
    <w:rsid w:val="002249B2"/>
    <w:rsid w:val="002255A3"/>
    <w:rsid w:val="00226574"/>
    <w:rsid w:val="0022740E"/>
    <w:rsid w:val="002278EC"/>
    <w:rsid w:val="00227A56"/>
    <w:rsid w:val="00230033"/>
    <w:rsid w:val="002305A4"/>
    <w:rsid w:val="00230D12"/>
    <w:rsid w:val="002324CD"/>
    <w:rsid w:val="0023280E"/>
    <w:rsid w:val="002331C1"/>
    <w:rsid w:val="0023344F"/>
    <w:rsid w:val="00233780"/>
    <w:rsid w:val="00234927"/>
    <w:rsid w:val="002356BE"/>
    <w:rsid w:val="002377D1"/>
    <w:rsid w:val="00237D95"/>
    <w:rsid w:val="00240F65"/>
    <w:rsid w:val="00241A10"/>
    <w:rsid w:val="00241E03"/>
    <w:rsid w:val="00242E6D"/>
    <w:rsid w:val="00243173"/>
    <w:rsid w:val="002433AA"/>
    <w:rsid w:val="0024638B"/>
    <w:rsid w:val="00246D47"/>
    <w:rsid w:val="0024787D"/>
    <w:rsid w:val="00247B9D"/>
    <w:rsid w:val="00250044"/>
    <w:rsid w:val="002506BC"/>
    <w:rsid w:val="00251204"/>
    <w:rsid w:val="00251D2D"/>
    <w:rsid w:val="002527AB"/>
    <w:rsid w:val="002533C2"/>
    <w:rsid w:val="00254345"/>
    <w:rsid w:val="002549AA"/>
    <w:rsid w:val="00254D01"/>
    <w:rsid w:val="00255037"/>
    <w:rsid w:val="00255323"/>
    <w:rsid w:val="00257DC5"/>
    <w:rsid w:val="002604F8"/>
    <w:rsid w:val="002610A9"/>
    <w:rsid w:val="002618FB"/>
    <w:rsid w:val="00262E62"/>
    <w:rsid w:val="00263AE5"/>
    <w:rsid w:val="00263F52"/>
    <w:rsid w:val="00264557"/>
    <w:rsid w:val="002647A2"/>
    <w:rsid w:val="00264C42"/>
    <w:rsid w:val="00264C48"/>
    <w:rsid w:val="00265EB8"/>
    <w:rsid w:val="00267047"/>
    <w:rsid w:val="0026705F"/>
    <w:rsid w:val="0026709A"/>
    <w:rsid w:val="002709A6"/>
    <w:rsid w:val="00272A76"/>
    <w:rsid w:val="00273D60"/>
    <w:rsid w:val="002743F3"/>
    <w:rsid w:val="00275142"/>
    <w:rsid w:val="00275481"/>
    <w:rsid w:val="00275678"/>
    <w:rsid w:val="002774E1"/>
    <w:rsid w:val="0027763A"/>
    <w:rsid w:val="002805AB"/>
    <w:rsid w:val="002807DA"/>
    <w:rsid w:val="00282FFD"/>
    <w:rsid w:val="0028311C"/>
    <w:rsid w:val="0028369D"/>
    <w:rsid w:val="002838CF"/>
    <w:rsid w:val="00283993"/>
    <w:rsid w:val="00284204"/>
    <w:rsid w:val="00284375"/>
    <w:rsid w:val="002862C6"/>
    <w:rsid w:val="00287067"/>
    <w:rsid w:val="00287D04"/>
    <w:rsid w:val="00290007"/>
    <w:rsid w:val="00290AAF"/>
    <w:rsid w:val="00290C33"/>
    <w:rsid w:val="00291773"/>
    <w:rsid w:val="00291C12"/>
    <w:rsid w:val="00292496"/>
    <w:rsid w:val="00292BAB"/>
    <w:rsid w:val="00293D49"/>
    <w:rsid w:val="0029539E"/>
    <w:rsid w:val="002967AD"/>
    <w:rsid w:val="00296A03"/>
    <w:rsid w:val="00297A82"/>
    <w:rsid w:val="002A0491"/>
    <w:rsid w:val="002A086F"/>
    <w:rsid w:val="002A168C"/>
    <w:rsid w:val="002A2D79"/>
    <w:rsid w:val="002A30B7"/>
    <w:rsid w:val="002A3890"/>
    <w:rsid w:val="002A3DC7"/>
    <w:rsid w:val="002A60D8"/>
    <w:rsid w:val="002A6509"/>
    <w:rsid w:val="002A68C1"/>
    <w:rsid w:val="002A7691"/>
    <w:rsid w:val="002B0390"/>
    <w:rsid w:val="002B0FB1"/>
    <w:rsid w:val="002B1076"/>
    <w:rsid w:val="002B3031"/>
    <w:rsid w:val="002B30AA"/>
    <w:rsid w:val="002B342E"/>
    <w:rsid w:val="002B376C"/>
    <w:rsid w:val="002B40D8"/>
    <w:rsid w:val="002B4789"/>
    <w:rsid w:val="002B49E2"/>
    <w:rsid w:val="002B607A"/>
    <w:rsid w:val="002B68AC"/>
    <w:rsid w:val="002B6977"/>
    <w:rsid w:val="002B7443"/>
    <w:rsid w:val="002B7B00"/>
    <w:rsid w:val="002B7C44"/>
    <w:rsid w:val="002C025A"/>
    <w:rsid w:val="002C25FA"/>
    <w:rsid w:val="002C2B17"/>
    <w:rsid w:val="002C2F77"/>
    <w:rsid w:val="002C3322"/>
    <w:rsid w:val="002C4DB6"/>
    <w:rsid w:val="002C4E11"/>
    <w:rsid w:val="002C5712"/>
    <w:rsid w:val="002C612D"/>
    <w:rsid w:val="002D01FD"/>
    <w:rsid w:val="002D139D"/>
    <w:rsid w:val="002D1ED7"/>
    <w:rsid w:val="002D210A"/>
    <w:rsid w:val="002D309C"/>
    <w:rsid w:val="002D3DD0"/>
    <w:rsid w:val="002D550B"/>
    <w:rsid w:val="002D5D15"/>
    <w:rsid w:val="002D7D54"/>
    <w:rsid w:val="002E069B"/>
    <w:rsid w:val="002E06A8"/>
    <w:rsid w:val="002E1045"/>
    <w:rsid w:val="002E1539"/>
    <w:rsid w:val="002E19A9"/>
    <w:rsid w:val="002E1F3A"/>
    <w:rsid w:val="002E298A"/>
    <w:rsid w:val="002E4592"/>
    <w:rsid w:val="002E476A"/>
    <w:rsid w:val="002E7C8A"/>
    <w:rsid w:val="002F19C9"/>
    <w:rsid w:val="002F1BF1"/>
    <w:rsid w:val="002F1E6B"/>
    <w:rsid w:val="002F1E9B"/>
    <w:rsid w:val="002F2BEE"/>
    <w:rsid w:val="002F33C6"/>
    <w:rsid w:val="002F3D3B"/>
    <w:rsid w:val="002F4460"/>
    <w:rsid w:val="002F45A8"/>
    <w:rsid w:val="002F4BBD"/>
    <w:rsid w:val="002F5456"/>
    <w:rsid w:val="002F6890"/>
    <w:rsid w:val="002F7A3C"/>
    <w:rsid w:val="002F7CCE"/>
    <w:rsid w:val="003007DB"/>
    <w:rsid w:val="00301810"/>
    <w:rsid w:val="00301978"/>
    <w:rsid w:val="00301C70"/>
    <w:rsid w:val="00302EBB"/>
    <w:rsid w:val="00302F54"/>
    <w:rsid w:val="0030332C"/>
    <w:rsid w:val="00304487"/>
    <w:rsid w:val="003045B5"/>
    <w:rsid w:val="0030495D"/>
    <w:rsid w:val="003051C2"/>
    <w:rsid w:val="00305E66"/>
    <w:rsid w:val="00310064"/>
    <w:rsid w:val="0031183F"/>
    <w:rsid w:val="00311CA6"/>
    <w:rsid w:val="00311E4D"/>
    <w:rsid w:val="00311F8A"/>
    <w:rsid w:val="003120B0"/>
    <w:rsid w:val="00312296"/>
    <w:rsid w:val="0031405D"/>
    <w:rsid w:val="00314339"/>
    <w:rsid w:val="003144A0"/>
    <w:rsid w:val="00314F0E"/>
    <w:rsid w:val="00315041"/>
    <w:rsid w:val="00315125"/>
    <w:rsid w:val="00315867"/>
    <w:rsid w:val="003166B6"/>
    <w:rsid w:val="0031794B"/>
    <w:rsid w:val="00320865"/>
    <w:rsid w:val="00320BA3"/>
    <w:rsid w:val="00321D8E"/>
    <w:rsid w:val="0032258E"/>
    <w:rsid w:val="00322EA2"/>
    <w:rsid w:val="00322FC4"/>
    <w:rsid w:val="00323277"/>
    <w:rsid w:val="00323366"/>
    <w:rsid w:val="0032402B"/>
    <w:rsid w:val="00324041"/>
    <w:rsid w:val="00325928"/>
    <w:rsid w:val="00325F17"/>
    <w:rsid w:val="003261CB"/>
    <w:rsid w:val="003263E9"/>
    <w:rsid w:val="00327850"/>
    <w:rsid w:val="00327B05"/>
    <w:rsid w:val="00330FEA"/>
    <w:rsid w:val="003319EE"/>
    <w:rsid w:val="00331FA6"/>
    <w:rsid w:val="00332863"/>
    <w:rsid w:val="00332AEE"/>
    <w:rsid w:val="003342DB"/>
    <w:rsid w:val="00336422"/>
    <w:rsid w:val="0033684D"/>
    <w:rsid w:val="00336976"/>
    <w:rsid w:val="00336EE4"/>
    <w:rsid w:val="00336F0E"/>
    <w:rsid w:val="00337526"/>
    <w:rsid w:val="00337A99"/>
    <w:rsid w:val="00337B42"/>
    <w:rsid w:val="00341B42"/>
    <w:rsid w:val="00341CFB"/>
    <w:rsid w:val="0034348F"/>
    <w:rsid w:val="00344CCD"/>
    <w:rsid w:val="0034625E"/>
    <w:rsid w:val="003463EA"/>
    <w:rsid w:val="00346740"/>
    <w:rsid w:val="00346D70"/>
    <w:rsid w:val="00347149"/>
    <w:rsid w:val="003518B2"/>
    <w:rsid w:val="00351D8D"/>
    <w:rsid w:val="00352A44"/>
    <w:rsid w:val="00355D70"/>
    <w:rsid w:val="00355F9C"/>
    <w:rsid w:val="00356653"/>
    <w:rsid w:val="0035743F"/>
    <w:rsid w:val="00357BE2"/>
    <w:rsid w:val="003601C3"/>
    <w:rsid w:val="00360936"/>
    <w:rsid w:val="0036170C"/>
    <w:rsid w:val="0036175C"/>
    <w:rsid w:val="003626D1"/>
    <w:rsid w:val="00363FCC"/>
    <w:rsid w:val="003646E5"/>
    <w:rsid w:val="00366E0F"/>
    <w:rsid w:val="00367CF6"/>
    <w:rsid w:val="00367D2B"/>
    <w:rsid w:val="00370BFA"/>
    <w:rsid w:val="0037147A"/>
    <w:rsid w:val="00371614"/>
    <w:rsid w:val="0037295F"/>
    <w:rsid w:val="00372A02"/>
    <w:rsid w:val="00372DEA"/>
    <w:rsid w:val="00374D11"/>
    <w:rsid w:val="003761B1"/>
    <w:rsid w:val="00376670"/>
    <w:rsid w:val="00377585"/>
    <w:rsid w:val="00377B41"/>
    <w:rsid w:val="00377F6B"/>
    <w:rsid w:val="0038159D"/>
    <w:rsid w:val="00381A72"/>
    <w:rsid w:val="00382AD1"/>
    <w:rsid w:val="00383DA8"/>
    <w:rsid w:val="00384676"/>
    <w:rsid w:val="003847ED"/>
    <w:rsid w:val="00384954"/>
    <w:rsid w:val="00385962"/>
    <w:rsid w:val="00386886"/>
    <w:rsid w:val="00386C97"/>
    <w:rsid w:val="003873B8"/>
    <w:rsid w:val="0039004D"/>
    <w:rsid w:val="00390857"/>
    <w:rsid w:val="00390C08"/>
    <w:rsid w:val="00392960"/>
    <w:rsid w:val="003931D6"/>
    <w:rsid w:val="003935AB"/>
    <w:rsid w:val="00394665"/>
    <w:rsid w:val="00394732"/>
    <w:rsid w:val="00396948"/>
    <w:rsid w:val="00396EDE"/>
    <w:rsid w:val="0039704F"/>
    <w:rsid w:val="00397713"/>
    <w:rsid w:val="003A0686"/>
    <w:rsid w:val="003A0922"/>
    <w:rsid w:val="003A1800"/>
    <w:rsid w:val="003A1BF1"/>
    <w:rsid w:val="003A2CCE"/>
    <w:rsid w:val="003A3D7A"/>
    <w:rsid w:val="003A4BF3"/>
    <w:rsid w:val="003A529A"/>
    <w:rsid w:val="003A54DF"/>
    <w:rsid w:val="003A7257"/>
    <w:rsid w:val="003A7A48"/>
    <w:rsid w:val="003A7E4E"/>
    <w:rsid w:val="003B2171"/>
    <w:rsid w:val="003B3A3A"/>
    <w:rsid w:val="003B420D"/>
    <w:rsid w:val="003B5880"/>
    <w:rsid w:val="003B5C83"/>
    <w:rsid w:val="003B603B"/>
    <w:rsid w:val="003B6B51"/>
    <w:rsid w:val="003B778D"/>
    <w:rsid w:val="003C0396"/>
    <w:rsid w:val="003C04C0"/>
    <w:rsid w:val="003C04C8"/>
    <w:rsid w:val="003C06BA"/>
    <w:rsid w:val="003C0D53"/>
    <w:rsid w:val="003C108F"/>
    <w:rsid w:val="003C369D"/>
    <w:rsid w:val="003C489C"/>
    <w:rsid w:val="003C4CBD"/>
    <w:rsid w:val="003C4E4E"/>
    <w:rsid w:val="003C53E5"/>
    <w:rsid w:val="003C6424"/>
    <w:rsid w:val="003C6C16"/>
    <w:rsid w:val="003C7915"/>
    <w:rsid w:val="003D0244"/>
    <w:rsid w:val="003D2676"/>
    <w:rsid w:val="003D428B"/>
    <w:rsid w:val="003D70A2"/>
    <w:rsid w:val="003D794D"/>
    <w:rsid w:val="003E0118"/>
    <w:rsid w:val="003E0E21"/>
    <w:rsid w:val="003E146E"/>
    <w:rsid w:val="003E1CEB"/>
    <w:rsid w:val="003E1E2C"/>
    <w:rsid w:val="003E1FC1"/>
    <w:rsid w:val="003E23B4"/>
    <w:rsid w:val="003E2B2C"/>
    <w:rsid w:val="003E3058"/>
    <w:rsid w:val="003E431D"/>
    <w:rsid w:val="003E4A8E"/>
    <w:rsid w:val="003E5473"/>
    <w:rsid w:val="003E5B5E"/>
    <w:rsid w:val="003E5CD4"/>
    <w:rsid w:val="003E76A9"/>
    <w:rsid w:val="003F06E5"/>
    <w:rsid w:val="003F0809"/>
    <w:rsid w:val="003F1895"/>
    <w:rsid w:val="003F5628"/>
    <w:rsid w:val="003F59A8"/>
    <w:rsid w:val="003F5E3D"/>
    <w:rsid w:val="003F628B"/>
    <w:rsid w:val="003F63B7"/>
    <w:rsid w:val="003F6A8C"/>
    <w:rsid w:val="003F70CB"/>
    <w:rsid w:val="003F755C"/>
    <w:rsid w:val="003F766A"/>
    <w:rsid w:val="0040006C"/>
    <w:rsid w:val="0040064C"/>
    <w:rsid w:val="00400671"/>
    <w:rsid w:val="00400723"/>
    <w:rsid w:val="00400826"/>
    <w:rsid w:val="00401930"/>
    <w:rsid w:val="0040242D"/>
    <w:rsid w:val="0040307C"/>
    <w:rsid w:val="0040320E"/>
    <w:rsid w:val="0040341D"/>
    <w:rsid w:val="0040425E"/>
    <w:rsid w:val="00405356"/>
    <w:rsid w:val="00406095"/>
    <w:rsid w:val="00406C6E"/>
    <w:rsid w:val="00406F01"/>
    <w:rsid w:val="004070CC"/>
    <w:rsid w:val="004071E0"/>
    <w:rsid w:val="00410125"/>
    <w:rsid w:val="0041038E"/>
    <w:rsid w:val="004135A4"/>
    <w:rsid w:val="00413D39"/>
    <w:rsid w:val="00414B84"/>
    <w:rsid w:val="00414EBD"/>
    <w:rsid w:val="00416D50"/>
    <w:rsid w:val="00416FD5"/>
    <w:rsid w:val="00417772"/>
    <w:rsid w:val="00417C37"/>
    <w:rsid w:val="004201F3"/>
    <w:rsid w:val="004202F1"/>
    <w:rsid w:val="00420E6A"/>
    <w:rsid w:val="00423363"/>
    <w:rsid w:val="004241BA"/>
    <w:rsid w:val="004255F9"/>
    <w:rsid w:val="00425A9E"/>
    <w:rsid w:val="00426CA9"/>
    <w:rsid w:val="00426D6B"/>
    <w:rsid w:val="004274BF"/>
    <w:rsid w:val="00427E82"/>
    <w:rsid w:val="00431BE5"/>
    <w:rsid w:val="00431E6C"/>
    <w:rsid w:val="00432A02"/>
    <w:rsid w:val="00432BBD"/>
    <w:rsid w:val="00433421"/>
    <w:rsid w:val="00433606"/>
    <w:rsid w:val="00433C62"/>
    <w:rsid w:val="00433CE7"/>
    <w:rsid w:val="0043772B"/>
    <w:rsid w:val="00440D8F"/>
    <w:rsid w:val="00441878"/>
    <w:rsid w:val="00441CF5"/>
    <w:rsid w:val="00443CC7"/>
    <w:rsid w:val="00444617"/>
    <w:rsid w:val="00444727"/>
    <w:rsid w:val="00444C5B"/>
    <w:rsid w:val="00444E13"/>
    <w:rsid w:val="0044586F"/>
    <w:rsid w:val="00445F88"/>
    <w:rsid w:val="004476E6"/>
    <w:rsid w:val="00447B91"/>
    <w:rsid w:val="004509E8"/>
    <w:rsid w:val="00451409"/>
    <w:rsid w:val="0045261D"/>
    <w:rsid w:val="00452738"/>
    <w:rsid w:val="004527EE"/>
    <w:rsid w:val="00452832"/>
    <w:rsid w:val="004533B3"/>
    <w:rsid w:val="0045346F"/>
    <w:rsid w:val="004536F1"/>
    <w:rsid w:val="00453DC9"/>
    <w:rsid w:val="00453E84"/>
    <w:rsid w:val="00454145"/>
    <w:rsid w:val="004543D2"/>
    <w:rsid w:val="004547EE"/>
    <w:rsid w:val="00454B27"/>
    <w:rsid w:val="00455C21"/>
    <w:rsid w:val="00455D05"/>
    <w:rsid w:val="00455D65"/>
    <w:rsid w:val="00455EFE"/>
    <w:rsid w:val="00456091"/>
    <w:rsid w:val="004565D2"/>
    <w:rsid w:val="00456C88"/>
    <w:rsid w:val="004574E4"/>
    <w:rsid w:val="00460720"/>
    <w:rsid w:val="00462DAD"/>
    <w:rsid w:val="0046302E"/>
    <w:rsid w:val="0046322A"/>
    <w:rsid w:val="00464F26"/>
    <w:rsid w:val="00465938"/>
    <w:rsid w:val="00466321"/>
    <w:rsid w:val="00466D46"/>
    <w:rsid w:val="004676BF"/>
    <w:rsid w:val="0047073F"/>
    <w:rsid w:val="0047147C"/>
    <w:rsid w:val="004726D1"/>
    <w:rsid w:val="00472C34"/>
    <w:rsid w:val="00472D84"/>
    <w:rsid w:val="00473C67"/>
    <w:rsid w:val="0047443B"/>
    <w:rsid w:val="004748F5"/>
    <w:rsid w:val="00474913"/>
    <w:rsid w:val="00474E76"/>
    <w:rsid w:val="00475619"/>
    <w:rsid w:val="004756FF"/>
    <w:rsid w:val="0047654F"/>
    <w:rsid w:val="0047657D"/>
    <w:rsid w:val="00477276"/>
    <w:rsid w:val="00477557"/>
    <w:rsid w:val="00477F80"/>
    <w:rsid w:val="004806B7"/>
    <w:rsid w:val="004813F6"/>
    <w:rsid w:val="004814C8"/>
    <w:rsid w:val="00481EA8"/>
    <w:rsid w:val="00482524"/>
    <w:rsid w:val="00482B56"/>
    <w:rsid w:val="0048361A"/>
    <w:rsid w:val="00484B9B"/>
    <w:rsid w:val="004855F6"/>
    <w:rsid w:val="0048661E"/>
    <w:rsid w:val="00486634"/>
    <w:rsid w:val="00486B54"/>
    <w:rsid w:val="00490AC1"/>
    <w:rsid w:val="004911F5"/>
    <w:rsid w:val="00491935"/>
    <w:rsid w:val="00491ABC"/>
    <w:rsid w:val="0049307A"/>
    <w:rsid w:val="00494670"/>
    <w:rsid w:val="00494C32"/>
    <w:rsid w:val="004965A6"/>
    <w:rsid w:val="004966FC"/>
    <w:rsid w:val="00496CFE"/>
    <w:rsid w:val="00496D84"/>
    <w:rsid w:val="00496EB8"/>
    <w:rsid w:val="00497091"/>
    <w:rsid w:val="004A0460"/>
    <w:rsid w:val="004A18F8"/>
    <w:rsid w:val="004A1EDD"/>
    <w:rsid w:val="004A23EA"/>
    <w:rsid w:val="004A297E"/>
    <w:rsid w:val="004A2F80"/>
    <w:rsid w:val="004A3601"/>
    <w:rsid w:val="004A3823"/>
    <w:rsid w:val="004A4198"/>
    <w:rsid w:val="004A650B"/>
    <w:rsid w:val="004A6853"/>
    <w:rsid w:val="004A6EBF"/>
    <w:rsid w:val="004A77FE"/>
    <w:rsid w:val="004A7B84"/>
    <w:rsid w:val="004B07F4"/>
    <w:rsid w:val="004B0F13"/>
    <w:rsid w:val="004B1487"/>
    <w:rsid w:val="004B1A38"/>
    <w:rsid w:val="004B2D66"/>
    <w:rsid w:val="004B5564"/>
    <w:rsid w:val="004B5C05"/>
    <w:rsid w:val="004B6330"/>
    <w:rsid w:val="004B6D21"/>
    <w:rsid w:val="004B6DED"/>
    <w:rsid w:val="004B75D2"/>
    <w:rsid w:val="004B7C08"/>
    <w:rsid w:val="004B7E7E"/>
    <w:rsid w:val="004C0503"/>
    <w:rsid w:val="004C0F83"/>
    <w:rsid w:val="004C18EB"/>
    <w:rsid w:val="004C1C7F"/>
    <w:rsid w:val="004C2780"/>
    <w:rsid w:val="004C2AD9"/>
    <w:rsid w:val="004C2C67"/>
    <w:rsid w:val="004C3333"/>
    <w:rsid w:val="004C3395"/>
    <w:rsid w:val="004C3905"/>
    <w:rsid w:val="004C3C22"/>
    <w:rsid w:val="004C479D"/>
    <w:rsid w:val="004C6601"/>
    <w:rsid w:val="004C72D5"/>
    <w:rsid w:val="004C7CE6"/>
    <w:rsid w:val="004D0511"/>
    <w:rsid w:val="004D0F39"/>
    <w:rsid w:val="004D12E4"/>
    <w:rsid w:val="004D13F3"/>
    <w:rsid w:val="004D1F80"/>
    <w:rsid w:val="004D3420"/>
    <w:rsid w:val="004D356B"/>
    <w:rsid w:val="004D3892"/>
    <w:rsid w:val="004D3A2A"/>
    <w:rsid w:val="004D4DBF"/>
    <w:rsid w:val="004D4E37"/>
    <w:rsid w:val="004D4FFF"/>
    <w:rsid w:val="004D76A6"/>
    <w:rsid w:val="004E0BB4"/>
    <w:rsid w:val="004E13F3"/>
    <w:rsid w:val="004E1539"/>
    <w:rsid w:val="004E3466"/>
    <w:rsid w:val="004E3703"/>
    <w:rsid w:val="004E3718"/>
    <w:rsid w:val="004E57FC"/>
    <w:rsid w:val="004E622F"/>
    <w:rsid w:val="004E6946"/>
    <w:rsid w:val="004E7214"/>
    <w:rsid w:val="004E72FE"/>
    <w:rsid w:val="004E7699"/>
    <w:rsid w:val="004E7AF8"/>
    <w:rsid w:val="004F121F"/>
    <w:rsid w:val="004F1AD8"/>
    <w:rsid w:val="004F2272"/>
    <w:rsid w:val="004F244B"/>
    <w:rsid w:val="004F2805"/>
    <w:rsid w:val="004F3855"/>
    <w:rsid w:val="004F50B2"/>
    <w:rsid w:val="004F59C7"/>
    <w:rsid w:val="004F61D5"/>
    <w:rsid w:val="004F6A0C"/>
    <w:rsid w:val="00500E34"/>
    <w:rsid w:val="0050162A"/>
    <w:rsid w:val="00502384"/>
    <w:rsid w:val="00503497"/>
    <w:rsid w:val="005039CB"/>
    <w:rsid w:val="00503F40"/>
    <w:rsid w:val="00504131"/>
    <w:rsid w:val="005047A9"/>
    <w:rsid w:val="00504956"/>
    <w:rsid w:val="00504BDB"/>
    <w:rsid w:val="0050558F"/>
    <w:rsid w:val="0050605E"/>
    <w:rsid w:val="0050621F"/>
    <w:rsid w:val="00506286"/>
    <w:rsid w:val="00510813"/>
    <w:rsid w:val="00510F4E"/>
    <w:rsid w:val="0051138E"/>
    <w:rsid w:val="00511990"/>
    <w:rsid w:val="00511DE0"/>
    <w:rsid w:val="005125D6"/>
    <w:rsid w:val="005131FF"/>
    <w:rsid w:val="0051341E"/>
    <w:rsid w:val="0051365B"/>
    <w:rsid w:val="005139E5"/>
    <w:rsid w:val="00513F1F"/>
    <w:rsid w:val="00514247"/>
    <w:rsid w:val="005146DF"/>
    <w:rsid w:val="00514870"/>
    <w:rsid w:val="00514B9B"/>
    <w:rsid w:val="00514E61"/>
    <w:rsid w:val="0051533A"/>
    <w:rsid w:val="00515A9C"/>
    <w:rsid w:val="005169D8"/>
    <w:rsid w:val="00517F02"/>
    <w:rsid w:val="00520142"/>
    <w:rsid w:val="00520298"/>
    <w:rsid w:val="00520667"/>
    <w:rsid w:val="00522186"/>
    <w:rsid w:val="005222EF"/>
    <w:rsid w:val="005223A4"/>
    <w:rsid w:val="005226FF"/>
    <w:rsid w:val="00522780"/>
    <w:rsid w:val="00522C9D"/>
    <w:rsid w:val="00523F02"/>
    <w:rsid w:val="00524303"/>
    <w:rsid w:val="00524C94"/>
    <w:rsid w:val="00525038"/>
    <w:rsid w:val="005258A2"/>
    <w:rsid w:val="005258C0"/>
    <w:rsid w:val="00525ADD"/>
    <w:rsid w:val="0052664E"/>
    <w:rsid w:val="00526D1B"/>
    <w:rsid w:val="0052745E"/>
    <w:rsid w:val="00527797"/>
    <w:rsid w:val="00527AB0"/>
    <w:rsid w:val="00530A10"/>
    <w:rsid w:val="00530D86"/>
    <w:rsid w:val="0053142D"/>
    <w:rsid w:val="00531B0E"/>
    <w:rsid w:val="00532AB9"/>
    <w:rsid w:val="00532C86"/>
    <w:rsid w:val="00532DA4"/>
    <w:rsid w:val="0053472F"/>
    <w:rsid w:val="00534A6B"/>
    <w:rsid w:val="00536B65"/>
    <w:rsid w:val="00537BFD"/>
    <w:rsid w:val="00537F5E"/>
    <w:rsid w:val="00537F68"/>
    <w:rsid w:val="005401AE"/>
    <w:rsid w:val="00541CB1"/>
    <w:rsid w:val="00542ABC"/>
    <w:rsid w:val="00542E07"/>
    <w:rsid w:val="00543396"/>
    <w:rsid w:val="00544196"/>
    <w:rsid w:val="00545424"/>
    <w:rsid w:val="0054780D"/>
    <w:rsid w:val="00547E18"/>
    <w:rsid w:val="00547F5B"/>
    <w:rsid w:val="00551037"/>
    <w:rsid w:val="0055293E"/>
    <w:rsid w:val="00554A7B"/>
    <w:rsid w:val="0055572C"/>
    <w:rsid w:val="00555B45"/>
    <w:rsid w:val="00556DC0"/>
    <w:rsid w:val="00557796"/>
    <w:rsid w:val="00557AC5"/>
    <w:rsid w:val="005601E0"/>
    <w:rsid w:val="005607AA"/>
    <w:rsid w:val="005609BB"/>
    <w:rsid w:val="0056106A"/>
    <w:rsid w:val="00561CE2"/>
    <w:rsid w:val="00561D98"/>
    <w:rsid w:val="00563462"/>
    <w:rsid w:val="00563BF1"/>
    <w:rsid w:val="00564823"/>
    <w:rsid w:val="00564826"/>
    <w:rsid w:val="00565A45"/>
    <w:rsid w:val="00565AC8"/>
    <w:rsid w:val="00565D51"/>
    <w:rsid w:val="0056666E"/>
    <w:rsid w:val="005712F3"/>
    <w:rsid w:val="005720AE"/>
    <w:rsid w:val="0057286D"/>
    <w:rsid w:val="005733DD"/>
    <w:rsid w:val="00574524"/>
    <w:rsid w:val="00574968"/>
    <w:rsid w:val="005764F1"/>
    <w:rsid w:val="00576D79"/>
    <w:rsid w:val="00576F55"/>
    <w:rsid w:val="00585F36"/>
    <w:rsid w:val="00586268"/>
    <w:rsid w:val="00586678"/>
    <w:rsid w:val="00586714"/>
    <w:rsid w:val="005873A9"/>
    <w:rsid w:val="00591127"/>
    <w:rsid w:val="00591546"/>
    <w:rsid w:val="00591ABE"/>
    <w:rsid w:val="0059251B"/>
    <w:rsid w:val="005925CD"/>
    <w:rsid w:val="00594D77"/>
    <w:rsid w:val="00594EEC"/>
    <w:rsid w:val="005954CE"/>
    <w:rsid w:val="00595D25"/>
    <w:rsid w:val="00595E22"/>
    <w:rsid w:val="005969E4"/>
    <w:rsid w:val="0059758A"/>
    <w:rsid w:val="005A05A7"/>
    <w:rsid w:val="005A06B7"/>
    <w:rsid w:val="005A0A81"/>
    <w:rsid w:val="005A128D"/>
    <w:rsid w:val="005A1759"/>
    <w:rsid w:val="005A1EDD"/>
    <w:rsid w:val="005A202B"/>
    <w:rsid w:val="005A30BF"/>
    <w:rsid w:val="005A31C5"/>
    <w:rsid w:val="005A405C"/>
    <w:rsid w:val="005A54D5"/>
    <w:rsid w:val="005A68A7"/>
    <w:rsid w:val="005A7420"/>
    <w:rsid w:val="005A75B3"/>
    <w:rsid w:val="005B055F"/>
    <w:rsid w:val="005B09B7"/>
    <w:rsid w:val="005B1B57"/>
    <w:rsid w:val="005B310A"/>
    <w:rsid w:val="005B3CA2"/>
    <w:rsid w:val="005B5886"/>
    <w:rsid w:val="005B6329"/>
    <w:rsid w:val="005B64DA"/>
    <w:rsid w:val="005B6F34"/>
    <w:rsid w:val="005C0BDC"/>
    <w:rsid w:val="005C1378"/>
    <w:rsid w:val="005C177A"/>
    <w:rsid w:val="005C19D9"/>
    <w:rsid w:val="005C1DFD"/>
    <w:rsid w:val="005C2030"/>
    <w:rsid w:val="005C2A56"/>
    <w:rsid w:val="005C2DBD"/>
    <w:rsid w:val="005C2E99"/>
    <w:rsid w:val="005C3AAF"/>
    <w:rsid w:val="005C4AFB"/>
    <w:rsid w:val="005C5A6E"/>
    <w:rsid w:val="005C6641"/>
    <w:rsid w:val="005C6D8E"/>
    <w:rsid w:val="005D12E3"/>
    <w:rsid w:val="005D1964"/>
    <w:rsid w:val="005D36AB"/>
    <w:rsid w:val="005D466B"/>
    <w:rsid w:val="005D619E"/>
    <w:rsid w:val="005D6404"/>
    <w:rsid w:val="005D74D9"/>
    <w:rsid w:val="005D7D8E"/>
    <w:rsid w:val="005E0863"/>
    <w:rsid w:val="005E088C"/>
    <w:rsid w:val="005E0B97"/>
    <w:rsid w:val="005E0CAB"/>
    <w:rsid w:val="005E186F"/>
    <w:rsid w:val="005E31EB"/>
    <w:rsid w:val="005E3B6F"/>
    <w:rsid w:val="005E424C"/>
    <w:rsid w:val="005E5024"/>
    <w:rsid w:val="005E63D2"/>
    <w:rsid w:val="005E684B"/>
    <w:rsid w:val="005E7B77"/>
    <w:rsid w:val="005F0900"/>
    <w:rsid w:val="005F0A92"/>
    <w:rsid w:val="005F0AA4"/>
    <w:rsid w:val="005F19EB"/>
    <w:rsid w:val="005F2058"/>
    <w:rsid w:val="005F28AD"/>
    <w:rsid w:val="005F2B13"/>
    <w:rsid w:val="005F30F1"/>
    <w:rsid w:val="005F34A8"/>
    <w:rsid w:val="005F54C7"/>
    <w:rsid w:val="005F564B"/>
    <w:rsid w:val="005F58CB"/>
    <w:rsid w:val="005F62D8"/>
    <w:rsid w:val="005F6C79"/>
    <w:rsid w:val="005F7E8D"/>
    <w:rsid w:val="0060113D"/>
    <w:rsid w:val="0060252F"/>
    <w:rsid w:val="006027B0"/>
    <w:rsid w:val="00602A63"/>
    <w:rsid w:val="00603202"/>
    <w:rsid w:val="00603303"/>
    <w:rsid w:val="00604B70"/>
    <w:rsid w:val="00605A9A"/>
    <w:rsid w:val="006100F2"/>
    <w:rsid w:val="006108EE"/>
    <w:rsid w:val="00611589"/>
    <w:rsid w:val="00611BE0"/>
    <w:rsid w:val="006122F0"/>
    <w:rsid w:val="00612367"/>
    <w:rsid w:val="0061239E"/>
    <w:rsid w:val="006134EA"/>
    <w:rsid w:val="00613C10"/>
    <w:rsid w:val="00613E1E"/>
    <w:rsid w:val="00614031"/>
    <w:rsid w:val="00614720"/>
    <w:rsid w:val="00614E53"/>
    <w:rsid w:val="00615D67"/>
    <w:rsid w:val="0061771C"/>
    <w:rsid w:val="00617CC3"/>
    <w:rsid w:val="00620385"/>
    <w:rsid w:val="0062057A"/>
    <w:rsid w:val="00621072"/>
    <w:rsid w:val="00621D8D"/>
    <w:rsid w:val="00622DE9"/>
    <w:rsid w:val="006241AC"/>
    <w:rsid w:val="006243FC"/>
    <w:rsid w:val="0062523E"/>
    <w:rsid w:val="00625751"/>
    <w:rsid w:val="006261E5"/>
    <w:rsid w:val="006271C3"/>
    <w:rsid w:val="00631D1F"/>
    <w:rsid w:val="006320FA"/>
    <w:rsid w:val="00632633"/>
    <w:rsid w:val="006336B5"/>
    <w:rsid w:val="006338E1"/>
    <w:rsid w:val="00635512"/>
    <w:rsid w:val="00636334"/>
    <w:rsid w:val="00636488"/>
    <w:rsid w:val="006366AA"/>
    <w:rsid w:val="00637354"/>
    <w:rsid w:val="006377A6"/>
    <w:rsid w:val="00637A3D"/>
    <w:rsid w:val="006411EF"/>
    <w:rsid w:val="0064126B"/>
    <w:rsid w:val="00641E45"/>
    <w:rsid w:val="00643E7C"/>
    <w:rsid w:val="0064410D"/>
    <w:rsid w:val="006443D8"/>
    <w:rsid w:val="006470E8"/>
    <w:rsid w:val="00647229"/>
    <w:rsid w:val="006501FD"/>
    <w:rsid w:val="00650A27"/>
    <w:rsid w:val="00652C6B"/>
    <w:rsid w:val="0065388D"/>
    <w:rsid w:val="006562F4"/>
    <w:rsid w:val="00656698"/>
    <w:rsid w:val="00656713"/>
    <w:rsid w:val="00660AA0"/>
    <w:rsid w:val="006620EC"/>
    <w:rsid w:val="006623F7"/>
    <w:rsid w:val="00663525"/>
    <w:rsid w:val="00663B01"/>
    <w:rsid w:val="00664993"/>
    <w:rsid w:val="00665307"/>
    <w:rsid w:val="006653EA"/>
    <w:rsid w:val="0066671E"/>
    <w:rsid w:val="006667B2"/>
    <w:rsid w:val="00666981"/>
    <w:rsid w:val="00667128"/>
    <w:rsid w:val="00667273"/>
    <w:rsid w:val="0066754D"/>
    <w:rsid w:val="00672C22"/>
    <w:rsid w:val="0067391E"/>
    <w:rsid w:val="00673DA9"/>
    <w:rsid w:val="00673E7B"/>
    <w:rsid w:val="006748B8"/>
    <w:rsid w:val="0067500A"/>
    <w:rsid w:val="00675AE8"/>
    <w:rsid w:val="006760A9"/>
    <w:rsid w:val="0067647C"/>
    <w:rsid w:val="00676A93"/>
    <w:rsid w:val="006775C3"/>
    <w:rsid w:val="00680B04"/>
    <w:rsid w:val="00680C35"/>
    <w:rsid w:val="00682501"/>
    <w:rsid w:val="00682A1F"/>
    <w:rsid w:val="00683A06"/>
    <w:rsid w:val="00684DCB"/>
    <w:rsid w:val="0068567C"/>
    <w:rsid w:val="0068708A"/>
    <w:rsid w:val="00690927"/>
    <w:rsid w:val="006913EB"/>
    <w:rsid w:val="006925F9"/>
    <w:rsid w:val="0069290A"/>
    <w:rsid w:val="0069301C"/>
    <w:rsid w:val="006931A4"/>
    <w:rsid w:val="006935D4"/>
    <w:rsid w:val="00693B9E"/>
    <w:rsid w:val="00694223"/>
    <w:rsid w:val="0069447B"/>
    <w:rsid w:val="0069455A"/>
    <w:rsid w:val="006958F0"/>
    <w:rsid w:val="00696F9E"/>
    <w:rsid w:val="00697221"/>
    <w:rsid w:val="0069754D"/>
    <w:rsid w:val="0069775A"/>
    <w:rsid w:val="00697813"/>
    <w:rsid w:val="00697978"/>
    <w:rsid w:val="006A005D"/>
    <w:rsid w:val="006A147D"/>
    <w:rsid w:val="006A3EE8"/>
    <w:rsid w:val="006A44F0"/>
    <w:rsid w:val="006A50F4"/>
    <w:rsid w:val="006A5E59"/>
    <w:rsid w:val="006A6615"/>
    <w:rsid w:val="006A673B"/>
    <w:rsid w:val="006A72BF"/>
    <w:rsid w:val="006B03F2"/>
    <w:rsid w:val="006B06F8"/>
    <w:rsid w:val="006B17C0"/>
    <w:rsid w:val="006B1A39"/>
    <w:rsid w:val="006B21EC"/>
    <w:rsid w:val="006B377E"/>
    <w:rsid w:val="006B37DC"/>
    <w:rsid w:val="006B4F68"/>
    <w:rsid w:val="006B57EC"/>
    <w:rsid w:val="006B61D0"/>
    <w:rsid w:val="006B6435"/>
    <w:rsid w:val="006B6BFD"/>
    <w:rsid w:val="006B7A1D"/>
    <w:rsid w:val="006C0592"/>
    <w:rsid w:val="006C0688"/>
    <w:rsid w:val="006C0EC1"/>
    <w:rsid w:val="006C162B"/>
    <w:rsid w:val="006C1690"/>
    <w:rsid w:val="006C1E90"/>
    <w:rsid w:val="006C2720"/>
    <w:rsid w:val="006C272E"/>
    <w:rsid w:val="006C2A21"/>
    <w:rsid w:val="006C2B44"/>
    <w:rsid w:val="006C33D9"/>
    <w:rsid w:val="006C4C91"/>
    <w:rsid w:val="006C4DD4"/>
    <w:rsid w:val="006C5479"/>
    <w:rsid w:val="006C79AF"/>
    <w:rsid w:val="006C7E15"/>
    <w:rsid w:val="006D071E"/>
    <w:rsid w:val="006D13B5"/>
    <w:rsid w:val="006D1531"/>
    <w:rsid w:val="006D1B52"/>
    <w:rsid w:val="006D2C9B"/>
    <w:rsid w:val="006D2F95"/>
    <w:rsid w:val="006D31C3"/>
    <w:rsid w:val="006D3638"/>
    <w:rsid w:val="006D4346"/>
    <w:rsid w:val="006D4F09"/>
    <w:rsid w:val="006D5232"/>
    <w:rsid w:val="006D5C9F"/>
    <w:rsid w:val="006D68FC"/>
    <w:rsid w:val="006D6F53"/>
    <w:rsid w:val="006E0384"/>
    <w:rsid w:val="006E075D"/>
    <w:rsid w:val="006E081C"/>
    <w:rsid w:val="006E12FF"/>
    <w:rsid w:val="006E17A4"/>
    <w:rsid w:val="006E292F"/>
    <w:rsid w:val="006E2F79"/>
    <w:rsid w:val="006E329F"/>
    <w:rsid w:val="006E42E3"/>
    <w:rsid w:val="006E57F7"/>
    <w:rsid w:val="006E607E"/>
    <w:rsid w:val="006E6F86"/>
    <w:rsid w:val="006E70C7"/>
    <w:rsid w:val="006E78DF"/>
    <w:rsid w:val="006F0FC2"/>
    <w:rsid w:val="006F1079"/>
    <w:rsid w:val="006F1D7F"/>
    <w:rsid w:val="006F3986"/>
    <w:rsid w:val="006F5435"/>
    <w:rsid w:val="006F778C"/>
    <w:rsid w:val="006F7FEC"/>
    <w:rsid w:val="00700164"/>
    <w:rsid w:val="00700572"/>
    <w:rsid w:val="00700A97"/>
    <w:rsid w:val="007014B5"/>
    <w:rsid w:val="00701FA9"/>
    <w:rsid w:val="00702A1F"/>
    <w:rsid w:val="00702AB7"/>
    <w:rsid w:val="007048B4"/>
    <w:rsid w:val="00704EFA"/>
    <w:rsid w:val="007053E5"/>
    <w:rsid w:val="00706C5D"/>
    <w:rsid w:val="00710646"/>
    <w:rsid w:val="007110D5"/>
    <w:rsid w:val="007133BA"/>
    <w:rsid w:val="00713BBD"/>
    <w:rsid w:val="00713D81"/>
    <w:rsid w:val="007140F0"/>
    <w:rsid w:val="00714980"/>
    <w:rsid w:val="00714990"/>
    <w:rsid w:val="00714F1E"/>
    <w:rsid w:val="00715A0C"/>
    <w:rsid w:val="007215BA"/>
    <w:rsid w:val="00722552"/>
    <w:rsid w:val="00725926"/>
    <w:rsid w:val="00726C5E"/>
    <w:rsid w:val="007277DA"/>
    <w:rsid w:val="00727805"/>
    <w:rsid w:val="00727E88"/>
    <w:rsid w:val="007304BC"/>
    <w:rsid w:val="00730A57"/>
    <w:rsid w:val="007315F5"/>
    <w:rsid w:val="00731B47"/>
    <w:rsid w:val="00731D66"/>
    <w:rsid w:val="00732590"/>
    <w:rsid w:val="007326E2"/>
    <w:rsid w:val="00732922"/>
    <w:rsid w:val="00732A23"/>
    <w:rsid w:val="00732A91"/>
    <w:rsid w:val="00733F24"/>
    <w:rsid w:val="00733F54"/>
    <w:rsid w:val="007345FE"/>
    <w:rsid w:val="0073484F"/>
    <w:rsid w:val="007355BE"/>
    <w:rsid w:val="00736957"/>
    <w:rsid w:val="0074089B"/>
    <w:rsid w:val="00741055"/>
    <w:rsid w:val="00742027"/>
    <w:rsid w:val="00742E61"/>
    <w:rsid w:val="00743162"/>
    <w:rsid w:val="0074688C"/>
    <w:rsid w:val="007470F4"/>
    <w:rsid w:val="00747F30"/>
    <w:rsid w:val="0075162E"/>
    <w:rsid w:val="007527DC"/>
    <w:rsid w:val="00753C38"/>
    <w:rsid w:val="00753C86"/>
    <w:rsid w:val="00754034"/>
    <w:rsid w:val="0075446E"/>
    <w:rsid w:val="00754BEE"/>
    <w:rsid w:val="00754CD1"/>
    <w:rsid w:val="00755656"/>
    <w:rsid w:val="00756556"/>
    <w:rsid w:val="00757C79"/>
    <w:rsid w:val="007607D0"/>
    <w:rsid w:val="00760984"/>
    <w:rsid w:val="00760ACA"/>
    <w:rsid w:val="007618C4"/>
    <w:rsid w:val="00761ED3"/>
    <w:rsid w:val="00761F9E"/>
    <w:rsid w:val="0076338A"/>
    <w:rsid w:val="007634FC"/>
    <w:rsid w:val="00763867"/>
    <w:rsid w:val="00764ECA"/>
    <w:rsid w:val="007651B4"/>
    <w:rsid w:val="007656B9"/>
    <w:rsid w:val="00765A7B"/>
    <w:rsid w:val="00767791"/>
    <w:rsid w:val="00767980"/>
    <w:rsid w:val="00767FB6"/>
    <w:rsid w:val="00767FBE"/>
    <w:rsid w:val="007700CD"/>
    <w:rsid w:val="00770B19"/>
    <w:rsid w:val="007714ED"/>
    <w:rsid w:val="00771589"/>
    <w:rsid w:val="00772162"/>
    <w:rsid w:val="00772369"/>
    <w:rsid w:val="00773AF1"/>
    <w:rsid w:val="00773D71"/>
    <w:rsid w:val="0077463F"/>
    <w:rsid w:val="00777CF1"/>
    <w:rsid w:val="00780E49"/>
    <w:rsid w:val="00780E86"/>
    <w:rsid w:val="00780EF7"/>
    <w:rsid w:val="00781677"/>
    <w:rsid w:val="007818EF"/>
    <w:rsid w:val="00782AC7"/>
    <w:rsid w:val="007836EA"/>
    <w:rsid w:val="007837C6"/>
    <w:rsid w:val="0078412C"/>
    <w:rsid w:val="00784CB0"/>
    <w:rsid w:val="00784CDA"/>
    <w:rsid w:val="00785580"/>
    <w:rsid w:val="007860F9"/>
    <w:rsid w:val="00786559"/>
    <w:rsid w:val="007900AC"/>
    <w:rsid w:val="007906C4"/>
    <w:rsid w:val="00791376"/>
    <w:rsid w:val="007919A4"/>
    <w:rsid w:val="00793B27"/>
    <w:rsid w:val="007940EA"/>
    <w:rsid w:val="007941B2"/>
    <w:rsid w:val="00795AE4"/>
    <w:rsid w:val="0079616D"/>
    <w:rsid w:val="00796394"/>
    <w:rsid w:val="007967E8"/>
    <w:rsid w:val="00796910"/>
    <w:rsid w:val="00796F36"/>
    <w:rsid w:val="007A0635"/>
    <w:rsid w:val="007A094F"/>
    <w:rsid w:val="007A10EF"/>
    <w:rsid w:val="007A1AA4"/>
    <w:rsid w:val="007A2170"/>
    <w:rsid w:val="007A22BF"/>
    <w:rsid w:val="007A2FAD"/>
    <w:rsid w:val="007A2FF2"/>
    <w:rsid w:val="007A3245"/>
    <w:rsid w:val="007A3323"/>
    <w:rsid w:val="007A3635"/>
    <w:rsid w:val="007A3A8F"/>
    <w:rsid w:val="007A4E3A"/>
    <w:rsid w:val="007A660F"/>
    <w:rsid w:val="007A74B4"/>
    <w:rsid w:val="007A7C1E"/>
    <w:rsid w:val="007B0515"/>
    <w:rsid w:val="007B0B55"/>
    <w:rsid w:val="007B1CCC"/>
    <w:rsid w:val="007B2CD9"/>
    <w:rsid w:val="007B4161"/>
    <w:rsid w:val="007B56CF"/>
    <w:rsid w:val="007B5E87"/>
    <w:rsid w:val="007B6975"/>
    <w:rsid w:val="007B72B8"/>
    <w:rsid w:val="007B79EC"/>
    <w:rsid w:val="007B7A58"/>
    <w:rsid w:val="007C01F2"/>
    <w:rsid w:val="007C0DCF"/>
    <w:rsid w:val="007C21B5"/>
    <w:rsid w:val="007C36F1"/>
    <w:rsid w:val="007C3B13"/>
    <w:rsid w:val="007C49E7"/>
    <w:rsid w:val="007C540F"/>
    <w:rsid w:val="007C65A3"/>
    <w:rsid w:val="007C66CF"/>
    <w:rsid w:val="007C77F8"/>
    <w:rsid w:val="007D18DD"/>
    <w:rsid w:val="007D195B"/>
    <w:rsid w:val="007D2486"/>
    <w:rsid w:val="007D300B"/>
    <w:rsid w:val="007D3292"/>
    <w:rsid w:val="007D35B8"/>
    <w:rsid w:val="007D43D9"/>
    <w:rsid w:val="007D43F9"/>
    <w:rsid w:val="007D4856"/>
    <w:rsid w:val="007D4AD2"/>
    <w:rsid w:val="007D5332"/>
    <w:rsid w:val="007D5AF9"/>
    <w:rsid w:val="007D668D"/>
    <w:rsid w:val="007E1341"/>
    <w:rsid w:val="007E1C6C"/>
    <w:rsid w:val="007E4610"/>
    <w:rsid w:val="007E4BD2"/>
    <w:rsid w:val="007E5801"/>
    <w:rsid w:val="007E6F9B"/>
    <w:rsid w:val="007E7318"/>
    <w:rsid w:val="007F053E"/>
    <w:rsid w:val="007F122D"/>
    <w:rsid w:val="007F2850"/>
    <w:rsid w:val="007F2C07"/>
    <w:rsid w:val="007F31B2"/>
    <w:rsid w:val="007F3250"/>
    <w:rsid w:val="007F3F37"/>
    <w:rsid w:val="007F4E64"/>
    <w:rsid w:val="007F50DD"/>
    <w:rsid w:val="007F5510"/>
    <w:rsid w:val="007F74F6"/>
    <w:rsid w:val="007F7AC3"/>
    <w:rsid w:val="00800B1B"/>
    <w:rsid w:val="00801393"/>
    <w:rsid w:val="00801D0F"/>
    <w:rsid w:val="00802385"/>
    <w:rsid w:val="00802A36"/>
    <w:rsid w:val="00802E9C"/>
    <w:rsid w:val="00802F88"/>
    <w:rsid w:val="008030D4"/>
    <w:rsid w:val="0080441F"/>
    <w:rsid w:val="008055C6"/>
    <w:rsid w:val="00806ADE"/>
    <w:rsid w:val="008105C5"/>
    <w:rsid w:val="008124D8"/>
    <w:rsid w:val="008126A2"/>
    <w:rsid w:val="0081293E"/>
    <w:rsid w:val="0081298A"/>
    <w:rsid w:val="00814F74"/>
    <w:rsid w:val="00815465"/>
    <w:rsid w:val="00815B64"/>
    <w:rsid w:val="00816AA4"/>
    <w:rsid w:val="008171E0"/>
    <w:rsid w:val="00817874"/>
    <w:rsid w:val="00817E9A"/>
    <w:rsid w:val="0082027A"/>
    <w:rsid w:val="008204B0"/>
    <w:rsid w:val="008210EA"/>
    <w:rsid w:val="00821282"/>
    <w:rsid w:val="00823051"/>
    <w:rsid w:val="00823C68"/>
    <w:rsid w:val="008265A2"/>
    <w:rsid w:val="00826ABD"/>
    <w:rsid w:val="00827219"/>
    <w:rsid w:val="008273CE"/>
    <w:rsid w:val="0082761D"/>
    <w:rsid w:val="0082763E"/>
    <w:rsid w:val="008306BD"/>
    <w:rsid w:val="008316CF"/>
    <w:rsid w:val="00831A80"/>
    <w:rsid w:val="00833241"/>
    <w:rsid w:val="00833360"/>
    <w:rsid w:val="00833743"/>
    <w:rsid w:val="00833CD3"/>
    <w:rsid w:val="008340A4"/>
    <w:rsid w:val="0083447F"/>
    <w:rsid w:val="00835E49"/>
    <w:rsid w:val="00835FCA"/>
    <w:rsid w:val="008371AB"/>
    <w:rsid w:val="008371B5"/>
    <w:rsid w:val="008403AA"/>
    <w:rsid w:val="00840404"/>
    <w:rsid w:val="00840452"/>
    <w:rsid w:val="00840D05"/>
    <w:rsid w:val="00841F9F"/>
    <w:rsid w:val="00842748"/>
    <w:rsid w:val="00843E61"/>
    <w:rsid w:val="008442BD"/>
    <w:rsid w:val="00845A35"/>
    <w:rsid w:val="00846342"/>
    <w:rsid w:val="00846352"/>
    <w:rsid w:val="0084730F"/>
    <w:rsid w:val="0084772D"/>
    <w:rsid w:val="00847997"/>
    <w:rsid w:val="00850F4F"/>
    <w:rsid w:val="0085108F"/>
    <w:rsid w:val="00851801"/>
    <w:rsid w:val="00851DA5"/>
    <w:rsid w:val="00854744"/>
    <w:rsid w:val="00860CDE"/>
    <w:rsid w:val="00861B2E"/>
    <w:rsid w:val="00861E08"/>
    <w:rsid w:val="008627D9"/>
    <w:rsid w:val="00864128"/>
    <w:rsid w:val="008641DC"/>
    <w:rsid w:val="00864DC6"/>
    <w:rsid w:val="00866861"/>
    <w:rsid w:val="00866CFF"/>
    <w:rsid w:val="0086700E"/>
    <w:rsid w:val="00867B7A"/>
    <w:rsid w:val="00870826"/>
    <w:rsid w:val="0087135F"/>
    <w:rsid w:val="00871E1A"/>
    <w:rsid w:val="0087247C"/>
    <w:rsid w:val="00872D94"/>
    <w:rsid w:val="00874098"/>
    <w:rsid w:val="00874F2A"/>
    <w:rsid w:val="00875D89"/>
    <w:rsid w:val="00877CBD"/>
    <w:rsid w:val="00880364"/>
    <w:rsid w:val="00881E7F"/>
    <w:rsid w:val="00884228"/>
    <w:rsid w:val="0088470B"/>
    <w:rsid w:val="00884BC3"/>
    <w:rsid w:val="00885C5F"/>
    <w:rsid w:val="008868B9"/>
    <w:rsid w:val="00887BDA"/>
    <w:rsid w:val="00890BD3"/>
    <w:rsid w:val="00891592"/>
    <w:rsid w:val="00891E9E"/>
    <w:rsid w:val="00893061"/>
    <w:rsid w:val="00893181"/>
    <w:rsid w:val="00893904"/>
    <w:rsid w:val="00894BBC"/>
    <w:rsid w:val="00896F7E"/>
    <w:rsid w:val="0089770C"/>
    <w:rsid w:val="008A01AB"/>
    <w:rsid w:val="008A15D5"/>
    <w:rsid w:val="008A2046"/>
    <w:rsid w:val="008A25D5"/>
    <w:rsid w:val="008A26A9"/>
    <w:rsid w:val="008A2F56"/>
    <w:rsid w:val="008A2F68"/>
    <w:rsid w:val="008A3A30"/>
    <w:rsid w:val="008A4D1C"/>
    <w:rsid w:val="008A4DE0"/>
    <w:rsid w:val="008A6FEB"/>
    <w:rsid w:val="008A744A"/>
    <w:rsid w:val="008B0B9B"/>
    <w:rsid w:val="008B1F07"/>
    <w:rsid w:val="008B23B5"/>
    <w:rsid w:val="008B2933"/>
    <w:rsid w:val="008B43A6"/>
    <w:rsid w:val="008B458C"/>
    <w:rsid w:val="008B4FA6"/>
    <w:rsid w:val="008B5282"/>
    <w:rsid w:val="008B631C"/>
    <w:rsid w:val="008B7B99"/>
    <w:rsid w:val="008B7C17"/>
    <w:rsid w:val="008C076C"/>
    <w:rsid w:val="008C0FA0"/>
    <w:rsid w:val="008C1F78"/>
    <w:rsid w:val="008C2B2F"/>
    <w:rsid w:val="008C2D01"/>
    <w:rsid w:val="008C2D72"/>
    <w:rsid w:val="008C2F42"/>
    <w:rsid w:val="008C3500"/>
    <w:rsid w:val="008C361D"/>
    <w:rsid w:val="008C36BE"/>
    <w:rsid w:val="008C40E6"/>
    <w:rsid w:val="008C53C7"/>
    <w:rsid w:val="008C6C54"/>
    <w:rsid w:val="008C6D5D"/>
    <w:rsid w:val="008C7669"/>
    <w:rsid w:val="008D0897"/>
    <w:rsid w:val="008D0F7A"/>
    <w:rsid w:val="008D1BDE"/>
    <w:rsid w:val="008D206D"/>
    <w:rsid w:val="008D26C2"/>
    <w:rsid w:val="008D2857"/>
    <w:rsid w:val="008D326C"/>
    <w:rsid w:val="008D351D"/>
    <w:rsid w:val="008D357B"/>
    <w:rsid w:val="008D3CA2"/>
    <w:rsid w:val="008D5AAF"/>
    <w:rsid w:val="008D60CB"/>
    <w:rsid w:val="008D6419"/>
    <w:rsid w:val="008D66E5"/>
    <w:rsid w:val="008D68E4"/>
    <w:rsid w:val="008D71CF"/>
    <w:rsid w:val="008D7CDE"/>
    <w:rsid w:val="008E0506"/>
    <w:rsid w:val="008E0C48"/>
    <w:rsid w:val="008E0CFF"/>
    <w:rsid w:val="008E174E"/>
    <w:rsid w:val="008E1D93"/>
    <w:rsid w:val="008E2122"/>
    <w:rsid w:val="008E2F69"/>
    <w:rsid w:val="008E39DF"/>
    <w:rsid w:val="008E5D6B"/>
    <w:rsid w:val="008E6810"/>
    <w:rsid w:val="008E76F0"/>
    <w:rsid w:val="008F0495"/>
    <w:rsid w:val="008F15FE"/>
    <w:rsid w:val="008F2D29"/>
    <w:rsid w:val="008F4AE9"/>
    <w:rsid w:val="008F4CBA"/>
    <w:rsid w:val="008F5187"/>
    <w:rsid w:val="008F60D8"/>
    <w:rsid w:val="008F620C"/>
    <w:rsid w:val="008F7007"/>
    <w:rsid w:val="009003C3"/>
    <w:rsid w:val="00900D0C"/>
    <w:rsid w:val="009018DA"/>
    <w:rsid w:val="009025B6"/>
    <w:rsid w:val="00902727"/>
    <w:rsid w:val="00902A51"/>
    <w:rsid w:val="00902B79"/>
    <w:rsid w:val="0090312B"/>
    <w:rsid w:val="009033CC"/>
    <w:rsid w:val="0090587C"/>
    <w:rsid w:val="00906043"/>
    <w:rsid w:val="009063BA"/>
    <w:rsid w:val="00910416"/>
    <w:rsid w:val="00913532"/>
    <w:rsid w:val="00913619"/>
    <w:rsid w:val="009149B2"/>
    <w:rsid w:val="00916242"/>
    <w:rsid w:val="009162E9"/>
    <w:rsid w:val="00916706"/>
    <w:rsid w:val="00917025"/>
    <w:rsid w:val="009171A1"/>
    <w:rsid w:val="00917209"/>
    <w:rsid w:val="0091736D"/>
    <w:rsid w:val="0092095D"/>
    <w:rsid w:val="00921C1B"/>
    <w:rsid w:val="009228E9"/>
    <w:rsid w:val="00922AB1"/>
    <w:rsid w:val="00923D36"/>
    <w:rsid w:val="00924CF6"/>
    <w:rsid w:val="00925571"/>
    <w:rsid w:val="00925647"/>
    <w:rsid w:val="00925C72"/>
    <w:rsid w:val="0092736F"/>
    <w:rsid w:val="00927467"/>
    <w:rsid w:val="0093037A"/>
    <w:rsid w:val="009304FE"/>
    <w:rsid w:val="009308D4"/>
    <w:rsid w:val="00931674"/>
    <w:rsid w:val="0093182E"/>
    <w:rsid w:val="0093183F"/>
    <w:rsid w:val="0093348B"/>
    <w:rsid w:val="00933559"/>
    <w:rsid w:val="009371E5"/>
    <w:rsid w:val="00940B0D"/>
    <w:rsid w:val="0094154D"/>
    <w:rsid w:val="00942FE1"/>
    <w:rsid w:val="009431A9"/>
    <w:rsid w:val="0094485C"/>
    <w:rsid w:val="00946407"/>
    <w:rsid w:val="009470C6"/>
    <w:rsid w:val="009505D6"/>
    <w:rsid w:val="0095155F"/>
    <w:rsid w:val="00952511"/>
    <w:rsid w:val="00952839"/>
    <w:rsid w:val="0095429C"/>
    <w:rsid w:val="00954429"/>
    <w:rsid w:val="00954432"/>
    <w:rsid w:val="00954B88"/>
    <w:rsid w:val="009560D1"/>
    <w:rsid w:val="009563CE"/>
    <w:rsid w:val="009563DB"/>
    <w:rsid w:val="0095702F"/>
    <w:rsid w:val="0095724D"/>
    <w:rsid w:val="00957E5A"/>
    <w:rsid w:val="00962063"/>
    <w:rsid w:val="00962297"/>
    <w:rsid w:val="009626A9"/>
    <w:rsid w:val="009626E0"/>
    <w:rsid w:val="009629C0"/>
    <w:rsid w:val="00962DD2"/>
    <w:rsid w:val="009637A7"/>
    <w:rsid w:val="00965192"/>
    <w:rsid w:val="0096621E"/>
    <w:rsid w:val="00967F4F"/>
    <w:rsid w:val="0097058C"/>
    <w:rsid w:val="00970772"/>
    <w:rsid w:val="00970868"/>
    <w:rsid w:val="009719A5"/>
    <w:rsid w:val="0097220E"/>
    <w:rsid w:val="009732C9"/>
    <w:rsid w:val="00973575"/>
    <w:rsid w:val="00973F67"/>
    <w:rsid w:val="00976118"/>
    <w:rsid w:val="00976328"/>
    <w:rsid w:val="009763CC"/>
    <w:rsid w:val="0097680D"/>
    <w:rsid w:val="009772DE"/>
    <w:rsid w:val="00980143"/>
    <w:rsid w:val="009816D1"/>
    <w:rsid w:val="0098194D"/>
    <w:rsid w:val="00982438"/>
    <w:rsid w:val="0098243B"/>
    <w:rsid w:val="00982E46"/>
    <w:rsid w:val="0098404C"/>
    <w:rsid w:val="009840C5"/>
    <w:rsid w:val="00985283"/>
    <w:rsid w:val="0098592B"/>
    <w:rsid w:val="0098635E"/>
    <w:rsid w:val="00986682"/>
    <w:rsid w:val="009867C0"/>
    <w:rsid w:val="00986C49"/>
    <w:rsid w:val="0099375F"/>
    <w:rsid w:val="00993D6F"/>
    <w:rsid w:val="00995992"/>
    <w:rsid w:val="00996724"/>
    <w:rsid w:val="00996F17"/>
    <w:rsid w:val="0099777C"/>
    <w:rsid w:val="009A03E5"/>
    <w:rsid w:val="009A0870"/>
    <w:rsid w:val="009A0F3B"/>
    <w:rsid w:val="009A191B"/>
    <w:rsid w:val="009A1BB4"/>
    <w:rsid w:val="009A2149"/>
    <w:rsid w:val="009A2418"/>
    <w:rsid w:val="009A24AB"/>
    <w:rsid w:val="009A2628"/>
    <w:rsid w:val="009A3200"/>
    <w:rsid w:val="009A3FCC"/>
    <w:rsid w:val="009A42D8"/>
    <w:rsid w:val="009A4946"/>
    <w:rsid w:val="009A561A"/>
    <w:rsid w:val="009A5DFB"/>
    <w:rsid w:val="009A60C6"/>
    <w:rsid w:val="009A6A67"/>
    <w:rsid w:val="009A6E87"/>
    <w:rsid w:val="009A77A5"/>
    <w:rsid w:val="009B0897"/>
    <w:rsid w:val="009B0A9D"/>
    <w:rsid w:val="009B0C2E"/>
    <w:rsid w:val="009B165F"/>
    <w:rsid w:val="009B2313"/>
    <w:rsid w:val="009B27D9"/>
    <w:rsid w:val="009B291D"/>
    <w:rsid w:val="009B2A71"/>
    <w:rsid w:val="009B2D59"/>
    <w:rsid w:val="009B401B"/>
    <w:rsid w:val="009B412F"/>
    <w:rsid w:val="009B4324"/>
    <w:rsid w:val="009B4B98"/>
    <w:rsid w:val="009B55BF"/>
    <w:rsid w:val="009B62DB"/>
    <w:rsid w:val="009B7BD9"/>
    <w:rsid w:val="009C0A2F"/>
    <w:rsid w:val="009C226A"/>
    <w:rsid w:val="009C22B8"/>
    <w:rsid w:val="009C2ECF"/>
    <w:rsid w:val="009C3B40"/>
    <w:rsid w:val="009C43BF"/>
    <w:rsid w:val="009C5525"/>
    <w:rsid w:val="009C5D61"/>
    <w:rsid w:val="009C5D70"/>
    <w:rsid w:val="009C5E3F"/>
    <w:rsid w:val="009C6E22"/>
    <w:rsid w:val="009C77FA"/>
    <w:rsid w:val="009C7DD5"/>
    <w:rsid w:val="009D0D78"/>
    <w:rsid w:val="009D0EEF"/>
    <w:rsid w:val="009D15DF"/>
    <w:rsid w:val="009D1AE6"/>
    <w:rsid w:val="009D1DC7"/>
    <w:rsid w:val="009D214B"/>
    <w:rsid w:val="009D2695"/>
    <w:rsid w:val="009D3841"/>
    <w:rsid w:val="009D485B"/>
    <w:rsid w:val="009D57B2"/>
    <w:rsid w:val="009D6A43"/>
    <w:rsid w:val="009D78D4"/>
    <w:rsid w:val="009D7AB3"/>
    <w:rsid w:val="009E1962"/>
    <w:rsid w:val="009E1A23"/>
    <w:rsid w:val="009E1D97"/>
    <w:rsid w:val="009E227D"/>
    <w:rsid w:val="009E2838"/>
    <w:rsid w:val="009E2BA9"/>
    <w:rsid w:val="009E38A5"/>
    <w:rsid w:val="009E3C79"/>
    <w:rsid w:val="009E3EC5"/>
    <w:rsid w:val="009E401F"/>
    <w:rsid w:val="009E5019"/>
    <w:rsid w:val="009E50A3"/>
    <w:rsid w:val="009E655B"/>
    <w:rsid w:val="009E666A"/>
    <w:rsid w:val="009E6F75"/>
    <w:rsid w:val="009E743C"/>
    <w:rsid w:val="009E7ADC"/>
    <w:rsid w:val="009E7AEB"/>
    <w:rsid w:val="009F0B0D"/>
    <w:rsid w:val="009F0F76"/>
    <w:rsid w:val="009F2755"/>
    <w:rsid w:val="009F2B4E"/>
    <w:rsid w:val="009F418D"/>
    <w:rsid w:val="009F4907"/>
    <w:rsid w:val="009F4DA8"/>
    <w:rsid w:val="009F580B"/>
    <w:rsid w:val="009F589D"/>
    <w:rsid w:val="009F7C53"/>
    <w:rsid w:val="00A003DA"/>
    <w:rsid w:val="00A0069B"/>
    <w:rsid w:val="00A015BD"/>
    <w:rsid w:val="00A01BAC"/>
    <w:rsid w:val="00A01C90"/>
    <w:rsid w:val="00A01D69"/>
    <w:rsid w:val="00A0216E"/>
    <w:rsid w:val="00A03C17"/>
    <w:rsid w:val="00A04DAD"/>
    <w:rsid w:val="00A04F1B"/>
    <w:rsid w:val="00A0501B"/>
    <w:rsid w:val="00A0625C"/>
    <w:rsid w:val="00A106B2"/>
    <w:rsid w:val="00A106C6"/>
    <w:rsid w:val="00A11521"/>
    <w:rsid w:val="00A1178D"/>
    <w:rsid w:val="00A11CB5"/>
    <w:rsid w:val="00A14220"/>
    <w:rsid w:val="00A14947"/>
    <w:rsid w:val="00A14A0F"/>
    <w:rsid w:val="00A150E7"/>
    <w:rsid w:val="00A16709"/>
    <w:rsid w:val="00A179D1"/>
    <w:rsid w:val="00A17FD8"/>
    <w:rsid w:val="00A204D2"/>
    <w:rsid w:val="00A209B2"/>
    <w:rsid w:val="00A219F2"/>
    <w:rsid w:val="00A22B09"/>
    <w:rsid w:val="00A22B7F"/>
    <w:rsid w:val="00A22F2D"/>
    <w:rsid w:val="00A24736"/>
    <w:rsid w:val="00A2492F"/>
    <w:rsid w:val="00A24B0E"/>
    <w:rsid w:val="00A24CC0"/>
    <w:rsid w:val="00A24E2D"/>
    <w:rsid w:val="00A257A0"/>
    <w:rsid w:val="00A25C63"/>
    <w:rsid w:val="00A27888"/>
    <w:rsid w:val="00A30A5E"/>
    <w:rsid w:val="00A318C1"/>
    <w:rsid w:val="00A318DC"/>
    <w:rsid w:val="00A31A04"/>
    <w:rsid w:val="00A31F57"/>
    <w:rsid w:val="00A32A83"/>
    <w:rsid w:val="00A3339E"/>
    <w:rsid w:val="00A33450"/>
    <w:rsid w:val="00A33BB3"/>
    <w:rsid w:val="00A34F98"/>
    <w:rsid w:val="00A368DB"/>
    <w:rsid w:val="00A37F95"/>
    <w:rsid w:val="00A40193"/>
    <w:rsid w:val="00A4033F"/>
    <w:rsid w:val="00A40FC7"/>
    <w:rsid w:val="00A412DF"/>
    <w:rsid w:val="00A419C4"/>
    <w:rsid w:val="00A423AA"/>
    <w:rsid w:val="00A4376E"/>
    <w:rsid w:val="00A45823"/>
    <w:rsid w:val="00A4609A"/>
    <w:rsid w:val="00A47462"/>
    <w:rsid w:val="00A5262D"/>
    <w:rsid w:val="00A52F53"/>
    <w:rsid w:val="00A53EC6"/>
    <w:rsid w:val="00A544C2"/>
    <w:rsid w:val="00A54CE7"/>
    <w:rsid w:val="00A5549F"/>
    <w:rsid w:val="00A55C0F"/>
    <w:rsid w:val="00A56327"/>
    <w:rsid w:val="00A56C4C"/>
    <w:rsid w:val="00A56DFE"/>
    <w:rsid w:val="00A56ED7"/>
    <w:rsid w:val="00A56F64"/>
    <w:rsid w:val="00A60686"/>
    <w:rsid w:val="00A62F61"/>
    <w:rsid w:val="00A64077"/>
    <w:rsid w:val="00A654D5"/>
    <w:rsid w:val="00A65D39"/>
    <w:rsid w:val="00A66068"/>
    <w:rsid w:val="00A66C17"/>
    <w:rsid w:val="00A66E72"/>
    <w:rsid w:val="00A67680"/>
    <w:rsid w:val="00A67A94"/>
    <w:rsid w:val="00A7034D"/>
    <w:rsid w:val="00A70707"/>
    <w:rsid w:val="00A709BA"/>
    <w:rsid w:val="00A7223A"/>
    <w:rsid w:val="00A72A3C"/>
    <w:rsid w:val="00A73A6A"/>
    <w:rsid w:val="00A74546"/>
    <w:rsid w:val="00A748EC"/>
    <w:rsid w:val="00A75211"/>
    <w:rsid w:val="00A75BDF"/>
    <w:rsid w:val="00A7621A"/>
    <w:rsid w:val="00A80B73"/>
    <w:rsid w:val="00A81F19"/>
    <w:rsid w:val="00A85618"/>
    <w:rsid w:val="00A869F6"/>
    <w:rsid w:val="00A86C45"/>
    <w:rsid w:val="00A87076"/>
    <w:rsid w:val="00A870B1"/>
    <w:rsid w:val="00A8710D"/>
    <w:rsid w:val="00A8713F"/>
    <w:rsid w:val="00A873A2"/>
    <w:rsid w:val="00A87F4B"/>
    <w:rsid w:val="00A9081C"/>
    <w:rsid w:val="00A90BA1"/>
    <w:rsid w:val="00A90D50"/>
    <w:rsid w:val="00A910B9"/>
    <w:rsid w:val="00A91E93"/>
    <w:rsid w:val="00A9287F"/>
    <w:rsid w:val="00A94C9D"/>
    <w:rsid w:val="00A95B31"/>
    <w:rsid w:val="00A964EA"/>
    <w:rsid w:val="00A978D6"/>
    <w:rsid w:val="00A97A9A"/>
    <w:rsid w:val="00A97B5A"/>
    <w:rsid w:val="00AA0671"/>
    <w:rsid w:val="00AA10CC"/>
    <w:rsid w:val="00AA178F"/>
    <w:rsid w:val="00AA2531"/>
    <w:rsid w:val="00AA2647"/>
    <w:rsid w:val="00AA383D"/>
    <w:rsid w:val="00AA4056"/>
    <w:rsid w:val="00AA4B10"/>
    <w:rsid w:val="00AA6AFF"/>
    <w:rsid w:val="00AB05D6"/>
    <w:rsid w:val="00AB0CEC"/>
    <w:rsid w:val="00AB1E09"/>
    <w:rsid w:val="00AB27FA"/>
    <w:rsid w:val="00AB3091"/>
    <w:rsid w:val="00AB4622"/>
    <w:rsid w:val="00AB5330"/>
    <w:rsid w:val="00AB5B75"/>
    <w:rsid w:val="00AB5D44"/>
    <w:rsid w:val="00AB7747"/>
    <w:rsid w:val="00AB7FE4"/>
    <w:rsid w:val="00AC0CB7"/>
    <w:rsid w:val="00AC14CE"/>
    <w:rsid w:val="00AC1CCD"/>
    <w:rsid w:val="00AC2642"/>
    <w:rsid w:val="00AC27EC"/>
    <w:rsid w:val="00AC2A56"/>
    <w:rsid w:val="00AC2E0B"/>
    <w:rsid w:val="00AC328C"/>
    <w:rsid w:val="00AC48A7"/>
    <w:rsid w:val="00AC585F"/>
    <w:rsid w:val="00AD009F"/>
    <w:rsid w:val="00AD055E"/>
    <w:rsid w:val="00AD29FB"/>
    <w:rsid w:val="00AD4325"/>
    <w:rsid w:val="00AD459B"/>
    <w:rsid w:val="00AD47A7"/>
    <w:rsid w:val="00AD5073"/>
    <w:rsid w:val="00AD529F"/>
    <w:rsid w:val="00AD5DA3"/>
    <w:rsid w:val="00AD7BEC"/>
    <w:rsid w:val="00AE0327"/>
    <w:rsid w:val="00AE0A31"/>
    <w:rsid w:val="00AE0B36"/>
    <w:rsid w:val="00AE1B96"/>
    <w:rsid w:val="00AE1BD8"/>
    <w:rsid w:val="00AE1F08"/>
    <w:rsid w:val="00AE2202"/>
    <w:rsid w:val="00AE34CE"/>
    <w:rsid w:val="00AE3BAD"/>
    <w:rsid w:val="00AE3D83"/>
    <w:rsid w:val="00AE5007"/>
    <w:rsid w:val="00AE59DF"/>
    <w:rsid w:val="00AE7422"/>
    <w:rsid w:val="00AF051E"/>
    <w:rsid w:val="00AF0C84"/>
    <w:rsid w:val="00AF0CBF"/>
    <w:rsid w:val="00AF169D"/>
    <w:rsid w:val="00AF16BB"/>
    <w:rsid w:val="00AF1FFB"/>
    <w:rsid w:val="00AF257F"/>
    <w:rsid w:val="00AF33CF"/>
    <w:rsid w:val="00AF3559"/>
    <w:rsid w:val="00AF3C5F"/>
    <w:rsid w:val="00AF3DCE"/>
    <w:rsid w:val="00AF489C"/>
    <w:rsid w:val="00AF4C4C"/>
    <w:rsid w:val="00AF4D50"/>
    <w:rsid w:val="00AF4DD5"/>
    <w:rsid w:val="00AF53CA"/>
    <w:rsid w:val="00AF595E"/>
    <w:rsid w:val="00AF6179"/>
    <w:rsid w:val="00AF6214"/>
    <w:rsid w:val="00AF69E5"/>
    <w:rsid w:val="00AF7ACE"/>
    <w:rsid w:val="00B00456"/>
    <w:rsid w:val="00B00D1D"/>
    <w:rsid w:val="00B02469"/>
    <w:rsid w:val="00B027AA"/>
    <w:rsid w:val="00B03359"/>
    <w:rsid w:val="00B04379"/>
    <w:rsid w:val="00B05573"/>
    <w:rsid w:val="00B056E8"/>
    <w:rsid w:val="00B07072"/>
    <w:rsid w:val="00B0772F"/>
    <w:rsid w:val="00B07E0C"/>
    <w:rsid w:val="00B07F96"/>
    <w:rsid w:val="00B10423"/>
    <w:rsid w:val="00B10B30"/>
    <w:rsid w:val="00B127FD"/>
    <w:rsid w:val="00B1295A"/>
    <w:rsid w:val="00B1330F"/>
    <w:rsid w:val="00B13A6A"/>
    <w:rsid w:val="00B13C13"/>
    <w:rsid w:val="00B1427E"/>
    <w:rsid w:val="00B14BB2"/>
    <w:rsid w:val="00B15219"/>
    <w:rsid w:val="00B17C43"/>
    <w:rsid w:val="00B20091"/>
    <w:rsid w:val="00B20A45"/>
    <w:rsid w:val="00B22639"/>
    <w:rsid w:val="00B22C5C"/>
    <w:rsid w:val="00B24F30"/>
    <w:rsid w:val="00B25E5D"/>
    <w:rsid w:val="00B26E62"/>
    <w:rsid w:val="00B26F6F"/>
    <w:rsid w:val="00B27618"/>
    <w:rsid w:val="00B30339"/>
    <w:rsid w:val="00B305C5"/>
    <w:rsid w:val="00B30EFB"/>
    <w:rsid w:val="00B31285"/>
    <w:rsid w:val="00B3165D"/>
    <w:rsid w:val="00B318D4"/>
    <w:rsid w:val="00B31ABF"/>
    <w:rsid w:val="00B31EE4"/>
    <w:rsid w:val="00B3334E"/>
    <w:rsid w:val="00B33BE3"/>
    <w:rsid w:val="00B37300"/>
    <w:rsid w:val="00B421AE"/>
    <w:rsid w:val="00B42A53"/>
    <w:rsid w:val="00B445F8"/>
    <w:rsid w:val="00B44BD2"/>
    <w:rsid w:val="00B4500B"/>
    <w:rsid w:val="00B457D0"/>
    <w:rsid w:val="00B4684D"/>
    <w:rsid w:val="00B51854"/>
    <w:rsid w:val="00B519D1"/>
    <w:rsid w:val="00B51DF4"/>
    <w:rsid w:val="00B521DC"/>
    <w:rsid w:val="00B536BF"/>
    <w:rsid w:val="00B537A5"/>
    <w:rsid w:val="00B53B5D"/>
    <w:rsid w:val="00B53F35"/>
    <w:rsid w:val="00B54361"/>
    <w:rsid w:val="00B55A0D"/>
    <w:rsid w:val="00B57520"/>
    <w:rsid w:val="00B57650"/>
    <w:rsid w:val="00B603C2"/>
    <w:rsid w:val="00B60480"/>
    <w:rsid w:val="00B6055E"/>
    <w:rsid w:val="00B60B1D"/>
    <w:rsid w:val="00B61EF7"/>
    <w:rsid w:val="00B6264C"/>
    <w:rsid w:val="00B6317D"/>
    <w:rsid w:val="00B64F7E"/>
    <w:rsid w:val="00B657C7"/>
    <w:rsid w:val="00B674A6"/>
    <w:rsid w:val="00B6778B"/>
    <w:rsid w:val="00B70756"/>
    <w:rsid w:val="00B71476"/>
    <w:rsid w:val="00B7517A"/>
    <w:rsid w:val="00B75426"/>
    <w:rsid w:val="00B7561E"/>
    <w:rsid w:val="00B762AB"/>
    <w:rsid w:val="00B7697B"/>
    <w:rsid w:val="00B769B5"/>
    <w:rsid w:val="00B76E8A"/>
    <w:rsid w:val="00B7723F"/>
    <w:rsid w:val="00B77AF3"/>
    <w:rsid w:val="00B80534"/>
    <w:rsid w:val="00B805E5"/>
    <w:rsid w:val="00B80B32"/>
    <w:rsid w:val="00B81567"/>
    <w:rsid w:val="00B83326"/>
    <w:rsid w:val="00B839C1"/>
    <w:rsid w:val="00B83F02"/>
    <w:rsid w:val="00B8433C"/>
    <w:rsid w:val="00B854E1"/>
    <w:rsid w:val="00B858E9"/>
    <w:rsid w:val="00B869DC"/>
    <w:rsid w:val="00B87491"/>
    <w:rsid w:val="00B905DC"/>
    <w:rsid w:val="00B9102F"/>
    <w:rsid w:val="00B9229D"/>
    <w:rsid w:val="00B93BFD"/>
    <w:rsid w:val="00B943CD"/>
    <w:rsid w:val="00B9446D"/>
    <w:rsid w:val="00B95373"/>
    <w:rsid w:val="00B95F07"/>
    <w:rsid w:val="00B967AC"/>
    <w:rsid w:val="00B96CD6"/>
    <w:rsid w:val="00BA0A1D"/>
    <w:rsid w:val="00BA0BFC"/>
    <w:rsid w:val="00BA0C04"/>
    <w:rsid w:val="00BA10D8"/>
    <w:rsid w:val="00BA29E9"/>
    <w:rsid w:val="00BA3065"/>
    <w:rsid w:val="00BA4B3D"/>
    <w:rsid w:val="00BA4D31"/>
    <w:rsid w:val="00BA5F9E"/>
    <w:rsid w:val="00BA5FAE"/>
    <w:rsid w:val="00BA6DB4"/>
    <w:rsid w:val="00BA7142"/>
    <w:rsid w:val="00BA74D7"/>
    <w:rsid w:val="00BA7AB7"/>
    <w:rsid w:val="00BA7B75"/>
    <w:rsid w:val="00BB0958"/>
    <w:rsid w:val="00BB0CBB"/>
    <w:rsid w:val="00BB0D0C"/>
    <w:rsid w:val="00BB1B82"/>
    <w:rsid w:val="00BB237C"/>
    <w:rsid w:val="00BB2DE0"/>
    <w:rsid w:val="00BB34FE"/>
    <w:rsid w:val="00BB41A3"/>
    <w:rsid w:val="00BB4700"/>
    <w:rsid w:val="00BB4FD2"/>
    <w:rsid w:val="00BB7496"/>
    <w:rsid w:val="00BB7562"/>
    <w:rsid w:val="00BC00E5"/>
    <w:rsid w:val="00BC0AD7"/>
    <w:rsid w:val="00BC202C"/>
    <w:rsid w:val="00BC2CD0"/>
    <w:rsid w:val="00BC2F7B"/>
    <w:rsid w:val="00BC32DC"/>
    <w:rsid w:val="00BC35B6"/>
    <w:rsid w:val="00BC5625"/>
    <w:rsid w:val="00BC6150"/>
    <w:rsid w:val="00BC6697"/>
    <w:rsid w:val="00BC66C3"/>
    <w:rsid w:val="00BC69F3"/>
    <w:rsid w:val="00BD07B7"/>
    <w:rsid w:val="00BD1B51"/>
    <w:rsid w:val="00BD2A13"/>
    <w:rsid w:val="00BD3130"/>
    <w:rsid w:val="00BD3D0F"/>
    <w:rsid w:val="00BD4596"/>
    <w:rsid w:val="00BD5B1B"/>
    <w:rsid w:val="00BD778F"/>
    <w:rsid w:val="00BD7EF2"/>
    <w:rsid w:val="00BE0B9D"/>
    <w:rsid w:val="00BE1405"/>
    <w:rsid w:val="00BE1F0F"/>
    <w:rsid w:val="00BE23F7"/>
    <w:rsid w:val="00BE250A"/>
    <w:rsid w:val="00BE25B0"/>
    <w:rsid w:val="00BE312D"/>
    <w:rsid w:val="00BE3D15"/>
    <w:rsid w:val="00BE49A8"/>
    <w:rsid w:val="00BE4B89"/>
    <w:rsid w:val="00BE4BF5"/>
    <w:rsid w:val="00BE4C29"/>
    <w:rsid w:val="00BE59F0"/>
    <w:rsid w:val="00BE6687"/>
    <w:rsid w:val="00BE72FA"/>
    <w:rsid w:val="00BE753C"/>
    <w:rsid w:val="00BF0F8C"/>
    <w:rsid w:val="00BF1C20"/>
    <w:rsid w:val="00BF202D"/>
    <w:rsid w:val="00BF2EB0"/>
    <w:rsid w:val="00BF331B"/>
    <w:rsid w:val="00BF3637"/>
    <w:rsid w:val="00BF3732"/>
    <w:rsid w:val="00BF3950"/>
    <w:rsid w:val="00BF4CC4"/>
    <w:rsid w:val="00BF4D89"/>
    <w:rsid w:val="00BF4FE3"/>
    <w:rsid w:val="00BF5727"/>
    <w:rsid w:val="00BF584E"/>
    <w:rsid w:val="00BF5BD0"/>
    <w:rsid w:val="00BF5EDD"/>
    <w:rsid w:val="00BF6659"/>
    <w:rsid w:val="00C00FFF"/>
    <w:rsid w:val="00C0255E"/>
    <w:rsid w:val="00C03008"/>
    <w:rsid w:val="00C03674"/>
    <w:rsid w:val="00C03E70"/>
    <w:rsid w:val="00C03EB1"/>
    <w:rsid w:val="00C03F74"/>
    <w:rsid w:val="00C0537A"/>
    <w:rsid w:val="00C069BB"/>
    <w:rsid w:val="00C06D19"/>
    <w:rsid w:val="00C10578"/>
    <w:rsid w:val="00C12564"/>
    <w:rsid w:val="00C12941"/>
    <w:rsid w:val="00C1294D"/>
    <w:rsid w:val="00C134F6"/>
    <w:rsid w:val="00C135BC"/>
    <w:rsid w:val="00C136D8"/>
    <w:rsid w:val="00C13738"/>
    <w:rsid w:val="00C13CD1"/>
    <w:rsid w:val="00C142B4"/>
    <w:rsid w:val="00C146DE"/>
    <w:rsid w:val="00C14D51"/>
    <w:rsid w:val="00C15C0F"/>
    <w:rsid w:val="00C15C95"/>
    <w:rsid w:val="00C15FA0"/>
    <w:rsid w:val="00C173E6"/>
    <w:rsid w:val="00C1759C"/>
    <w:rsid w:val="00C17F33"/>
    <w:rsid w:val="00C212F4"/>
    <w:rsid w:val="00C22893"/>
    <w:rsid w:val="00C22EFA"/>
    <w:rsid w:val="00C23549"/>
    <w:rsid w:val="00C23A05"/>
    <w:rsid w:val="00C23B5B"/>
    <w:rsid w:val="00C24F78"/>
    <w:rsid w:val="00C2596A"/>
    <w:rsid w:val="00C2612C"/>
    <w:rsid w:val="00C27271"/>
    <w:rsid w:val="00C27537"/>
    <w:rsid w:val="00C278F0"/>
    <w:rsid w:val="00C318FC"/>
    <w:rsid w:val="00C31EF9"/>
    <w:rsid w:val="00C328FE"/>
    <w:rsid w:val="00C333AC"/>
    <w:rsid w:val="00C33507"/>
    <w:rsid w:val="00C33BE0"/>
    <w:rsid w:val="00C34EFD"/>
    <w:rsid w:val="00C35DFA"/>
    <w:rsid w:val="00C3732F"/>
    <w:rsid w:val="00C3758A"/>
    <w:rsid w:val="00C400CC"/>
    <w:rsid w:val="00C406DE"/>
    <w:rsid w:val="00C41C9C"/>
    <w:rsid w:val="00C42E9D"/>
    <w:rsid w:val="00C43A3E"/>
    <w:rsid w:val="00C43B13"/>
    <w:rsid w:val="00C43BEC"/>
    <w:rsid w:val="00C44078"/>
    <w:rsid w:val="00C4409D"/>
    <w:rsid w:val="00C448F5"/>
    <w:rsid w:val="00C44E72"/>
    <w:rsid w:val="00C45512"/>
    <w:rsid w:val="00C45A06"/>
    <w:rsid w:val="00C46648"/>
    <w:rsid w:val="00C47E5B"/>
    <w:rsid w:val="00C50717"/>
    <w:rsid w:val="00C52823"/>
    <w:rsid w:val="00C52B0E"/>
    <w:rsid w:val="00C530C9"/>
    <w:rsid w:val="00C54D53"/>
    <w:rsid w:val="00C55818"/>
    <w:rsid w:val="00C55A1B"/>
    <w:rsid w:val="00C5602A"/>
    <w:rsid w:val="00C5616C"/>
    <w:rsid w:val="00C56921"/>
    <w:rsid w:val="00C56CBA"/>
    <w:rsid w:val="00C57AA0"/>
    <w:rsid w:val="00C57F23"/>
    <w:rsid w:val="00C6025D"/>
    <w:rsid w:val="00C60502"/>
    <w:rsid w:val="00C60D29"/>
    <w:rsid w:val="00C61E4B"/>
    <w:rsid w:val="00C62324"/>
    <w:rsid w:val="00C62FEA"/>
    <w:rsid w:val="00C6335A"/>
    <w:rsid w:val="00C649A8"/>
    <w:rsid w:val="00C64B8F"/>
    <w:rsid w:val="00C64BFF"/>
    <w:rsid w:val="00C66663"/>
    <w:rsid w:val="00C66D05"/>
    <w:rsid w:val="00C6743C"/>
    <w:rsid w:val="00C70164"/>
    <w:rsid w:val="00C703FC"/>
    <w:rsid w:val="00C704E9"/>
    <w:rsid w:val="00C70FA5"/>
    <w:rsid w:val="00C7129E"/>
    <w:rsid w:val="00C71816"/>
    <w:rsid w:val="00C71F21"/>
    <w:rsid w:val="00C7300B"/>
    <w:rsid w:val="00C74F61"/>
    <w:rsid w:val="00C7545D"/>
    <w:rsid w:val="00C7546B"/>
    <w:rsid w:val="00C763C9"/>
    <w:rsid w:val="00C80057"/>
    <w:rsid w:val="00C80389"/>
    <w:rsid w:val="00C809C9"/>
    <w:rsid w:val="00C80F08"/>
    <w:rsid w:val="00C82232"/>
    <w:rsid w:val="00C82913"/>
    <w:rsid w:val="00C856D4"/>
    <w:rsid w:val="00C866C7"/>
    <w:rsid w:val="00C86859"/>
    <w:rsid w:val="00C8781E"/>
    <w:rsid w:val="00C91650"/>
    <w:rsid w:val="00C9321E"/>
    <w:rsid w:val="00C953EF"/>
    <w:rsid w:val="00C964D0"/>
    <w:rsid w:val="00C965B9"/>
    <w:rsid w:val="00C972B1"/>
    <w:rsid w:val="00C9767F"/>
    <w:rsid w:val="00CA00B4"/>
    <w:rsid w:val="00CA06AE"/>
    <w:rsid w:val="00CA15E1"/>
    <w:rsid w:val="00CA2009"/>
    <w:rsid w:val="00CA25BA"/>
    <w:rsid w:val="00CA2CCE"/>
    <w:rsid w:val="00CA3885"/>
    <w:rsid w:val="00CA3ADB"/>
    <w:rsid w:val="00CA3E71"/>
    <w:rsid w:val="00CA43FD"/>
    <w:rsid w:val="00CA5055"/>
    <w:rsid w:val="00CA5225"/>
    <w:rsid w:val="00CA636E"/>
    <w:rsid w:val="00CA6FD3"/>
    <w:rsid w:val="00CA7EF8"/>
    <w:rsid w:val="00CB0C47"/>
    <w:rsid w:val="00CB1D63"/>
    <w:rsid w:val="00CB223A"/>
    <w:rsid w:val="00CB2C31"/>
    <w:rsid w:val="00CB4083"/>
    <w:rsid w:val="00CB45F2"/>
    <w:rsid w:val="00CB5D73"/>
    <w:rsid w:val="00CC05D7"/>
    <w:rsid w:val="00CC1A1C"/>
    <w:rsid w:val="00CC1A6F"/>
    <w:rsid w:val="00CC1E57"/>
    <w:rsid w:val="00CC2E0C"/>
    <w:rsid w:val="00CC3306"/>
    <w:rsid w:val="00CC44C1"/>
    <w:rsid w:val="00CC489B"/>
    <w:rsid w:val="00CC4B58"/>
    <w:rsid w:val="00CC52BF"/>
    <w:rsid w:val="00CC5A39"/>
    <w:rsid w:val="00CC5DC2"/>
    <w:rsid w:val="00CC5EDA"/>
    <w:rsid w:val="00CC6417"/>
    <w:rsid w:val="00CC69B4"/>
    <w:rsid w:val="00CC7E94"/>
    <w:rsid w:val="00CD0E8B"/>
    <w:rsid w:val="00CD0FF3"/>
    <w:rsid w:val="00CD1277"/>
    <w:rsid w:val="00CD2108"/>
    <w:rsid w:val="00CD2226"/>
    <w:rsid w:val="00CD24AB"/>
    <w:rsid w:val="00CD29D1"/>
    <w:rsid w:val="00CD2BCD"/>
    <w:rsid w:val="00CD33B8"/>
    <w:rsid w:val="00CD3951"/>
    <w:rsid w:val="00CD3A4C"/>
    <w:rsid w:val="00CD40B3"/>
    <w:rsid w:val="00CD411F"/>
    <w:rsid w:val="00CD4AA4"/>
    <w:rsid w:val="00CD4DCF"/>
    <w:rsid w:val="00CD6205"/>
    <w:rsid w:val="00CD6530"/>
    <w:rsid w:val="00CD6583"/>
    <w:rsid w:val="00CD7A4F"/>
    <w:rsid w:val="00CE10E9"/>
    <w:rsid w:val="00CE2910"/>
    <w:rsid w:val="00CE44D6"/>
    <w:rsid w:val="00CE5393"/>
    <w:rsid w:val="00CE5516"/>
    <w:rsid w:val="00CE6574"/>
    <w:rsid w:val="00CE672D"/>
    <w:rsid w:val="00CE74D2"/>
    <w:rsid w:val="00CF0AE9"/>
    <w:rsid w:val="00CF0CCB"/>
    <w:rsid w:val="00CF18E8"/>
    <w:rsid w:val="00CF265D"/>
    <w:rsid w:val="00CF273B"/>
    <w:rsid w:val="00CF36BE"/>
    <w:rsid w:val="00CF3720"/>
    <w:rsid w:val="00CF3D0A"/>
    <w:rsid w:val="00CF4D75"/>
    <w:rsid w:val="00CF4F5D"/>
    <w:rsid w:val="00CF52D9"/>
    <w:rsid w:val="00CF6000"/>
    <w:rsid w:val="00CF714C"/>
    <w:rsid w:val="00CF7E14"/>
    <w:rsid w:val="00D0001A"/>
    <w:rsid w:val="00D003F3"/>
    <w:rsid w:val="00D0097D"/>
    <w:rsid w:val="00D0099D"/>
    <w:rsid w:val="00D01EBC"/>
    <w:rsid w:val="00D02349"/>
    <w:rsid w:val="00D03648"/>
    <w:rsid w:val="00D0364F"/>
    <w:rsid w:val="00D040C0"/>
    <w:rsid w:val="00D046AF"/>
    <w:rsid w:val="00D046F5"/>
    <w:rsid w:val="00D06834"/>
    <w:rsid w:val="00D10280"/>
    <w:rsid w:val="00D103E1"/>
    <w:rsid w:val="00D114B2"/>
    <w:rsid w:val="00D141E9"/>
    <w:rsid w:val="00D14494"/>
    <w:rsid w:val="00D1469E"/>
    <w:rsid w:val="00D146AC"/>
    <w:rsid w:val="00D147E4"/>
    <w:rsid w:val="00D14F3B"/>
    <w:rsid w:val="00D15DC8"/>
    <w:rsid w:val="00D1639F"/>
    <w:rsid w:val="00D16DB9"/>
    <w:rsid w:val="00D17B8F"/>
    <w:rsid w:val="00D17FFB"/>
    <w:rsid w:val="00D212F0"/>
    <w:rsid w:val="00D214FA"/>
    <w:rsid w:val="00D21CB7"/>
    <w:rsid w:val="00D2234C"/>
    <w:rsid w:val="00D241EE"/>
    <w:rsid w:val="00D246F2"/>
    <w:rsid w:val="00D2790C"/>
    <w:rsid w:val="00D27974"/>
    <w:rsid w:val="00D30839"/>
    <w:rsid w:val="00D308ED"/>
    <w:rsid w:val="00D30E59"/>
    <w:rsid w:val="00D3226F"/>
    <w:rsid w:val="00D32B85"/>
    <w:rsid w:val="00D3592A"/>
    <w:rsid w:val="00D36D86"/>
    <w:rsid w:val="00D37CA9"/>
    <w:rsid w:val="00D40A33"/>
    <w:rsid w:val="00D40E2D"/>
    <w:rsid w:val="00D41655"/>
    <w:rsid w:val="00D41C00"/>
    <w:rsid w:val="00D41F14"/>
    <w:rsid w:val="00D428AA"/>
    <w:rsid w:val="00D429CA"/>
    <w:rsid w:val="00D42C1E"/>
    <w:rsid w:val="00D447F5"/>
    <w:rsid w:val="00D4671B"/>
    <w:rsid w:val="00D50878"/>
    <w:rsid w:val="00D50962"/>
    <w:rsid w:val="00D50A34"/>
    <w:rsid w:val="00D521E8"/>
    <w:rsid w:val="00D52216"/>
    <w:rsid w:val="00D52DCA"/>
    <w:rsid w:val="00D52F4C"/>
    <w:rsid w:val="00D53EFA"/>
    <w:rsid w:val="00D540C7"/>
    <w:rsid w:val="00D54618"/>
    <w:rsid w:val="00D558E8"/>
    <w:rsid w:val="00D5698B"/>
    <w:rsid w:val="00D60B38"/>
    <w:rsid w:val="00D60FF5"/>
    <w:rsid w:val="00D6394B"/>
    <w:rsid w:val="00D641D3"/>
    <w:rsid w:val="00D64A08"/>
    <w:rsid w:val="00D64ED5"/>
    <w:rsid w:val="00D6545E"/>
    <w:rsid w:val="00D65C78"/>
    <w:rsid w:val="00D6640A"/>
    <w:rsid w:val="00D67542"/>
    <w:rsid w:val="00D676FA"/>
    <w:rsid w:val="00D67EB9"/>
    <w:rsid w:val="00D70010"/>
    <w:rsid w:val="00D700BB"/>
    <w:rsid w:val="00D7122D"/>
    <w:rsid w:val="00D712AD"/>
    <w:rsid w:val="00D71375"/>
    <w:rsid w:val="00D71E4B"/>
    <w:rsid w:val="00D71EF2"/>
    <w:rsid w:val="00D720E7"/>
    <w:rsid w:val="00D728B5"/>
    <w:rsid w:val="00D73E99"/>
    <w:rsid w:val="00D75688"/>
    <w:rsid w:val="00D76637"/>
    <w:rsid w:val="00D7677A"/>
    <w:rsid w:val="00D76B27"/>
    <w:rsid w:val="00D76C4C"/>
    <w:rsid w:val="00D80020"/>
    <w:rsid w:val="00D80028"/>
    <w:rsid w:val="00D805C5"/>
    <w:rsid w:val="00D80F2A"/>
    <w:rsid w:val="00D82187"/>
    <w:rsid w:val="00D8348B"/>
    <w:rsid w:val="00D83ED3"/>
    <w:rsid w:val="00D8452E"/>
    <w:rsid w:val="00D86C4A"/>
    <w:rsid w:val="00D87D9E"/>
    <w:rsid w:val="00D90178"/>
    <w:rsid w:val="00D916E7"/>
    <w:rsid w:val="00D91B45"/>
    <w:rsid w:val="00D91BF3"/>
    <w:rsid w:val="00D9282A"/>
    <w:rsid w:val="00D930F2"/>
    <w:rsid w:val="00D9491C"/>
    <w:rsid w:val="00D94A7C"/>
    <w:rsid w:val="00D95896"/>
    <w:rsid w:val="00D97751"/>
    <w:rsid w:val="00D97A1E"/>
    <w:rsid w:val="00DA16B3"/>
    <w:rsid w:val="00DA16ED"/>
    <w:rsid w:val="00DA32BE"/>
    <w:rsid w:val="00DA468F"/>
    <w:rsid w:val="00DA6592"/>
    <w:rsid w:val="00DA7185"/>
    <w:rsid w:val="00DB1742"/>
    <w:rsid w:val="00DB1D2D"/>
    <w:rsid w:val="00DB2113"/>
    <w:rsid w:val="00DB2354"/>
    <w:rsid w:val="00DB2983"/>
    <w:rsid w:val="00DB3895"/>
    <w:rsid w:val="00DB3AEA"/>
    <w:rsid w:val="00DB3CDD"/>
    <w:rsid w:val="00DB3F02"/>
    <w:rsid w:val="00DB4DCC"/>
    <w:rsid w:val="00DB51F1"/>
    <w:rsid w:val="00DB5AF4"/>
    <w:rsid w:val="00DB61FD"/>
    <w:rsid w:val="00DB720C"/>
    <w:rsid w:val="00DB73AE"/>
    <w:rsid w:val="00DB7E4B"/>
    <w:rsid w:val="00DC0839"/>
    <w:rsid w:val="00DC1257"/>
    <w:rsid w:val="00DC22CD"/>
    <w:rsid w:val="00DC3131"/>
    <w:rsid w:val="00DC31CA"/>
    <w:rsid w:val="00DC32B2"/>
    <w:rsid w:val="00DC3531"/>
    <w:rsid w:val="00DC3668"/>
    <w:rsid w:val="00DC3DC0"/>
    <w:rsid w:val="00DC432A"/>
    <w:rsid w:val="00DC5B2B"/>
    <w:rsid w:val="00DC62ED"/>
    <w:rsid w:val="00DC653D"/>
    <w:rsid w:val="00DD0D52"/>
    <w:rsid w:val="00DD1E14"/>
    <w:rsid w:val="00DD2419"/>
    <w:rsid w:val="00DD24CA"/>
    <w:rsid w:val="00DD318D"/>
    <w:rsid w:val="00DD33D6"/>
    <w:rsid w:val="00DD395C"/>
    <w:rsid w:val="00DD3977"/>
    <w:rsid w:val="00DD3AB4"/>
    <w:rsid w:val="00DD50DA"/>
    <w:rsid w:val="00DD59D9"/>
    <w:rsid w:val="00DD6452"/>
    <w:rsid w:val="00DE017B"/>
    <w:rsid w:val="00DE1F75"/>
    <w:rsid w:val="00DE397F"/>
    <w:rsid w:val="00DE3A52"/>
    <w:rsid w:val="00DE3DD6"/>
    <w:rsid w:val="00DE406C"/>
    <w:rsid w:val="00DE4528"/>
    <w:rsid w:val="00DE4BBE"/>
    <w:rsid w:val="00DE4C6E"/>
    <w:rsid w:val="00DE4FE8"/>
    <w:rsid w:val="00DE508F"/>
    <w:rsid w:val="00DE528D"/>
    <w:rsid w:val="00DE5FAB"/>
    <w:rsid w:val="00DE73EB"/>
    <w:rsid w:val="00DE7DB3"/>
    <w:rsid w:val="00DE7E29"/>
    <w:rsid w:val="00DF0E3D"/>
    <w:rsid w:val="00DF1FFA"/>
    <w:rsid w:val="00DF2C94"/>
    <w:rsid w:val="00DF2E12"/>
    <w:rsid w:val="00DF2F9C"/>
    <w:rsid w:val="00DF3806"/>
    <w:rsid w:val="00DF3C3C"/>
    <w:rsid w:val="00DF514A"/>
    <w:rsid w:val="00DF5999"/>
    <w:rsid w:val="00DF6690"/>
    <w:rsid w:val="00DF6804"/>
    <w:rsid w:val="00DF79E3"/>
    <w:rsid w:val="00E012C7"/>
    <w:rsid w:val="00E033EF"/>
    <w:rsid w:val="00E0358D"/>
    <w:rsid w:val="00E036B7"/>
    <w:rsid w:val="00E04323"/>
    <w:rsid w:val="00E04E7B"/>
    <w:rsid w:val="00E06320"/>
    <w:rsid w:val="00E0699F"/>
    <w:rsid w:val="00E070A2"/>
    <w:rsid w:val="00E07848"/>
    <w:rsid w:val="00E101FE"/>
    <w:rsid w:val="00E105BD"/>
    <w:rsid w:val="00E10B66"/>
    <w:rsid w:val="00E10DB4"/>
    <w:rsid w:val="00E11ECF"/>
    <w:rsid w:val="00E11EEA"/>
    <w:rsid w:val="00E11F8B"/>
    <w:rsid w:val="00E124A1"/>
    <w:rsid w:val="00E12561"/>
    <w:rsid w:val="00E1295E"/>
    <w:rsid w:val="00E12AF8"/>
    <w:rsid w:val="00E14556"/>
    <w:rsid w:val="00E14B9F"/>
    <w:rsid w:val="00E155F1"/>
    <w:rsid w:val="00E159CF"/>
    <w:rsid w:val="00E15E89"/>
    <w:rsid w:val="00E17337"/>
    <w:rsid w:val="00E17E9E"/>
    <w:rsid w:val="00E20917"/>
    <w:rsid w:val="00E22A59"/>
    <w:rsid w:val="00E22AA5"/>
    <w:rsid w:val="00E230B6"/>
    <w:rsid w:val="00E23FCC"/>
    <w:rsid w:val="00E24937"/>
    <w:rsid w:val="00E250E5"/>
    <w:rsid w:val="00E2656A"/>
    <w:rsid w:val="00E27469"/>
    <w:rsid w:val="00E32E43"/>
    <w:rsid w:val="00E339A0"/>
    <w:rsid w:val="00E33A6D"/>
    <w:rsid w:val="00E34380"/>
    <w:rsid w:val="00E35E3C"/>
    <w:rsid w:val="00E400DD"/>
    <w:rsid w:val="00E40AB9"/>
    <w:rsid w:val="00E412D0"/>
    <w:rsid w:val="00E42286"/>
    <w:rsid w:val="00E423EC"/>
    <w:rsid w:val="00E43307"/>
    <w:rsid w:val="00E44609"/>
    <w:rsid w:val="00E455C5"/>
    <w:rsid w:val="00E456AE"/>
    <w:rsid w:val="00E456B8"/>
    <w:rsid w:val="00E45951"/>
    <w:rsid w:val="00E45B99"/>
    <w:rsid w:val="00E46293"/>
    <w:rsid w:val="00E4696C"/>
    <w:rsid w:val="00E50CAA"/>
    <w:rsid w:val="00E5355B"/>
    <w:rsid w:val="00E53EE2"/>
    <w:rsid w:val="00E54126"/>
    <w:rsid w:val="00E54867"/>
    <w:rsid w:val="00E559A0"/>
    <w:rsid w:val="00E55AA3"/>
    <w:rsid w:val="00E55C6A"/>
    <w:rsid w:val="00E56322"/>
    <w:rsid w:val="00E570C9"/>
    <w:rsid w:val="00E571DB"/>
    <w:rsid w:val="00E6014E"/>
    <w:rsid w:val="00E6015F"/>
    <w:rsid w:val="00E60982"/>
    <w:rsid w:val="00E62587"/>
    <w:rsid w:val="00E625D3"/>
    <w:rsid w:val="00E6262E"/>
    <w:rsid w:val="00E62A55"/>
    <w:rsid w:val="00E62C62"/>
    <w:rsid w:val="00E639AF"/>
    <w:rsid w:val="00E63E9D"/>
    <w:rsid w:val="00E6415F"/>
    <w:rsid w:val="00E64277"/>
    <w:rsid w:val="00E6452B"/>
    <w:rsid w:val="00E654C1"/>
    <w:rsid w:val="00E65D97"/>
    <w:rsid w:val="00E71578"/>
    <w:rsid w:val="00E71B1A"/>
    <w:rsid w:val="00E72505"/>
    <w:rsid w:val="00E72A5A"/>
    <w:rsid w:val="00E7313C"/>
    <w:rsid w:val="00E73354"/>
    <w:rsid w:val="00E73489"/>
    <w:rsid w:val="00E73625"/>
    <w:rsid w:val="00E740CB"/>
    <w:rsid w:val="00E740CD"/>
    <w:rsid w:val="00E744AD"/>
    <w:rsid w:val="00E751E2"/>
    <w:rsid w:val="00E8178C"/>
    <w:rsid w:val="00E8194D"/>
    <w:rsid w:val="00E81F16"/>
    <w:rsid w:val="00E85C1C"/>
    <w:rsid w:val="00E861D1"/>
    <w:rsid w:val="00E9073C"/>
    <w:rsid w:val="00E9183A"/>
    <w:rsid w:val="00E91EEE"/>
    <w:rsid w:val="00E9242D"/>
    <w:rsid w:val="00E9327C"/>
    <w:rsid w:val="00E93AB3"/>
    <w:rsid w:val="00E93B03"/>
    <w:rsid w:val="00E93D50"/>
    <w:rsid w:val="00E93FD5"/>
    <w:rsid w:val="00E94121"/>
    <w:rsid w:val="00E9470D"/>
    <w:rsid w:val="00E95ABA"/>
    <w:rsid w:val="00E96DE2"/>
    <w:rsid w:val="00E97331"/>
    <w:rsid w:val="00E97527"/>
    <w:rsid w:val="00E97FD6"/>
    <w:rsid w:val="00EA0D6F"/>
    <w:rsid w:val="00EA1320"/>
    <w:rsid w:val="00EA391B"/>
    <w:rsid w:val="00EA55E8"/>
    <w:rsid w:val="00EB24F8"/>
    <w:rsid w:val="00EB3831"/>
    <w:rsid w:val="00EB5255"/>
    <w:rsid w:val="00EB5A9C"/>
    <w:rsid w:val="00EB5C47"/>
    <w:rsid w:val="00EB7743"/>
    <w:rsid w:val="00EC054B"/>
    <w:rsid w:val="00EC1CCE"/>
    <w:rsid w:val="00EC37C4"/>
    <w:rsid w:val="00EC3E5F"/>
    <w:rsid w:val="00EC443B"/>
    <w:rsid w:val="00EC49BC"/>
    <w:rsid w:val="00EC4A05"/>
    <w:rsid w:val="00EC564E"/>
    <w:rsid w:val="00EC57C5"/>
    <w:rsid w:val="00EC5DE6"/>
    <w:rsid w:val="00EC630A"/>
    <w:rsid w:val="00EC69FB"/>
    <w:rsid w:val="00EC6AF0"/>
    <w:rsid w:val="00EC7181"/>
    <w:rsid w:val="00EC7226"/>
    <w:rsid w:val="00ED0639"/>
    <w:rsid w:val="00ED1B26"/>
    <w:rsid w:val="00ED21BD"/>
    <w:rsid w:val="00ED3008"/>
    <w:rsid w:val="00ED326A"/>
    <w:rsid w:val="00ED3A5E"/>
    <w:rsid w:val="00ED54CF"/>
    <w:rsid w:val="00ED572C"/>
    <w:rsid w:val="00ED61DD"/>
    <w:rsid w:val="00ED64F4"/>
    <w:rsid w:val="00EE0AB4"/>
    <w:rsid w:val="00EE0C96"/>
    <w:rsid w:val="00EE1D53"/>
    <w:rsid w:val="00EE26A5"/>
    <w:rsid w:val="00EE3F4E"/>
    <w:rsid w:val="00EE493E"/>
    <w:rsid w:val="00EE6607"/>
    <w:rsid w:val="00EE7CB3"/>
    <w:rsid w:val="00EF07B0"/>
    <w:rsid w:val="00EF1376"/>
    <w:rsid w:val="00EF24ED"/>
    <w:rsid w:val="00EF2ACC"/>
    <w:rsid w:val="00EF30CF"/>
    <w:rsid w:val="00EF4755"/>
    <w:rsid w:val="00EF6E06"/>
    <w:rsid w:val="00EF6E16"/>
    <w:rsid w:val="00EF7135"/>
    <w:rsid w:val="00F00E76"/>
    <w:rsid w:val="00F027DB"/>
    <w:rsid w:val="00F03891"/>
    <w:rsid w:val="00F03A37"/>
    <w:rsid w:val="00F04EF7"/>
    <w:rsid w:val="00F05477"/>
    <w:rsid w:val="00F05A99"/>
    <w:rsid w:val="00F05C40"/>
    <w:rsid w:val="00F06715"/>
    <w:rsid w:val="00F06FE3"/>
    <w:rsid w:val="00F07D79"/>
    <w:rsid w:val="00F10580"/>
    <w:rsid w:val="00F1084C"/>
    <w:rsid w:val="00F117A2"/>
    <w:rsid w:val="00F13196"/>
    <w:rsid w:val="00F131AD"/>
    <w:rsid w:val="00F13585"/>
    <w:rsid w:val="00F149F5"/>
    <w:rsid w:val="00F14A7A"/>
    <w:rsid w:val="00F165D0"/>
    <w:rsid w:val="00F167F3"/>
    <w:rsid w:val="00F2044C"/>
    <w:rsid w:val="00F20AA0"/>
    <w:rsid w:val="00F20B9C"/>
    <w:rsid w:val="00F2214F"/>
    <w:rsid w:val="00F22985"/>
    <w:rsid w:val="00F22C12"/>
    <w:rsid w:val="00F23739"/>
    <w:rsid w:val="00F23A5E"/>
    <w:rsid w:val="00F23E5B"/>
    <w:rsid w:val="00F2490E"/>
    <w:rsid w:val="00F25A1F"/>
    <w:rsid w:val="00F25E9A"/>
    <w:rsid w:val="00F25EDA"/>
    <w:rsid w:val="00F2649B"/>
    <w:rsid w:val="00F267D1"/>
    <w:rsid w:val="00F269DC"/>
    <w:rsid w:val="00F307A9"/>
    <w:rsid w:val="00F30DD1"/>
    <w:rsid w:val="00F3230A"/>
    <w:rsid w:val="00F32C0D"/>
    <w:rsid w:val="00F32FAE"/>
    <w:rsid w:val="00F336AB"/>
    <w:rsid w:val="00F3383E"/>
    <w:rsid w:val="00F3423D"/>
    <w:rsid w:val="00F346AD"/>
    <w:rsid w:val="00F36560"/>
    <w:rsid w:val="00F36F28"/>
    <w:rsid w:val="00F37733"/>
    <w:rsid w:val="00F40957"/>
    <w:rsid w:val="00F40CE8"/>
    <w:rsid w:val="00F41F55"/>
    <w:rsid w:val="00F437B9"/>
    <w:rsid w:val="00F4492C"/>
    <w:rsid w:val="00F4510F"/>
    <w:rsid w:val="00F45A1A"/>
    <w:rsid w:val="00F45B6B"/>
    <w:rsid w:val="00F45C16"/>
    <w:rsid w:val="00F465A7"/>
    <w:rsid w:val="00F468D1"/>
    <w:rsid w:val="00F46A9B"/>
    <w:rsid w:val="00F46B5F"/>
    <w:rsid w:val="00F47280"/>
    <w:rsid w:val="00F478DB"/>
    <w:rsid w:val="00F50B7C"/>
    <w:rsid w:val="00F5194B"/>
    <w:rsid w:val="00F51CAB"/>
    <w:rsid w:val="00F5283B"/>
    <w:rsid w:val="00F5353E"/>
    <w:rsid w:val="00F53EC5"/>
    <w:rsid w:val="00F544AA"/>
    <w:rsid w:val="00F5495C"/>
    <w:rsid w:val="00F54A8E"/>
    <w:rsid w:val="00F54D4F"/>
    <w:rsid w:val="00F550E6"/>
    <w:rsid w:val="00F55D40"/>
    <w:rsid w:val="00F562EF"/>
    <w:rsid w:val="00F56F05"/>
    <w:rsid w:val="00F615DF"/>
    <w:rsid w:val="00F61721"/>
    <w:rsid w:val="00F633E0"/>
    <w:rsid w:val="00F63E1A"/>
    <w:rsid w:val="00F64F60"/>
    <w:rsid w:val="00F654AC"/>
    <w:rsid w:val="00F66A21"/>
    <w:rsid w:val="00F67F97"/>
    <w:rsid w:val="00F73330"/>
    <w:rsid w:val="00F74295"/>
    <w:rsid w:val="00F74345"/>
    <w:rsid w:val="00F746FF"/>
    <w:rsid w:val="00F75C63"/>
    <w:rsid w:val="00F77FBC"/>
    <w:rsid w:val="00F80A0A"/>
    <w:rsid w:val="00F81438"/>
    <w:rsid w:val="00F81F42"/>
    <w:rsid w:val="00F82B19"/>
    <w:rsid w:val="00F84343"/>
    <w:rsid w:val="00F84666"/>
    <w:rsid w:val="00F8498A"/>
    <w:rsid w:val="00F854AB"/>
    <w:rsid w:val="00F858E5"/>
    <w:rsid w:val="00F85939"/>
    <w:rsid w:val="00F860E5"/>
    <w:rsid w:val="00F872D1"/>
    <w:rsid w:val="00F9144C"/>
    <w:rsid w:val="00F9212D"/>
    <w:rsid w:val="00F9233A"/>
    <w:rsid w:val="00F92475"/>
    <w:rsid w:val="00F948B2"/>
    <w:rsid w:val="00F96260"/>
    <w:rsid w:val="00F965DA"/>
    <w:rsid w:val="00F96743"/>
    <w:rsid w:val="00FA2977"/>
    <w:rsid w:val="00FA406A"/>
    <w:rsid w:val="00FA41C6"/>
    <w:rsid w:val="00FA448E"/>
    <w:rsid w:val="00FA4613"/>
    <w:rsid w:val="00FA4CA0"/>
    <w:rsid w:val="00FA5A40"/>
    <w:rsid w:val="00FA5D78"/>
    <w:rsid w:val="00FA635E"/>
    <w:rsid w:val="00FA6557"/>
    <w:rsid w:val="00FA657B"/>
    <w:rsid w:val="00FA6B95"/>
    <w:rsid w:val="00FA6C82"/>
    <w:rsid w:val="00FA7AB4"/>
    <w:rsid w:val="00FB1551"/>
    <w:rsid w:val="00FB1DAB"/>
    <w:rsid w:val="00FB3AE1"/>
    <w:rsid w:val="00FB3F60"/>
    <w:rsid w:val="00FB503A"/>
    <w:rsid w:val="00FB516C"/>
    <w:rsid w:val="00FB54C3"/>
    <w:rsid w:val="00FB57BC"/>
    <w:rsid w:val="00FB5EF7"/>
    <w:rsid w:val="00FB6A0C"/>
    <w:rsid w:val="00FB6A3C"/>
    <w:rsid w:val="00FB6D76"/>
    <w:rsid w:val="00FB750B"/>
    <w:rsid w:val="00FB767B"/>
    <w:rsid w:val="00FB7B5B"/>
    <w:rsid w:val="00FB7F5A"/>
    <w:rsid w:val="00FC254A"/>
    <w:rsid w:val="00FC2709"/>
    <w:rsid w:val="00FC2890"/>
    <w:rsid w:val="00FC306A"/>
    <w:rsid w:val="00FC3622"/>
    <w:rsid w:val="00FC45DC"/>
    <w:rsid w:val="00FC4984"/>
    <w:rsid w:val="00FC4FDA"/>
    <w:rsid w:val="00FC511B"/>
    <w:rsid w:val="00FC58C9"/>
    <w:rsid w:val="00FC5BDF"/>
    <w:rsid w:val="00FC5C46"/>
    <w:rsid w:val="00FC61AC"/>
    <w:rsid w:val="00FC6AFE"/>
    <w:rsid w:val="00FC7E56"/>
    <w:rsid w:val="00FD0236"/>
    <w:rsid w:val="00FD18F4"/>
    <w:rsid w:val="00FD2025"/>
    <w:rsid w:val="00FD48AE"/>
    <w:rsid w:val="00FD4CA8"/>
    <w:rsid w:val="00FD54DB"/>
    <w:rsid w:val="00FD619F"/>
    <w:rsid w:val="00FD763F"/>
    <w:rsid w:val="00FD7EB8"/>
    <w:rsid w:val="00FE019B"/>
    <w:rsid w:val="00FE08A3"/>
    <w:rsid w:val="00FE0D22"/>
    <w:rsid w:val="00FE1BFD"/>
    <w:rsid w:val="00FE2170"/>
    <w:rsid w:val="00FE28F9"/>
    <w:rsid w:val="00FE3AB2"/>
    <w:rsid w:val="00FE4DC9"/>
    <w:rsid w:val="00FE5613"/>
    <w:rsid w:val="00FE5D25"/>
    <w:rsid w:val="00FE64F0"/>
    <w:rsid w:val="00FE74E2"/>
    <w:rsid w:val="00FF04DD"/>
    <w:rsid w:val="00FF30E4"/>
    <w:rsid w:val="00FF338E"/>
    <w:rsid w:val="00FF514E"/>
    <w:rsid w:val="00FF580E"/>
    <w:rsid w:val="00FF59A6"/>
    <w:rsid w:val="00FF5AAF"/>
    <w:rsid w:val="00FF69B4"/>
    <w:rsid w:val="00FF7B5B"/>
    <w:rsid w:val="01085359"/>
    <w:rsid w:val="012474B3"/>
    <w:rsid w:val="01260E98"/>
    <w:rsid w:val="01290F7E"/>
    <w:rsid w:val="01550E62"/>
    <w:rsid w:val="015D1E09"/>
    <w:rsid w:val="015F31EA"/>
    <w:rsid w:val="01684BD7"/>
    <w:rsid w:val="0172697D"/>
    <w:rsid w:val="01BF64E7"/>
    <w:rsid w:val="01EC594B"/>
    <w:rsid w:val="01FF100F"/>
    <w:rsid w:val="02015977"/>
    <w:rsid w:val="023D0A9A"/>
    <w:rsid w:val="024C4C9D"/>
    <w:rsid w:val="02597C81"/>
    <w:rsid w:val="0261487E"/>
    <w:rsid w:val="02697903"/>
    <w:rsid w:val="0275694E"/>
    <w:rsid w:val="027A449F"/>
    <w:rsid w:val="027A5940"/>
    <w:rsid w:val="028F585C"/>
    <w:rsid w:val="029C6316"/>
    <w:rsid w:val="02AD794C"/>
    <w:rsid w:val="02AF5336"/>
    <w:rsid w:val="02B30079"/>
    <w:rsid w:val="02EB1025"/>
    <w:rsid w:val="02F96569"/>
    <w:rsid w:val="03273714"/>
    <w:rsid w:val="03445B9E"/>
    <w:rsid w:val="034A70C0"/>
    <w:rsid w:val="03585EFD"/>
    <w:rsid w:val="03730222"/>
    <w:rsid w:val="03837DDF"/>
    <w:rsid w:val="0384090E"/>
    <w:rsid w:val="038F1F06"/>
    <w:rsid w:val="03C24EF8"/>
    <w:rsid w:val="03D55029"/>
    <w:rsid w:val="03E074B5"/>
    <w:rsid w:val="03EA7B21"/>
    <w:rsid w:val="03F00713"/>
    <w:rsid w:val="04082A95"/>
    <w:rsid w:val="04354F32"/>
    <w:rsid w:val="04401090"/>
    <w:rsid w:val="046D6BCA"/>
    <w:rsid w:val="046F071C"/>
    <w:rsid w:val="049219F6"/>
    <w:rsid w:val="049A2EF0"/>
    <w:rsid w:val="04B1086F"/>
    <w:rsid w:val="04B54A0D"/>
    <w:rsid w:val="04D11ECC"/>
    <w:rsid w:val="04D471DA"/>
    <w:rsid w:val="04DC01EC"/>
    <w:rsid w:val="05135AD2"/>
    <w:rsid w:val="051D455D"/>
    <w:rsid w:val="056D0831"/>
    <w:rsid w:val="05704F96"/>
    <w:rsid w:val="05711FC6"/>
    <w:rsid w:val="05A90F66"/>
    <w:rsid w:val="05B84E6C"/>
    <w:rsid w:val="05C11DDA"/>
    <w:rsid w:val="05F83EAE"/>
    <w:rsid w:val="060F6C5E"/>
    <w:rsid w:val="063E7D85"/>
    <w:rsid w:val="06481AA3"/>
    <w:rsid w:val="06521E7B"/>
    <w:rsid w:val="065435CD"/>
    <w:rsid w:val="06601D86"/>
    <w:rsid w:val="0661081A"/>
    <w:rsid w:val="068C61B3"/>
    <w:rsid w:val="06B61825"/>
    <w:rsid w:val="06BC2E80"/>
    <w:rsid w:val="06C946B6"/>
    <w:rsid w:val="06EB7711"/>
    <w:rsid w:val="06EC58AA"/>
    <w:rsid w:val="06F22929"/>
    <w:rsid w:val="07293586"/>
    <w:rsid w:val="07295285"/>
    <w:rsid w:val="072A58CE"/>
    <w:rsid w:val="07563646"/>
    <w:rsid w:val="07636392"/>
    <w:rsid w:val="07683FAC"/>
    <w:rsid w:val="07744F6C"/>
    <w:rsid w:val="07770C56"/>
    <w:rsid w:val="07983AA5"/>
    <w:rsid w:val="07A555FA"/>
    <w:rsid w:val="07A62D33"/>
    <w:rsid w:val="07B05960"/>
    <w:rsid w:val="07B34496"/>
    <w:rsid w:val="07BD3DF2"/>
    <w:rsid w:val="07C35693"/>
    <w:rsid w:val="07CB6FD3"/>
    <w:rsid w:val="07D9003F"/>
    <w:rsid w:val="07E25BDA"/>
    <w:rsid w:val="07F016AE"/>
    <w:rsid w:val="08002D81"/>
    <w:rsid w:val="081E6D6D"/>
    <w:rsid w:val="08317A50"/>
    <w:rsid w:val="084957D0"/>
    <w:rsid w:val="084F7F1C"/>
    <w:rsid w:val="088137CD"/>
    <w:rsid w:val="088A3A2E"/>
    <w:rsid w:val="08935065"/>
    <w:rsid w:val="08AC4379"/>
    <w:rsid w:val="08D2146C"/>
    <w:rsid w:val="08DF0A7E"/>
    <w:rsid w:val="092217DD"/>
    <w:rsid w:val="093A7294"/>
    <w:rsid w:val="094F0261"/>
    <w:rsid w:val="09624DFD"/>
    <w:rsid w:val="09672FD8"/>
    <w:rsid w:val="098D336D"/>
    <w:rsid w:val="098E3A7F"/>
    <w:rsid w:val="09905A49"/>
    <w:rsid w:val="09A45766"/>
    <w:rsid w:val="09A90544"/>
    <w:rsid w:val="09B47989"/>
    <w:rsid w:val="09BB1EC3"/>
    <w:rsid w:val="09C63218"/>
    <w:rsid w:val="09CB082F"/>
    <w:rsid w:val="09CE7149"/>
    <w:rsid w:val="09D41DD9"/>
    <w:rsid w:val="09DB66E8"/>
    <w:rsid w:val="09E91593"/>
    <w:rsid w:val="0A082B55"/>
    <w:rsid w:val="0A154A3D"/>
    <w:rsid w:val="0A24735D"/>
    <w:rsid w:val="0A263993"/>
    <w:rsid w:val="0A2D3AC2"/>
    <w:rsid w:val="0A432ABB"/>
    <w:rsid w:val="0A4725AB"/>
    <w:rsid w:val="0A600C3E"/>
    <w:rsid w:val="0A62736D"/>
    <w:rsid w:val="0A661523"/>
    <w:rsid w:val="0A8349B3"/>
    <w:rsid w:val="0A9C532B"/>
    <w:rsid w:val="0A9D3FEC"/>
    <w:rsid w:val="0AA755DF"/>
    <w:rsid w:val="0AAF0151"/>
    <w:rsid w:val="0ABA1F25"/>
    <w:rsid w:val="0AC7526F"/>
    <w:rsid w:val="0ADD60BD"/>
    <w:rsid w:val="0AE77B03"/>
    <w:rsid w:val="0AE860B3"/>
    <w:rsid w:val="0AF04137"/>
    <w:rsid w:val="0B0E4D2E"/>
    <w:rsid w:val="0B120D44"/>
    <w:rsid w:val="0B4B7455"/>
    <w:rsid w:val="0B5200CB"/>
    <w:rsid w:val="0B5611E6"/>
    <w:rsid w:val="0B5C00BE"/>
    <w:rsid w:val="0B5F061C"/>
    <w:rsid w:val="0B78142E"/>
    <w:rsid w:val="0B7D6A46"/>
    <w:rsid w:val="0B7F3FC7"/>
    <w:rsid w:val="0B911C5A"/>
    <w:rsid w:val="0B957356"/>
    <w:rsid w:val="0BA94D51"/>
    <w:rsid w:val="0BAD75C7"/>
    <w:rsid w:val="0BC0135E"/>
    <w:rsid w:val="0BC25C28"/>
    <w:rsid w:val="0BD27BF6"/>
    <w:rsid w:val="0BD7795F"/>
    <w:rsid w:val="0C1C2136"/>
    <w:rsid w:val="0C27036A"/>
    <w:rsid w:val="0C3966AE"/>
    <w:rsid w:val="0C3B3C7D"/>
    <w:rsid w:val="0C917B0E"/>
    <w:rsid w:val="0CA86F7C"/>
    <w:rsid w:val="0CAB2EAE"/>
    <w:rsid w:val="0CD06EA4"/>
    <w:rsid w:val="0D007A8C"/>
    <w:rsid w:val="0D2070E4"/>
    <w:rsid w:val="0D307445"/>
    <w:rsid w:val="0D435214"/>
    <w:rsid w:val="0D5A10BF"/>
    <w:rsid w:val="0D5F07AD"/>
    <w:rsid w:val="0D621C7D"/>
    <w:rsid w:val="0D621EB2"/>
    <w:rsid w:val="0D702374"/>
    <w:rsid w:val="0D887618"/>
    <w:rsid w:val="0D940B92"/>
    <w:rsid w:val="0DA9532B"/>
    <w:rsid w:val="0DAF5EBC"/>
    <w:rsid w:val="0DB62A40"/>
    <w:rsid w:val="0DD715A1"/>
    <w:rsid w:val="0DF624EE"/>
    <w:rsid w:val="0E034E8B"/>
    <w:rsid w:val="0E117AB6"/>
    <w:rsid w:val="0E1D2D5C"/>
    <w:rsid w:val="0E4E4176"/>
    <w:rsid w:val="0E6F4BE5"/>
    <w:rsid w:val="0E73034D"/>
    <w:rsid w:val="0E7870DF"/>
    <w:rsid w:val="0E8551EA"/>
    <w:rsid w:val="0E972C28"/>
    <w:rsid w:val="0EAF6971"/>
    <w:rsid w:val="0EB4067C"/>
    <w:rsid w:val="0ED5074E"/>
    <w:rsid w:val="0EEF4FBF"/>
    <w:rsid w:val="0EF20DEB"/>
    <w:rsid w:val="0EF25D42"/>
    <w:rsid w:val="0F016520"/>
    <w:rsid w:val="0F0630A4"/>
    <w:rsid w:val="0F13775A"/>
    <w:rsid w:val="0F283F6B"/>
    <w:rsid w:val="0F2C6849"/>
    <w:rsid w:val="0F355089"/>
    <w:rsid w:val="0F4470B9"/>
    <w:rsid w:val="0F5F45FE"/>
    <w:rsid w:val="0F6D0931"/>
    <w:rsid w:val="0F9A112B"/>
    <w:rsid w:val="0F9A2BDA"/>
    <w:rsid w:val="0FAB0EE6"/>
    <w:rsid w:val="0FAD77D3"/>
    <w:rsid w:val="0FBA78C9"/>
    <w:rsid w:val="0FED70A4"/>
    <w:rsid w:val="0FF641BF"/>
    <w:rsid w:val="100475CB"/>
    <w:rsid w:val="102C1BFF"/>
    <w:rsid w:val="1031589E"/>
    <w:rsid w:val="106D2F64"/>
    <w:rsid w:val="107A6B0B"/>
    <w:rsid w:val="107D6195"/>
    <w:rsid w:val="107F4121"/>
    <w:rsid w:val="1091148D"/>
    <w:rsid w:val="10B63710"/>
    <w:rsid w:val="10B9168F"/>
    <w:rsid w:val="10BB6363"/>
    <w:rsid w:val="10D52691"/>
    <w:rsid w:val="10E67EE9"/>
    <w:rsid w:val="10F10820"/>
    <w:rsid w:val="11103D78"/>
    <w:rsid w:val="111C2F7A"/>
    <w:rsid w:val="11366792"/>
    <w:rsid w:val="113E1CC3"/>
    <w:rsid w:val="114C04A7"/>
    <w:rsid w:val="11537A88"/>
    <w:rsid w:val="11665CA1"/>
    <w:rsid w:val="116E2B13"/>
    <w:rsid w:val="11880D92"/>
    <w:rsid w:val="11AE2EBA"/>
    <w:rsid w:val="11B402B9"/>
    <w:rsid w:val="11C05467"/>
    <w:rsid w:val="11EB6FBC"/>
    <w:rsid w:val="12154D3D"/>
    <w:rsid w:val="121A2578"/>
    <w:rsid w:val="121A7D7B"/>
    <w:rsid w:val="121B7B76"/>
    <w:rsid w:val="121D66FA"/>
    <w:rsid w:val="121F3E0E"/>
    <w:rsid w:val="121F73A7"/>
    <w:rsid w:val="122C2DA7"/>
    <w:rsid w:val="123320CE"/>
    <w:rsid w:val="12631F4C"/>
    <w:rsid w:val="126349D4"/>
    <w:rsid w:val="126F1ED4"/>
    <w:rsid w:val="12876A9A"/>
    <w:rsid w:val="128A2F77"/>
    <w:rsid w:val="12952B5D"/>
    <w:rsid w:val="12A24A33"/>
    <w:rsid w:val="12B2341C"/>
    <w:rsid w:val="12C100FF"/>
    <w:rsid w:val="12CD1C1F"/>
    <w:rsid w:val="12D15E15"/>
    <w:rsid w:val="12D86C76"/>
    <w:rsid w:val="12E30CE4"/>
    <w:rsid w:val="12F909BE"/>
    <w:rsid w:val="130418FB"/>
    <w:rsid w:val="132536A6"/>
    <w:rsid w:val="132F62D2"/>
    <w:rsid w:val="13302065"/>
    <w:rsid w:val="13353C47"/>
    <w:rsid w:val="133E45EE"/>
    <w:rsid w:val="134862F8"/>
    <w:rsid w:val="134A5ADE"/>
    <w:rsid w:val="1352643C"/>
    <w:rsid w:val="1360422A"/>
    <w:rsid w:val="136102DC"/>
    <w:rsid w:val="13685340"/>
    <w:rsid w:val="136A10B9"/>
    <w:rsid w:val="137F1EEA"/>
    <w:rsid w:val="13833E5A"/>
    <w:rsid w:val="13877D68"/>
    <w:rsid w:val="13951726"/>
    <w:rsid w:val="139639B4"/>
    <w:rsid w:val="13A06CE3"/>
    <w:rsid w:val="13AA0E0A"/>
    <w:rsid w:val="13BA4EE0"/>
    <w:rsid w:val="14232746"/>
    <w:rsid w:val="14276593"/>
    <w:rsid w:val="14396509"/>
    <w:rsid w:val="143E0B20"/>
    <w:rsid w:val="144B0EEA"/>
    <w:rsid w:val="147606B1"/>
    <w:rsid w:val="148E7118"/>
    <w:rsid w:val="1490288B"/>
    <w:rsid w:val="14A15BC3"/>
    <w:rsid w:val="14BD1B85"/>
    <w:rsid w:val="14DD2C3C"/>
    <w:rsid w:val="14E42E7E"/>
    <w:rsid w:val="15143AEE"/>
    <w:rsid w:val="1547660E"/>
    <w:rsid w:val="155313A6"/>
    <w:rsid w:val="159E63F8"/>
    <w:rsid w:val="15A146F3"/>
    <w:rsid w:val="15AA4C48"/>
    <w:rsid w:val="15CB2A6F"/>
    <w:rsid w:val="15CF2BF3"/>
    <w:rsid w:val="15D867AD"/>
    <w:rsid w:val="15F20809"/>
    <w:rsid w:val="16070E41"/>
    <w:rsid w:val="16087E1D"/>
    <w:rsid w:val="160F0208"/>
    <w:rsid w:val="1620267D"/>
    <w:rsid w:val="162F62AD"/>
    <w:rsid w:val="16346649"/>
    <w:rsid w:val="16380587"/>
    <w:rsid w:val="1646345B"/>
    <w:rsid w:val="16496980"/>
    <w:rsid w:val="165374E2"/>
    <w:rsid w:val="16782630"/>
    <w:rsid w:val="168129A1"/>
    <w:rsid w:val="16A21FFE"/>
    <w:rsid w:val="16A544BA"/>
    <w:rsid w:val="16B03F2E"/>
    <w:rsid w:val="16FB3A86"/>
    <w:rsid w:val="17022170"/>
    <w:rsid w:val="17117773"/>
    <w:rsid w:val="17212A37"/>
    <w:rsid w:val="17301819"/>
    <w:rsid w:val="17326217"/>
    <w:rsid w:val="174C1C11"/>
    <w:rsid w:val="17635B4A"/>
    <w:rsid w:val="176919EC"/>
    <w:rsid w:val="17701D14"/>
    <w:rsid w:val="17735226"/>
    <w:rsid w:val="17AF02DF"/>
    <w:rsid w:val="17C929A0"/>
    <w:rsid w:val="17DB67AF"/>
    <w:rsid w:val="17F73498"/>
    <w:rsid w:val="17F80176"/>
    <w:rsid w:val="18155A97"/>
    <w:rsid w:val="18202482"/>
    <w:rsid w:val="18292AD1"/>
    <w:rsid w:val="182E7727"/>
    <w:rsid w:val="1838211B"/>
    <w:rsid w:val="1840063A"/>
    <w:rsid w:val="18657D26"/>
    <w:rsid w:val="18953B09"/>
    <w:rsid w:val="189F624C"/>
    <w:rsid w:val="18AF1115"/>
    <w:rsid w:val="18B56A0D"/>
    <w:rsid w:val="18E4058A"/>
    <w:rsid w:val="18E65685"/>
    <w:rsid w:val="18F76053"/>
    <w:rsid w:val="190C33E5"/>
    <w:rsid w:val="191C74A2"/>
    <w:rsid w:val="19212B7E"/>
    <w:rsid w:val="19287C60"/>
    <w:rsid w:val="1940162C"/>
    <w:rsid w:val="19401D09"/>
    <w:rsid w:val="198A6011"/>
    <w:rsid w:val="198D52F2"/>
    <w:rsid w:val="19900F58"/>
    <w:rsid w:val="199C5535"/>
    <w:rsid w:val="19AA773C"/>
    <w:rsid w:val="19AB11B0"/>
    <w:rsid w:val="19B94C70"/>
    <w:rsid w:val="19E25E4D"/>
    <w:rsid w:val="19EC4323"/>
    <w:rsid w:val="1A1C66C0"/>
    <w:rsid w:val="1A204B57"/>
    <w:rsid w:val="1A2E4350"/>
    <w:rsid w:val="1A3D1F3A"/>
    <w:rsid w:val="1A3D50BC"/>
    <w:rsid w:val="1A420699"/>
    <w:rsid w:val="1A42393B"/>
    <w:rsid w:val="1A4C5C06"/>
    <w:rsid w:val="1A4C6593"/>
    <w:rsid w:val="1A7F3A79"/>
    <w:rsid w:val="1AAD45DE"/>
    <w:rsid w:val="1AC07336"/>
    <w:rsid w:val="1AC9700C"/>
    <w:rsid w:val="1AD35658"/>
    <w:rsid w:val="1ADF649B"/>
    <w:rsid w:val="1B041DF3"/>
    <w:rsid w:val="1B046F80"/>
    <w:rsid w:val="1B11615D"/>
    <w:rsid w:val="1B3267B5"/>
    <w:rsid w:val="1B40161D"/>
    <w:rsid w:val="1B441859"/>
    <w:rsid w:val="1B520DB0"/>
    <w:rsid w:val="1B544879"/>
    <w:rsid w:val="1B5E6FDB"/>
    <w:rsid w:val="1B656D35"/>
    <w:rsid w:val="1B6606B1"/>
    <w:rsid w:val="1B701964"/>
    <w:rsid w:val="1B750230"/>
    <w:rsid w:val="1BB32AA3"/>
    <w:rsid w:val="1BCD6F54"/>
    <w:rsid w:val="1BD940F0"/>
    <w:rsid w:val="1BDB05E7"/>
    <w:rsid w:val="1C0F0A4F"/>
    <w:rsid w:val="1C102CB1"/>
    <w:rsid w:val="1C1E773A"/>
    <w:rsid w:val="1C2007D6"/>
    <w:rsid w:val="1C2B0014"/>
    <w:rsid w:val="1C33613C"/>
    <w:rsid w:val="1C4D5933"/>
    <w:rsid w:val="1C4E5C08"/>
    <w:rsid w:val="1C5005DA"/>
    <w:rsid w:val="1C533A14"/>
    <w:rsid w:val="1C5E7925"/>
    <w:rsid w:val="1C7865F4"/>
    <w:rsid w:val="1C7951E5"/>
    <w:rsid w:val="1C7F2325"/>
    <w:rsid w:val="1C7F5F43"/>
    <w:rsid w:val="1C8F1DE9"/>
    <w:rsid w:val="1C935D43"/>
    <w:rsid w:val="1C9931E8"/>
    <w:rsid w:val="1CAB55F2"/>
    <w:rsid w:val="1CCB0E1A"/>
    <w:rsid w:val="1CF11409"/>
    <w:rsid w:val="1CFD070F"/>
    <w:rsid w:val="1D180DB3"/>
    <w:rsid w:val="1D2F7878"/>
    <w:rsid w:val="1D38692C"/>
    <w:rsid w:val="1D3B6992"/>
    <w:rsid w:val="1D5F6196"/>
    <w:rsid w:val="1D6132A5"/>
    <w:rsid w:val="1D841510"/>
    <w:rsid w:val="1D8E56D5"/>
    <w:rsid w:val="1D995C59"/>
    <w:rsid w:val="1DF20628"/>
    <w:rsid w:val="1E014118"/>
    <w:rsid w:val="1E067EA2"/>
    <w:rsid w:val="1E1229CF"/>
    <w:rsid w:val="1E180143"/>
    <w:rsid w:val="1E3C1302"/>
    <w:rsid w:val="1E4F42A3"/>
    <w:rsid w:val="1E5C0E55"/>
    <w:rsid w:val="1E7A43DA"/>
    <w:rsid w:val="1EA77AA6"/>
    <w:rsid w:val="1EB243EC"/>
    <w:rsid w:val="1EB51D82"/>
    <w:rsid w:val="1EB53A3B"/>
    <w:rsid w:val="1EB943F0"/>
    <w:rsid w:val="1ED67978"/>
    <w:rsid w:val="1EFB5963"/>
    <w:rsid w:val="1F0D7B8E"/>
    <w:rsid w:val="1F1B3C66"/>
    <w:rsid w:val="1F1C57A0"/>
    <w:rsid w:val="1F2667DB"/>
    <w:rsid w:val="1F332CA6"/>
    <w:rsid w:val="1F334E72"/>
    <w:rsid w:val="1F3507CD"/>
    <w:rsid w:val="1F366BDC"/>
    <w:rsid w:val="1F41488C"/>
    <w:rsid w:val="1FA13BA7"/>
    <w:rsid w:val="1FC138EB"/>
    <w:rsid w:val="1FC3402A"/>
    <w:rsid w:val="1FDC62F1"/>
    <w:rsid w:val="1FE7539E"/>
    <w:rsid w:val="1FF770FA"/>
    <w:rsid w:val="203E5AED"/>
    <w:rsid w:val="204F3F06"/>
    <w:rsid w:val="2051655C"/>
    <w:rsid w:val="20671BE0"/>
    <w:rsid w:val="207B66E9"/>
    <w:rsid w:val="2083631B"/>
    <w:rsid w:val="20922EFC"/>
    <w:rsid w:val="20963CB8"/>
    <w:rsid w:val="20967902"/>
    <w:rsid w:val="20983709"/>
    <w:rsid w:val="209D10C0"/>
    <w:rsid w:val="20A81A1B"/>
    <w:rsid w:val="20AF17DC"/>
    <w:rsid w:val="20B07FB6"/>
    <w:rsid w:val="20B646FB"/>
    <w:rsid w:val="20BC0618"/>
    <w:rsid w:val="20DE417A"/>
    <w:rsid w:val="20DE6F87"/>
    <w:rsid w:val="20E347B5"/>
    <w:rsid w:val="210E7527"/>
    <w:rsid w:val="213B74B1"/>
    <w:rsid w:val="215055AD"/>
    <w:rsid w:val="215A2310"/>
    <w:rsid w:val="215F564B"/>
    <w:rsid w:val="21923BD4"/>
    <w:rsid w:val="219A6215"/>
    <w:rsid w:val="21BC0F7B"/>
    <w:rsid w:val="21CB5418"/>
    <w:rsid w:val="21DE318A"/>
    <w:rsid w:val="21EF5B80"/>
    <w:rsid w:val="21FB0860"/>
    <w:rsid w:val="22075EF4"/>
    <w:rsid w:val="2231321A"/>
    <w:rsid w:val="223F73A7"/>
    <w:rsid w:val="22576990"/>
    <w:rsid w:val="22604322"/>
    <w:rsid w:val="226D0F69"/>
    <w:rsid w:val="22833F45"/>
    <w:rsid w:val="22893125"/>
    <w:rsid w:val="228C347A"/>
    <w:rsid w:val="229554D0"/>
    <w:rsid w:val="229634D6"/>
    <w:rsid w:val="22AB2E93"/>
    <w:rsid w:val="22BC7C40"/>
    <w:rsid w:val="22D05356"/>
    <w:rsid w:val="22D65F3D"/>
    <w:rsid w:val="22D87DED"/>
    <w:rsid w:val="22F47480"/>
    <w:rsid w:val="230C5CD0"/>
    <w:rsid w:val="231B5F2B"/>
    <w:rsid w:val="23224887"/>
    <w:rsid w:val="23230C67"/>
    <w:rsid w:val="23353491"/>
    <w:rsid w:val="233E4421"/>
    <w:rsid w:val="23502079"/>
    <w:rsid w:val="237A2794"/>
    <w:rsid w:val="23800E4B"/>
    <w:rsid w:val="2382616D"/>
    <w:rsid w:val="23975C16"/>
    <w:rsid w:val="23A21E4A"/>
    <w:rsid w:val="23A47EFD"/>
    <w:rsid w:val="23AA2055"/>
    <w:rsid w:val="23C977F5"/>
    <w:rsid w:val="23DE1C48"/>
    <w:rsid w:val="23ED4D26"/>
    <w:rsid w:val="23FE67A1"/>
    <w:rsid w:val="240210CD"/>
    <w:rsid w:val="2422476F"/>
    <w:rsid w:val="245122E0"/>
    <w:rsid w:val="24613A0A"/>
    <w:rsid w:val="24615EB7"/>
    <w:rsid w:val="249322C3"/>
    <w:rsid w:val="24B340FF"/>
    <w:rsid w:val="24BF09F7"/>
    <w:rsid w:val="24C730ED"/>
    <w:rsid w:val="24D04E2D"/>
    <w:rsid w:val="24F52BCE"/>
    <w:rsid w:val="24FD6368"/>
    <w:rsid w:val="25191C8F"/>
    <w:rsid w:val="251A298B"/>
    <w:rsid w:val="252D53FE"/>
    <w:rsid w:val="254870AB"/>
    <w:rsid w:val="255816B9"/>
    <w:rsid w:val="25783B09"/>
    <w:rsid w:val="258E3989"/>
    <w:rsid w:val="25B81A50"/>
    <w:rsid w:val="25CC083F"/>
    <w:rsid w:val="25D52BD2"/>
    <w:rsid w:val="25EC2D81"/>
    <w:rsid w:val="25FF0D86"/>
    <w:rsid w:val="260B2C7F"/>
    <w:rsid w:val="26145438"/>
    <w:rsid w:val="26217CFD"/>
    <w:rsid w:val="265931FE"/>
    <w:rsid w:val="26733303"/>
    <w:rsid w:val="267E11B9"/>
    <w:rsid w:val="26CA23F3"/>
    <w:rsid w:val="26E451EB"/>
    <w:rsid w:val="27043568"/>
    <w:rsid w:val="270D6572"/>
    <w:rsid w:val="272507DA"/>
    <w:rsid w:val="272A2C46"/>
    <w:rsid w:val="275D6B12"/>
    <w:rsid w:val="277057A2"/>
    <w:rsid w:val="27750300"/>
    <w:rsid w:val="2784011D"/>
    <w:rsid w:val="278A2995"/>
    <w:rsid w:val="27916F86"/>
    <w:rsid w:val="27980AE7"/>
    <w:rsid w:val="27CC1784"/>
    <w:rsid w:val="27F9270E"/>
    <w:rsid w:val="28064BFD"/>
    <w:rsid w:val="280E20B1"/>
    <w:rsid w:val="282C5937"/>
    <w:rsid w:val="283C101F"/>
    <w:rsid w:val="28413A52"/>
    <w:rsid w:val="284853A6"/>
    <w:rsid w:val="28912E8B"/>
    <w:rsid w:val="28916C87"/>
    <w:rsid w:val="28AB7C47"/>
    <w:rsid w:val="28AD6F73"/>
    <w:rsid w:val="28B13163"/>
    <w:rsid w:val="28BC4368"/>
    <w:rsid w:val="28D728F5"/>
    <w:rsid w:val="28E451F3"/>
    <w:rsid w:val="291460E6"/>
    <w:rsid w:val="29206EB8"/>
    <w:rsid w:val="292C2C40"/>
    <w:rsid w:val="29380D9A"/>
    <w:rsid w:val="293F4C9D"/>
    <w:rsid w:val="29595666"/>
    <w:rsid w:val="29597E2E"/>
    <w:rsid w:val="29814537"/>
    <w:rsid w:val="29874881"/>
    <w:rsid w:val="29995DFC"/>
    <w:rsid w:val="29A27376"/>
    <w:rsid w:val="29B436E6"/>
    <w:rsid w:val="29C35832"/>
    <w:rsid w:val="29C56BF1"/>
    <w:rsid w:val="29E325E0"/>
    <w:rsid w:val="29E8707C"/>
    <w:rsid w:val="29E92F3E"/>
    <w:rsid w:val="29F54F3D"/>
    <w:rsid w:val="2A07545B"/>
    <w:rsid w:val="2A1C2CB5"/>
    <w:rsid w:val="2A427053"/>
    <w:rsid w:val="2A452503"/>
    <w:rsid w:val="2A4C0099"/>
    <w:rsid w:val="2A5D23D8"/>
    <w:rsid w:val="2A8E505C"/>
    <w:rsid w:val="2AA812A3"/>
    <w:rsid w:val="2AAB2A6E"/>
    <w:rsid w:val="2AB06EE0"/>
    <w:rsid w:val="2AC669CE"/>
    <w:rsid w:val="2AE525F6"/>
    <w:rsid w:val="2AE60513"/>
    <w:rsid w:val="2AF82118"/>
    <w:rsid w:val="2B163BA8"/>
    <w:rsid w:val="2B185FF2"/>
    <w:rsid w:val="2B1F67FB"/>
    <w:rsid w:val="2B26554D"/>
    <w:rsid w:val="2B425501"/>
    <w:rsid w:val="2B5B1275"/>
    <w:rsid w:val="2B665DDA"/>
    <w:rsid w:val="2B75067B"/>
    <w:rsid w:val="2B8011EE"/>
    <w:rsid w:val="2B9D2C57"/>
    <w:rsid w:val="2BA936A8"/>
    <w:rsid w:val="2BCD2CB1"/>
    <w:rsid w:val="2BD73559"/>
    <w:rsid w:val="2BDE1668"/>
    <w:rsid w:val="2BF3691F"/>
    <w:rsid w:val="2BF612E4"/>
    <w:rsid w:val="2BFE55A0"/>
    <w:rsid w:val="2BFF5AEB"/>
    <w:rsid w:val="2C0B13DF"/>
    <w:rsid w:val="2C1F30BB"/>
    <w:rsid w:val="2C275411"/>
    <w:rsid w:val="2C315A5A"/>
    <w:rsid w:val="2C4209CD"/>
    <w:rsid w:val="2C424D25"/>
    <w:rsid w:val="2C435843"/>
    <w:rsid w:val="2C4B1C25"/>
    <w:rsid w:val="2C5524AE"/>
    <w:rsid w:val="2C59672B"/>
    <w:rsid w:val="2C5E592A"/>
    <w:rsid w:val="2C806C32"/>
    <w:rsid w:val="2C890382"/>
    <w:rsid w:val="2C8F236C"/>
    <w:rsid w:val="2CA3220E"/>
    <w:rsid w:val="2CEA709A"/>
    <w:rsid w:val="2D03492C"/>
    <w:rsid w:val="2D19487E"/>
    <w:rsid w:val="2D292DDF"/>
    <w:rsid w:val="2D393060"/>
    <w:rsid w:val="2D516B91"/>
    <w:rsid w:val="2D836140"/>
    <w:rsid w:val="2D8F7F69"/>
    <w:rsid w:val="2D9E56F5"/>
    <w:rsid w:val="2DAA44B6"/>
    <w:rsid w:val="2DB06F8C"/>
    <w:rsid w:val="2DB836E0"/>
    <w:rsid w:val="2DD24766"/>
    <w:rsid w:val="2DD71208"/>
    <w:rsid w:val="2DE0224B"/>
    <w:rsid w:val="2DEA43C8"/>
    <w:rsid w:val="2DF003CA"/>
    <w:rsid w:val="2E041312"/>
    <w:rsid w:val="2E094E31"/>
    <w:rsid w:val="2E0B6978"/>
    <w:rsid w:val="2E122CEB"/>
    <w:rsid w:val="2E151EC5"/>
    <w:rsid w:val="2E2E5CC6"/>
    <w:rsid w:val="2E401AA1"/>
    <w:rsid w:val="2E513149"/>
    <w:rsid w:val="2E667F96"/>
    <w:rsid w:val="2E8226AB"/>
    <w:rsid w:val="2E86593C"/>
    <w:rsid w:val="2E877B08"/>
    <w:rsid w:val="2EBA6FF7"/>
    <w:rsid w:val="2EC13E2B"/>
    <w:rsid w:val="2EC56D0A"/>
    <w:rsid w:val="2ED578D6"/>
    <w:rsid w:val="2EEF0908"/>
    <w:rsid w:val="2EFA1764"/>
    <w:rsid w:val="2F06139B"/>
    <w:rsid w:val="2F187ED9"/>
    <w:rsid w:val="2F2246E4"/>
    <w:rsid w:val="2F2D6701"/>
    <w:rsid w:val="2F2F5256"/>
    <w:rsid w:val="2F30323C"/>
    <w:rsid w:val="2F44319E"/>
    <w:rsid w:val="2F496A64"/>
    <w:rsid w:val="2F53608E"/>
    <w:rsid w:val="2FB96760"/>
    <w:rsid w:val="2FC703C2"/>
    <w:rsid w:val="2FD065E6"/>
    <w:rsid w:val="2FD96870"/>
    <w:rsid w:val="2FE4155D"/>
    <w:rsid w:val="2FE71157"/>
    <w:rsid w:val="300D4E4E"/>
    <w:rsid w:val="30405223"/>
    <w:rsid w:val="30580BC9"/>
    <w:rsid w:val="30702448"/>
    <w:rsid w:val="307D47F6"/>
    <w:rsid w:val="3085773D"/>
    <w:rsid w:val="3099298C"/>
    <w:rsid w:val="30C156B8"/>
    <w:rsid w:val="30EF2D8B"/>
    <w:rsid w:val="311D3F2D"/>
    <w:rsid w:val="311D6283"/>
    <w:rsid w:val="311E2ED7"/>
    <w:rsid w:val="311F0CDA"/>
    <w:rsid w:val="31223AF2"/>
    <w:rsid w:val="313A54E1"/>
    <w:rsid w:val="315619EE"/>
    <w:rsid w:val="315C449C"/>
    <w:rsid w:val="31603DCF"/>
    <w:rsid w:val="318E0F3F"/>
    <w:rsid w:val="319971C3"/>
    <w:rsid w:val="319D696C"/>
    <w:rsid w:val="31B82709"/>
    <w:rsid w:val="31BB5878"/>
    <w:rsid w:val="31D05482"/>
    <w:rsid w:val="31DE740F"/>
    <w:rsid w:val="31FB6FAE"/>
    <w:rsid w:val="32080822"/>
    <w:rsid w:val="322E4167"/>
    <w:rsid w:val="32400B34"/>
    <w:rsid w:val="32497215"/>
    <w:rsid w:val="324A3BD2"/>
    <w:rsid w:val="32630D3F"/>
    <w:rsid w:val="326E2F4F"/>
    <w:rsid w:val="328A09D8"/>
    <w:rsid w:val="328F4C8D"/>
    <w:rsid w:val="329E6876"/>
    <w:rsid w:val="32A25D21"/>
    <w:rsid w:val="32B36180"/>
    <w:rsid w:val="32CC0FF0"/>
    <w:rsid w:val="32CC75C0"/>
    <w:rsid w:val="32FE467A"/>
    <w:rsid w:val="333015F2"/>
    <w:rsid w:val="333D5880"/>
    <w:rsid w:val="33482D6D"/>
    <w:rsid w:val="334B6320"/>
    <w:rsid w:val="335707F5"/>
    <w:rsid w:val="3373241A"/>
    <w:rsid w:val="338B3355"/>
    <w:rsid w:val="3395496B"/>
    <w:rsid w:val="339733AC"/>
    <w:rsid w:val="33B26CF6"/>
    <w:rsid w:val="33C91787"/>
    <w:rsid w:val="33D934D4"/>
    <w:rsid w:val="33E270D0"/>
    <w:rsid w:val="33ED10C2"/>
    <w:rsid w:val="33FD1C9C"/>
    <w:rsid w:val="33FE2F6A"/>
    <w:rsid w:val="340E07E5"/>
    <w:rsid w:val="341D070F"/>
    <w:rsid w:val="341F26FD"/>
    <w:rsid w:val="34235BF7"/>
    <w:rsid w:val="342B06AB"/>
    <w:rsid w:val="34A13F53"/>
    <w:rsid w:val="34C600A5"/>
    <w:rsid w:val="34CE0C2E"/>
    <w:rsid w:val="34D74646"/>
    <w:rsid w:val="34E4691F"/>
    <w:rsid w:val="34FD3AFE"/>
    <w:rsid w:val="35066A3B"/>
    <w:rsid w:val="3509785A"/>
    <w:rsid w:val="352F09E2"/>
    <w:rsid w:val="35571645"/>
    <w:rsid w:val="355E3791"/>
    <w:rsid w:val="356B7202"/>
    <w:rsid w:val="356C0FDE"/>
    <w:rsid w:val="35857B66"/>
    <w:rsid w:val="358A766C"/>
    <w:rsid w:val="358C5FA8"/>
    <w:rsid w:val="358D6B46"/>
    <w:rsid w:val="359004A9"/>
    <w:rsid w:val="35955926"/>
    <w:rsid w:val="359E7152"/>
    <w:rsid w:val="35A14836"/>
    <w:rsid w:val="35AC638C"/>
    <w:rsid w:val="35B712C8"/>
    <w:rsid w:val="35C12962"/>
    <w:rsid w:val="35C15DF1"/>
    <w:rsid w:val="35F159AF"/>
    <w:rsid w:val="35FC6EBC"/>
    <w:rsid w:val="36074A7F"/>
    <w:rsid w:val="36177C25"/>
    <w:rsid w:val="362B427C"/>
    <w:rsid w:val="36315AC8"/>
    <w:rsid w:val="36403B04"/>
    <w:rsid w:val="364A67EB"/>
    <w:rsid w:val="364C1F39"/>
    <w:rsid w:val="36923549"/>
    <w:rsid w:val="36B75FBF"/>
    <w:rsid w:val="36BD0C45"/>
    <w:rsid w:val="36BD0C9D"/>
    <w:rsid w:val="36D44556"/>
    <w:rsid w:val="36D451CC"/>
    <w:rsid w:val="36D72D3D"/>
    <w:rsid w:val="36E279BE"/>
    <w:rsid w:val="36EF77E7"/>
    <w:rsid w:val="36FA05CD"/>
    <w:rsid w:val="36FA437E"/>
    <w:rsid w:val="372569F2"/>
    <w:rsid w:val="3726400D"/>
    <w:rsid w:val="37370967"/>
    <w:rsid w:val="373E79CF"/>
    <w:rsid w:val="37482641"/>
    <w:rsid w:val="375D6E3C"/>
    <w:rsid w:val="376F59B7"/>
    <w:rsid w:val="378F6388"/>
    <w:rsid w:val="37907D63"/>
    <w:rsid w:val="379A7326"/>
    <w:rsid w:val="37A13ED6"/>
    <w:rsid w:val="37D118AE"/>
    <w:rsid w:val="37E00298"/>
    <w:rsid w:val="37F2347B"/>
    <w:rsid w:val="37F94635"/>
    <w:rsid w:val="38056E3E"/>
    <w:rsid w:val="380E079C"/>
    <w:rsid w:val="382E2D42"/>
    <w:rsid w:val="382E4D98"/>
    <w:rsid w:val="384A7263"/>
    <w:rsid w:val="3850570C"/>
    <w:rsid w:val="385C51CC"/>
    <w:rsid w:val="38890A9A"/>
    <w:rsid w:val="38985DEE"/>
    <w:rsid w:val="38AB47B4"/>
    <w:rsid w:val="38B302F9"/>
    <w:rsid w:val="38C047ED"/>
    <w:rsid w:val="38C4354D"/>
    <w:rsid w:val="38CC2453"/>
    <w:rsid w:val="38D46E50"/>
    <w:rsid w:val="38EC3B34"/>
    <w:rsid w:val="38F12CD3"/>
    <w:rsid w:val="38F94775"/>
    <w:rsid w:val="38FF2ACB"/>
    <w:rsid w:val="39225E0E"/>
    <w:rsid w:val="392971ED"/>
    <w:rsid w:val="39317DFF"/>
    <w:rsid w:val="39325651"/>
    <w:rsid w:val="39386196"/>
    <w:rsid w:val="39491E34"/>
    <w:rsid w:val="39556458"/>
    <w:rsid w:val="396219DB"/>
    <w:rsid w:val="396519A0"/>
    <w:rsid w:val="399012A5"/>
    <w:rsid w:val="39A12BA5"/>
    <w:rsid w:val="39A47A05"/>
    <w:rsid w:val="39C17A10"/>
    <w:rsid w:val="39C42514"/>
    <w:rsid w:val="39C4427A"/>
    <w:rsid w:val="39C769D1"/>
    <w:rsid w:val="39CB270F"/>
    <w:rsid w:val="39FD29A5"/>
    <w:rsid w:val="3A0A5C87"/>
    <w:rsid w:val="3A360C91"/>
    <w:rsid w:val="3A3C7167"/>
    <w:rsid w:val="3A6239B4"/>
    <w:rsid w:val="3A7262AF"/>
    <w:rsid w:val="3A7A7238"/>
    <w:rsid w:val="3A872856"/>
    <w:rsid w:val="3A8B0A59"/>
    <w:rsid w:val="3A96260F"/>
    <w:rsid w:val="3A965A48"/>
    <w:rsid w:val="3AA06F2D"/>
    <w:rsid w:val="3AC01C80"/>
    <w:rsid w:val="3AF12FD4"/>
    <w:rsid w:val="3AF70469"/>
    <w:rsid w:val="3B021A53"/>
    <w:rsid w:val="3B0D7D92"/>
    <w:rsid w:val="3B23048D"/>
    <w:rsid w:val="3B3763D1"/>
    <w:rsid w:val="3B385475"/>
    <w:rsid w:val="3B5423A7"/>
    <w:rsid w:val="3B562347"/>
    <w:rsid w:val="3B6D6C6F"/>
    <w:rsid w:val="3B703390"/>
    <w:rsid w:val="3B751409"/>
    <w:rsid w:val="3B8561E0"/>
    <w:rsid w:val="3B8C57C0"/>
    <w:rsid w:val="3B9E6DA4"/>
    <w:rsid w:val="3BA13F65"/>
    <w:rsid w:val="3BC66F24"/>
    <w:rsid w:val="3BE178BA"/>
    <w:rsid w:val="3BE20B5B"/>
    <w:rsid w:val="3BE52645"/>
    <w:rsid w:val="3BED5C6B"/>
    <w:rsid w:val="3BED5D57"/>
    <w:rsid w:val="3BFB31EC"/>
    <w:rsid w:val="3C126458"/>
    <w:rsid w:val="3C1446A8"/>
    <w:rsid w:val="3C1F780D"/>
    <w:rsid w:val="3C2B3EB1"/>
    <w:rsid w:val="3C2F6E1E"/>
    <w:rsid w:val="3C351219"/>
    <w:rsid w:val="3C421083"/>
    <w:rsid w:val="3C4B2D82"/>
    <w:rsid w:val="3C4F64BA"/>
    <w:rsid w:val="3C617581"/>
    <w:rsid w:val="3C637729"/>
    <w:rsid w:val="3C7626F9"/>
    <w:rsid w:val="3C7A386B"/>
    <w:rsid w:val="3C971848"/>
    <w:rsid w:val="3C9C2F42"/>
    <w:rsid w:val="3CAD1E92"/>
    <w:rsid w:val="3CC542C8"/>
    <w:rsid w:val="3CC8423A"/>
    <w:rsid w:val="3CC913E4"/>
    <w:rsid w:val="3CCD7E3F"/>
    <w:rsid w:val="3CCF3ED5"/>
    <w:rsid w:val="3CDA245A"/>
    <w:rsid w:val="3CEE06D0"/>
    <w:rsid w:val="3CF42030"/>
    <w:rsid w:val="3D1912D6"/>
    <w:rsid w:val="3D1B6DFC"/>
    <w:rsid w:val="3D1E06B7"/>
    <w:rsid w:val="3D2D4DDD"/>
    <w:rsid w:val="3D3A63F8"/>
    <w:rsid w:val="3D6C3AFB"/>
    <w:rsid w:val="3D88268F"/>
    <w:rsid w:val="3D9A7CF0"/>
    <w:rsid w:val="3DA86257"/>
    <w:rsid w:val="3DBA3C58"/>
    <w:rsid w:val="3DBB6947"/>
    <w:rsid w:val="3DF22256"/>
    <w:rsid w:val="3E01242F"/>
    <w:rsid w:val="3E045AE2"/>
    <w:rsid w:val="3E4A5853"/>
    <w:rsid w:val="3E4F1453"/>
    <w:rsid w:val="3E5F0E51"/>
    <w:rsid w:val="3E612ED0"/>
    <w:rsid w:val="3E7F33BB"/>
    <w:rsid w:val="3E8C3DBF"/>
    <w:rsid w:val="3EB2094B"/>
    <w:rsid w:val="3EC3599D"/>
    <w:rsid w:val="3EC37D3B"/>
    <w:rsid w:val="3ED63890"/>
    <w:rsid w:val="3EDA0523"/>
    <w:rsid w:val="3EEF5BBA"/>
    <w:rsid w:val="3F04543E"/>
    <w:rsid w:val="3F270AC1"/>
    <w:rsid w:val="3F3F4956"/>
    <w:rsid w:val="3F65014E"/>
    <w:rsid w:val="3F746F00"/>
    <w:rsid w:val="3F89597D"/>
    <w:rsid w:val="3FB3622D"/>
    <w:rsid w:val="3FC65745"/>
    <w:rsid w:val="3FC92B3F"/>
    <w:rsid w:val="3FC96F00"/>
    <w:rsid w:val="3FCD068D"/>
    <w:rsid w:val="3FEF554B"/>
    <w:rsid w:val="40061D3F"/>
    <w:rsid w:val="400D2E46"/>
    <w:rsid w:val="4018558F"/>
    <w:rsid w:val="401C1F7D"/>
    <w:rsid w:val="40275AB8"/>
    <w:rsid w:val="402D6F60"/>
    <w:rsid w:val="402E5098"/>
    <w:rsid w:val="403250FA"/>
    <w:rsid w:val="404641BF"/>
    <w:rsid w:val="407326C9"/>
    <w:rsid w:val="407A6407"/>
    <w:rsid w:val="407F3B46"/>
    <w:rsid w:val="40880AC6"/>
    <w:rsid w:val="409E0FE7"/>
    <w:rsid w:val="40AD2E81"/>
    <w:rsid w:val="40B23C38"/>
    <w:rsid w:val="40CC2102"/>
    <w:rsid w:val="40D102E1"/>
    <w:rsid w:val="40F305CE"/>
    <w:rsid w:val="40F37B16"/>
    <w:rsid w:val="41182CA9"/>
    <w:rsid w:val="41225230"/>
    <w:rsid w:val="413761CE"/>
    <w:rsid w:val="415D177D"/>
    <w:rsid w:val="41B31FF0"/>
    <w:rsid w:val="41C45CB4"/>
    <w:rsid w:val="41C5269C"/>
    <w:rsid w:val="41C750FB"/>
    <w:rsid w:val="41D378AA"/>
    <w:rsid w:val="41DB6261"/>
    <w:rsid w:val="41EB1211"/>
    <w:rsid w:val="41F80FB9"/>
    <w:rsid w:val="41FF4F3E"/>
    <w:rsid w:val="4200449D"/>
    <w:rsid w:val="42063136"/>
    <w:rsid w:val="42150767"/>
    <w:rsid w:val="42226EC9"/>
    <w:rsid w:val="423A3BCC"/>
    <w:rsid w:val="424566C9"/>
    <w:rsid w:val="424E57D2"/>
    <w:rsid w:val="42644B0F"/>
    <w:rsid w:val="428A020E"/>
    <w:rsid w:val="42B26C49"/>
    <w:rsid w:val="42C1186D"/>
    <w:rsid w:val="42DE2FF0"/>
    <w:rsid w:val="4318629B"/>
    <w:rsid w:val="43206DE5"/>
    <w:rsid w:val="43342B0D"/>
    <w:rsid w:val="433A6FE6"/>
    <w:rsid w:val="43480868"/>
    <w:rsid w:val="43485C9B"/>
    <w:rsid w:val="4350713C"/>
    <w:rsid w:val="435C2FA0"/>
    <w:rsid w:val="43655275"/>
    <w:rsid w:val="436653E0"/>
    <w:rsid w:val="437B7C30"/>
    <w:rsid w:val="438020AF"/>
    <w:rsid w:val="43B10673"/>
    <w:rsid w:val="43B8448B"/>
    <w:rsid w:val="43BF74D5"/>
    <w:rsid w:val="43C006FD"/>
    <w:rsid w:val="43C4431A"/>
    <w:rsid w:val="43FE1BEB"/>
    <w:rsid w:val="44024872"/>
    <w:rsid w:val="443B1014"/>
    <w:rsid w:val="44424909"/>
    <w:rsid w:val="445E5DB6"/>
    <w:rsid w:val="44801C3A"/>
    <w:rsid w:val="4488124E"/>
    <w:rsid w:val="44913E48"/>
    <w:rsid w:val="44995C2C"/>
    <w:rsid w:val="44AA0920"/>
    <w:rsid w:val="44B951CC"/>
    <w:rsid w:val="44BB7071"/>
    <w:rsid w:val="44CC2BB9"/>
    <w:rsid w:val="44CD14E0"/>
    <w:rsid w:val="44F20B0B"/>
    <w:rsid w:val="451F31D6"/>
    <w:rsid w:val="452D4D80"/>
    <w:rsid w:val="452E5F4C"/>
    <w:rsid w:val="45612018"/>
    <w:rsid w:val="457D3541"/>
    <w:rsid w:val="457E43CC"/>
    <w:rsid w:val="458946E9"/>
    <w:rsid w:val="45A47C0E"/>
    <w:rsid w:val="45AC5A25"/>
    <w:rsid w:val="45BC2AE1"/>
    <w:rsid w:val="45C9229E"/>
    <w:rsid w:val="45EE5F8A"/>
    <w:rsid w:val="46003EB1"/>
    <w:rsid w:val="46013CF3"/>
    <w:rsid w:val="46182C7F"/>
    <w:rsid w:val="46195CA7"/>
    <w:rsid w:val="46210585"/>
    <w:rsid w:val="46210F15"/>
    <w:rsid w:val="46577FD6"/>
    <w:rsid w:val="465A4182"/>
    <w:rsid w:val="468A0A23"/>
    <w:rsid w:val="46901F75"/>
    <w:rsid w:val="46964FEA"/>
    <w:rsid w:val="46A7133A"/>
    <w:rsid w:val="46BB0406"/>
    <w:rsid w:val="46D955A7"/>
    <w:rsid w:val="46E71A38"/>
    <w:rsid w:val="46F557F5"/>
    <w:rsid w:val="46F71F4F"/>
    <w:rsid w:val="46FC5A16"/>
    <w:rsid w:val="47052DCC"/>
    <w:rsid w:val="47133957"/>
    <w:rsid w:val="4715340D"/>
    <w:rsid w:val="471F7104"/>
    <w:rsid w:val="47267EAB"/>
    <w:rsid w:val="47354F5E"/>
    <w:rsid w:val="473F47B8"/>
    <w:rsid w:val="4764284C"/>
    <w:rsid w:val="476F03C3"/>
    <w:rsid w:val="477C0CA5"/>
    <w:rsid w:val="477C1A44"/>
    <w:rsid w:val="47A07E0C"/>
    <w:rsid w:val="47C40A28"/>
    <w:rsid w:val="47F9569D"/>
    <w:rsid w:val="48090229"/>
    <w:rsid w:val="482B4224"/>
    <w:rsid w:val="485041A6"/>
    <w:rsid w:val="4870272E"/>
    <w:rsid w:val="48710BE1"/>
    <w:rsid w:val="488A0948"/>
    <w:rsid w:val="488F2955"/>
    <w:rsid w:val="48A15BFC"/>
    <w:rsid w:val="48A20827"/>
    <w:rsid w:val="48A51C70"/>
    <w:rsid w:val="48BE6600"/>
    <w:rsid w:val="48C26992"/>
    <w:rsid w:val="48C3520E"/>
    <w:rsid w:val="490C12D6"/>
    <w:rsid w:val="49290DAC"/>
    <w:rsid w:val="494E0559"/>
    <w:rsid w:val="49683338"/>
    <w:rsid w:val="497C7924"/>
    <w:rsid w:val="49BC56E7"/>
    <w:rsid w:val="49C64415"/>
    <w:rsid w:val="49DC7715"/>
    <w:rsid w:val="49E1174C"/>
    <w:rsid w:val="49ED706B"/>
    <w:rsid w:val="4A023139"/>
    <w:rsid w:val="4A1E69F4"/>
    <w:rsid w:val="4A35258F"/>
    <w:rsid w:val="4A4E63F8"/>
    <w:rsid w:val="4A546205"/>
    <w:rsid w:val="4A6022F2"/>
    <w:rsid w:val="4A655D74"/>
    <w:rsid w:val="4A6563C0"/>
    <w:rsid w:val="4A6747C3"/>
    <w:rsid w:val="4A6D1F73"/>
    <w:rsid w:val="4A7B576F"/>
    <w:rsid w:val="4A7E1CEC"/>
    <w:rsid w:val="4A852A8D"/>
    <w:rsid w:val="4A8645EB"/>
    <w:rsid w:val="4A9C3340"/>
    <w:rsid w:val="4ACE4567"/>
    <w:rsid w:val="4AD57BD7"/>
    <w:rsid w:val="4ADB06E3"/>
    <w:rsid w:val="4AE17A12"/>
    <w:rsid w:val="4AE6454D"/>
    <w:rsid w:val="4AF561A9"/>
    <w:rsid w:val="4B0426F9"/>
    <w:rsid w:val="4B135126"/>
    <w:rsid w:val="4B2847B5"/>
    <w:rsid w:val="4B2C0A9D"/>
    <w:rsid w:val="4B2C6519"/>
    <w:rsid w:val="4B4A023B"/>
    <w:rsid w:val="4B580A79"/>
    <w:rsid w:val="4B691893"/>
    <w:rsid w:val="4B731012"/>
    <w:rsid w:val="4B85033D"/>
    <w:rsid w:val="4B8930DC"/>
    <w:rsid w:val="4B8D41FF"/>
    <w:rsid w:val="4BA012C2"/>
    <w:rsid w:val="4BD23AA0"/>
    <w:rsid w:val="4BD9391D"/>
    <w:rsid w:val="4BDA1CFF"/>
    <w:rsid w:val="4BEA6506"/>
    <w:rsid w:val="4BF87AE6"/>
    <w:rsid w:val="4BFA2F82"/>
    <w:rsid w:val="4C0C2A0F"/>
    <w:rsid w:val="4C117600"/>
    <w:rsid w:val="4C177328"/>
    <w:rsid w:val="4C1930A0"/>
    <w:rsid w:val="4C1C66ED"/>
    <w:rsid w:val="4C247AB3"/>
    <w:rsid w:val="4C26756B"/>
    <w:rsid w:val="4C2D38DD"/>
    <w:rsid w:val="4C361FC9"/>
    <w:rsid w:val="4C4543C0"/>
    <w:rsid w:val="4C4A0649"/>
    <w:rsid w:val="4C7C253E"/>
    <w:rsid w:val="4C7D52F6"/>
    <w:rsid w:val="4C7E5ECA"/>
    <w:rsid w:val="4C7F0AC2"/>
    <w:rsid w:val="4C876AA5"/>
    <w:rsid w:val="4C9444D5"/>
    <w:rsid w:val="4CA26BF2"/>
    <w:rsid w:val="4CAF06C7"/>
    <w:rsid w:val="4CB25CA9"/>
    <w:rsid w:val="4CEF191C"/>
    <w:rsid w:val="4CFB4CFC"/>
    <w:rsid w:val="4D01313D"/>
    <w:rsid w:val="4D0E00FB"/>
    <w:rsid w:val="4D166283"/>
    <w:rsid w:val="4D176606"/>
    <w:rsid w:val="4D1E03E3"/>
    <w:rsid w:val="4D213F9C"/>
    <w:rsid w:val="4D3723C6"/>
    <w:rsid w:val="4D42291A"/>
    <w:rsid w:val="4D68214E"/>
    <w:rsid w:val="4D7220C8"/>
    <w:rsid w:val="4D7C5695"/>
    <w:rsid w:val="4D987997"/>
    <w:rsid w:val="4DA75739"/>
    <w:rsid w:val="4DB405F6"/>
    <w:rsid w:val="4DB65B41"/>
    <w:rsid w:val="4DC43E93"/>
    <w:rsid w:val="4DC826F0"/>
    <w:rsid w:val="4DDA6459"/>
    <w:rsid w:val="4DE16CD8"/>
    <w:rsid w:val="4DEC4FB0"/>
    <w:rsid w:val="4E075D8A"/>
    <w:rsid w:val="4E262E4D"/>
    <w:rsid w:val="4E28339A"/>
    <w:rsid w:val="4E28533F"/>
    <w:rsid w:val="4E412D57"/>
    <w:rsid w:val="4E5E2FEC"/>
    <w:rsid w:val="4E6423A8"/>
    <w:rsid w:val="4E65341E"/>
    <w:rsid w:val="4E6E684B"/>
    <w:rsid w:val="4E7E7221"/>
    <w:rsid w:val="4E7F4D69"/>
    <w:rsid w:val="4E802F63"/>
    <w:rsid w:val="4EB33338"/>
    <w:rsid w:val="4EBB238A"/>
    <w:rsid w:val="4EC00FAD"/>
    <w:rsid w:val="4EC76DD5"/>
    <w:rsid w:val="4EE207AA"/>
    <w:rsid w:val="4EF425EA"/>
    <w:rsid w:val="4F585C8E"/>
    <w:rsid w:val="4F9843DC"/>
    <w:rsid w:val="4FA028CA"/>
    <w:rsid w:val="4FAF4C2F"/>
    <w:rsid w:val="4FC13833"/>
    <w:rsid w:val="4FC62A8C"/>
    <w:rsid w:val="4FCE45E9"/>
    <w:rsid w:val="4FD214B6"/>
    <w:rsid w:val="4FDB381C"/>
    <w:rsid w:val="4FE20F0D"/>
    <w:rsid w:val="4FE51552"/>
    <w:rsid w:val="4FF76169"/>
    <w:rsid w:val="50063890"/>
    <w:rsid w:val="50197FAB"/>
    <w:rsid w:val="50305474"/>
    <w:rsid w:val="50360887"/>
    <w:rsid w:val="50383874"/>
    <w:rsid w:val="50391DC4"/>
    <w:rsid w:val="504644D1"/>
    <w:rsid w:val="504E7E43"/>
    <w:rsid w:val="50504C4B"/>
    <w:rsid w:val="50641A16"/>
    <w:rsid w:val="507F76CC"/>
    <w:rsid w:val="50982F30"/>
    <w:rsid w:val="509B5399"/>
    <w:rsid w:val="509C6E7C"/>
    <w:rsid w:val="50C6314F"/>
    <w:rsid w:val="50C64E79"/>
    <w:rsid w:val="50DD2F17"/>
    <w:rsid w:val="50E844A9"/>
    <w:rsid w:val="50F453EE"/>
    <w:rsid w:val="50F7363B"/>
    <w:rsid w:val="50F73992"/>
    <w:rsid w:val="50F8343F"/>
    <w:rsid w:val="51422751"/>
    <w:rsid w:val="51587335"/>
    <w:rsid w:val="5162104E"/>
    <w:rsid w:val="51624BA2"/>
    <w:rsid w:val="517A46E4"/>
    <w:rsid w:val="518504A3"/>
    <w:rsid w:val="51A5459D"/>
    <w:rsid w:val="51AA7064"/>
    <w:rsid w:val="51B3234F"/>
    <w:rsid w:val="51CA265E"/>
    <w:rsid w:val="51F94A45"/>
    <w:rsid w:val="52133BEE"/>
    <w:rsid w:val="521556A5"/>
    <w:rsid w:val="521A1920"/>
    <w:rsid w:val="52291D3F"/>
    <w:rsid w:val="524F6482"/>
    <w:rsid w:val="526112FD"/>
    <w:rsid w:val="5281421C"/>
    <w:rsid w:val="52860EA6"/>
    <w:rsid w:val="52CA5FFE"/>
    <w:rsid w:val="52CD67F4"/>
    <w:rsid w:val="52E6352B"/>
    <w:rsid w:val="52E95980"/>
    <w:rsid w:val="53076B13"/>
    <w:rsid w:val="532C5467"/>
    <w:rsid w:val="5348357D"/>
    <w:rsid w:val="536B4EE0"/>
    <w:rsid w:val="5386726D"/>
    <w:rsid w:val="53A039CC"/>
    <w:rsid w:val="53A1505A"/>
    <w:rsid w:val="53A632A2"/>
    <w:rsid w:val="53CD1D7F"/>
    <w:rsid w:val="53E45995"/>
    <w:rsid w:val="53E45D42"/>
    <w:rsid w:val="53E55375"/>
    <w:rsid w:val="53ED4D64"/>
    <w:rsid w:val="54063E08"/>
    <w:rsid w:val="54223094"/>
    <w:rsid w:val="5426500D"/>
    <w:rsid w:val="542E16B3"/>
    <w:rsid w:val="543437E8"/>
    <w:rsid w:val="544A0A3D"/>
    <w:rsid w:val="54781E7F"/>
    <w:rsid w:val="549A4686"/>
    <w:rsid w:val="54BC0095"/>
    <w:rsid w:val="54CA31F3"/>
    <w:rsid w:val="54D40B31"/>
    <w:rsid w:val="54DA2F38"/>
    <w:rsid w:val="54F73313"/>
    <w:rsid w:val="54F80955"/>
    <w:rsid w:val="54FB4512"/>
    <w:rsid w:val="551127E4"/>
    <w:rsid w:val="55241FC5"/>
    <w:rsid w:val="552E1564"/>
    <w:rsid w:val="55477905"/>
    <w:rsid w:val="555170A7"/>
    <w:rsid w:val="55604C7E"/>
    <w:rsid w:val="55606BE0"/>
    <w:rsid w:val="55863ACB"/>
    <w:rsid w:val="5587536D"/>
    <w:rsid w:val="559B174B"/>
    <w:rsid w:val="55AE373B"/>
    <w:rsid w:val="55BC1144"/>
    <w:rsid w:val="55BF1DDD"/>
    <w:rsid w:val="55C0625C"/>
    <w:rsid w:val="55CE0CF4"/>
    <w:rsid w:val="55E60BDA"/>
    <w:rsid w:val="55EA3449"/>
    <w:rsid w:val="55EF1CBE"/>
    <w:rsid w:val="56075D18"/>
    <w:rsid w:val="56164C62"/>
    <w:rsid w:val="564839FB"/>
    <w:rsid w:val="564A5DC8"/>
    <w:rsid w:val="566C323A"/>
    <w:rsid w:val="56B15315"/>
    <w:rsid w:val="56B22A9C"/>
    <w:rsid w:val="56B45170"/>
    <w:rsid w:val="56BF5B6A"/>
    <w:rsid w:val="56BF65F2"/>
    <w:rsid w:val="56CB6ED0"/>
    <w:rsid w:val="57014E5D"/>
    <w:rsid w:val="570A5ABF"/>
    <w:rsid w:val="5718225F"/>
    <w:rsid w:val="57187796"/>
    <w:rsid w:val="572D60C1"/>
    <w:rsid w:val="574A6FF0"/>
    <w:rsid w:val="574A73E2"/>
    <w:rsid w:val="576D6EAE"/>
    <w:rsid w:val="579E7184"/>
    <w:rsid w:val="57B72A76"/>
    <w:rsid w:val="57C3426C"/>
    <w:rsid w:val="57CE1F93"/>
    <w:rsid w:val="57E42DEB"/>
    <w:rsid w:val="57F347A6"/>
    <w:rsid w:val="58023A57"/>
    <w:rsid w:val="5819688F"/>
    <w:rsid w:val="581C2D9E"/>
    <w:rsid w:val="581D38AF"/>
    <w:rsid w:val="58250F5F"/>
    <w:rsid w:val="583A0626"/>
    <w:rsid w:val="583E194E"/>
    <w:rsid w:val="58785F47"/>
    <w:rsid w:val="58786FFB"/>
    <w:rsid w:val="588743D1"/>
    <w:rsid w:val="5887701A"/>
    <w:rsid w:val="588855F0"/>
    <w:rsid w:val="589B265E"/>
    <w:rsid w:val="58A04CB0"/>
    <w:rsid w:val="58F62FC8"/>
    <w:rsid w:val="59093398"/>
    <w:rsid w:val="59163911"/>
    <w:rsid w:val="59401FFE"/>
    <w:rsid w:val="59427394"/>
    <w:rsid w:val="595C0C18"/>
    <w:rsid w:val="595D0889"/>
    <w:rsid w:val="59606F56"/>
    <w:rsid w:val="59714C9C"/>
    <w:rsid w:val="5981500D"/>
    <w:rsid w:val="59856B31"/>
    <w:rsid w:val="59AD4989"/>
    <w:rsid w:val="59C0439F"/>
    <w:rsid w:val="59CA6DFB"/>
    <w:rsid w:val="59F4451C"/>
    <w:rsid w:val="5A014C41"/>
    <w:rsid w:val="5A090916"/>
    <w:rsid w:val="5A1924BD"/>
    <w:rsid w:val="5A4B060B"/>
    <w:rsid w:val="5A5419AD"/>
    <w:rsid w:val="5A7D7F17"/>
    <w:rsid w:val="5A8129CF"/>
    <w:rsid w:val="5A993CE9"/>
    <w:rsid w:val="5AA75C41"/>
    <w:rsid w:val="5AAB4826"/>
    <w:rsid w:val="5AB32716"/>
    <w:rsid w:val="5AB73AF4"/>
    <w:rsid w:val="5ABE2233"/>
    <w:rsid w:val="5AC82C02"/>
    <w:rsid w:val="5AC924E0"/>
    <w:rsid w:val="5B10566E"/>
    <w:rsid w:val="5B2A2C23"/>
    <w:rsid w:val="5B480B08"/>
    <w:rsid w:val="5B8D4F11"/>
    <w:rsid w:val="5B9806D7"/>
    <w:rsid w:val="5BA504AD"/>
    <w:rsid w:val="5BB90C41"/>
    <w:rsid w:val="5BD12997"/>
    <w:rsid w:val="5BDF5D95"/>
    <w:rsid w:val="5BEA4BAA"/>
    <w:rsid w:val="5BFE7528"/>
    <w:rsid w:val="5C192BD0"/>
    <w:rsid w:val="5C362933"/>
    <w:rsid w:val="5C3B65C6"/>
    <w:rsid w:val="5C564E03"/>
    <w:rsid w:val="5C6E3AED"/>
    <w:rsid w:val="5C920B89"/>
    <w:rsid w:val="5CB07B52"/>
    <w:rsid w:val="5CB178D6"/>
    <w:rsid w:val="5CC6692D"/>
    <w:rsid w:val="5CD42D62"/>
    <w:rsid w:val="5CDD609C"/>
    <w:rsid w:val="5CE60D7D"/>
    <w:rsid w:val="5D141424"/>
    <w:rsid w:val="5D297308"/>
    <w:rsid w:val="5D2F7128"/>
    <w:rsid w:val="5D3F223B"/>
    <w:rsid w:val="5D414205"/>
    <w:rsid w:val="5D493148"/>
    <w:rsid w:val="5D4F0CDD"/>
    <w:rsid w:val="5D5F4ACC"/>
    <w:rsid w:val="5D5F6C9A"/>
    <w:rsid w:val="5D640C11"/>
    <w:rsid w:val="5DD961EC"/>
    <w:rsid w:val="5E2467F1"/>
    <w:rsid w:val="5E3579B9"/>
    <w:rsid w:val="5E461CD5"/>
    <w:rsid w:val="5E4F7A66"/>
    <w:rsid w:val="5E5249E0"/>
    <w:rsid w:val="5E57292A"/>
    <w:rsid w:val="5E574835"/>
    <w:rsid w:val="5E5A5DD9"/>
    <w:rsid w:val="5E6A778C"/>
    <w:rsid w:val="5E7D4201"/>
    <w:rsid w:val="5E862594"/>
    <w:rsid w:val="5E8C325E"/>
    <w:rsid w:val="5EA259AD"/>
    <w:rsid w:val="5EA902B4"/>
    <w:rsid w:val="5EA94901"/>
    <w:rsid w:val="5EAC365F"/>
    <w:rsid w:val="5EAF557D"/>
    <w:rsid w:val="5ED473DE"/>
    <w:rsid w:val="5ED52E57"/>
    <w:rsid w:val="5EE247A8"/>
    <w:rsid w:val="5F13397F"/>
    <w:rsid w:val="5F1A1C44"/>
    <w:rsid w:val="5F1A2B43"/>
    <w:rsid w:val="5F264979"/>
    <w:rsid w:val="5F391FBC"/>
    <w:rsid w:val="5F41673E"/>
    <w:rsid w:val="5F4947C6"/>
    <w:rsid w:val="5F4B3D38"/>
    <w:rsid w:val="5F5725E0"/>
    <w:rsid w:val="5F5F218A"/>
    <w:rsid w:val="5F85606D"/>
    <w:rsid w:val="5FB123F0"/>
    <w:rsid w:val="5FB218CD"/>
    <w:rsid w:val="5FB837BB"/>
    <w:rsid w:val="5FBB029F"/>
    <w:rsid w:val="5FCA1766"/>
    <w:rsid w:val="5FEB0505"/>
    <w:rsid w:val="5FEB73FC"/>
    <w:rsid w:val="5FF6025B"/>
    <w:rsid w:val="60051EC6"/>
    <w:rsid w:val="60373023"/>
    <w:rsid w:val="60485FB1"/>
    <w:rsid w:val="604C669A"/>
    <w:rsid w:val="60644E90"/>
    <w:rsid w:val="607B3681"/>
    <w:rsid w:val="60970B56"/>
    <w:rsid w:val="60B64E26"/>
    <w:rsid w:val="60CC405A"/>
    <w:rsid w:val="60E23609"/>
    <w:rsid w:val="60E76E71"/>
    <w:rsid w:val="61145EB4"/>
    <w:rsid w:val="61265600"/>
    <w:rsid w:val="61297EC6"/>
    <w:rsid w:val="61325807"/>
    <w:rsid w:val="614F0C38"/>
    <w:rsid w:val="61536DE3"/>
    <w:rsid w:val="615907EC"/>
    <w:rsid w:val="616B438D"/>
    <w:rsid w:val="616F73BE"/>
    <w:rsid w:val="617001D0"/>
    <w:rsid w:val="617B10F3"/>
    <w:rsid w:val="619D3334"/>
    <w:rsid w:val="61CD3C6C"/>
    <w:rsid w:val="61E215D8"/>
    <w:rsid w:val="61E26ADD"/>
    <w:rsid w:val="61EE5C73"/>
    <w:rsid w:val="61F46617"/>
    <w:rsid w:val="621B3775"/>
    <w:rsid w:val="62364782"/>
    <w:rsid w:val="62423A8D"/>
    <w:rsid w:val="626328EE"/>
    <w:rsid w:val="628750A2"/>
    <w:rsid w:val="6293633D"/>
    <w:rsid w:val="62B965EC"/>
    <w:rsid w:val="62ED4D0D"/>
    <w:rsid w:val="62F46DEF"/>
    <w:rsid w:val="63244029"/>
    <w:rsid w:val="632D1DEA"/>
    <w:rsid w:val="632D3298"/>
    <w:rsid w:val="633B5AEC"/>
    <w:rsid w:val="636778A1"/>
    <w:rsid w:val="6368719A"/>
    <w:rsid w:val="637046AE"/>
    <w:rsid w:val="637D0CFB"/>
    <w:rsid w:val="6394356A"/>
    <w:rsid w:val="63C61B2C"/>
    <w:rsid w:val="63D40BE9"/>
    <w:rsid w:val="63D5656D"/>
    <w:rsid w:val="63E37DC4"/>
    <w:rsid w:val="63F83144"/>
    <w:rsid w:val="64041AE8"/>
    <w:rsid w:val="64102431"/>
    <w:rsid w:val="64122677"/>
    <w:rsid w:val="641C1BFF"/>
    <w:rsid w:val="641C371B"/>
    <w:rsid w:val="642040EE"/>
    <w:rsid w:val="644B5969"/>
    <w:rsid w:val="64542A70"/>
    <w:rsid w:val="645F5CA2"/>
    <w:rsid w:val="64600B1F"/>
    <w:rsid w:val="64616F3B"/>
    <w:rsid w:val="646360CB"/>
    <w:rsid w:val="647C071E"/>
    <w:rsid w:val="6489240F"/>
    <w:rsid w:val="64986E00"/>
    <w:rsid w:val="649B41FB"/>
    <w:rsid w:val="64A5243A"/>
    <w:rsid w:val="64D82696"/>
    <w:rsid w:val="64EE133D"/>
    <w:rsid w:val="64EE22DF"/>
    <w:rsid w:val="64F531DE"/>
    <w:rsid w:val="64FA4FC5"/>
    <w:rsid w:val="65084793"/>
    <w:rsid w:val="652769D8"/>
    <w:rsid w:val="65373578"/>
    <w:rsid w:val="65562818"/>
    <w:rsid w:val="6558611F"/>
    <w:rsid w:val="657B3437"/>
    <w:rsid w:val="65AE61B0"/>
    <w:rsid w:val="65B636B1"/>
    <w:rsid w:val="65DB4618"/>
    <w:rsid w:val="65FF3C4A"/>
    <w:rsid w:val="66210187"/>
    <w:rsid w:val="6626256B"/>
    <w:rsid w:val="66630D49"/>
    <w:rsid w:val="666D085C"/>
    <w:rsid w:val="668B13BD"/>
    <w:rsid w:val="6699287B"/>
    <w:rsid w:val="669B2BD8"/>
    <w:rsid w:val="66A728EA"/>
    <w:rsid w:val="66C1509A"/>
    <w:rsid w:val="66C35C8B"/>
    <w:rsid w:val="66C82950"/>
    <w:rsid w:val="66DB1226"/>
    <w:rsid w:val="66E92A3D"/>
    <w:rsid w:val="66ED11F3"/>
    <w:rsid w:val="66FC7B21"/>
    <w:rsid w:val="671F124A"/>
    <w:rsid w:val="67393E5C"/>
    <w:rsid w:val="674A33B0"/>
    <w:rsid w:val="675D2C36"/>
    <w:rsid w:val="67760A1B"/>
    <w:rsid w:val="677A33C6"/>
    <w:rsid w:val="677B488F"/>
    <w:rsid w:val="67921536"/>
    <w:rsid w:val="67A94E81"/>
    <w:rsid w:val="67BF5442"/>
    <w:rsid w:val="67C24194"/>
    <w:rsid w:val="67CD1E84"/>
    <w:rsid w:val="67DF3BBC"/>
    <w:rsid w:val="680F43DE"/>
    <w:rsid w:val="68152172"/>
    <w:rsid w:val="681A1D1E"/>
    <w:rsid w:val="681F5E22"/>
    <w:rsid w:val="681F6961"/>
    <w:rsid w:val="68230E3E"/>
    <w:rsid w:val="68282249"/>
    <w:rsid w:val="684B5562"/>
    <w:rsid w:val="685F3791"/>
    <w:rsid w:val="68610A2F"/>
    <w:rsid w:val="68624C4C"/>
    <w:rsid w:val="687221C1"/>
    <w:rsid w:val="687373C4"/>
    <w:rsid w:val="68805514"/>
    <w:rsid w:val="68806D96"/>
    <w:rsid w:val="68821CC1"/>
    <w:rsid w:val="68955DE7"/>
    <w:rsid w:val="68986BE5"/>
    <w:rsid w:val="68995D6A"/>
    <w:rsid w:val="68A42E0F"/>
    <w:rsid w:val="68A91E2A"/>
    <w:rsid w:val="68CE7A00"/>
    <w:rsid w:val="68D256CB"/>
    <w:rsid w:val="68F24605"/>
    <w:rsid w:val="690F7766"/>
    <w:rsid w:val="69132EFA"/>
    <w:rsid w:val="691F51D3"/>
    <w:rsid w:val="69235ED3"/>
    <w:rsid w:val="69293B0C"/>
    <w:rsid w:val="69316E2F"/>
    <w:rsid w:val="69467053"/>
    <w:rsid w:val="694E2071"/>
    <w:rsid w:val="694F5DE4"/>
    <w:rsid w:val="69536FEA"/>
    <w:rsid w:val="69653029"/>
    <w:rsid w:val="69766163"/>
    <w:rsid w:val="697A3B33"/>
    <w:rsid w:val="697F0B2C"/>
    <w:rsid w:val="699772CA"/>
    <w:rsid w:val="69AB26E1"/>
    <w:rsid w:val="69AF663C"/>
    <w:rsid w:val="69B62DE0"/>
    <w:rsid w:val="69BB1744"/>
    <w:rsid w:val="69C53756"/>
    <w:rsid w:val="69D44760"/>
    <w:rsid w:val="6A0B30CB"/>
    <w:rsid w:val="6A520EC7"/>
    <w:rsid w:val="6A552A52"/>
    <w:rsid w:val="6A6A362F"/>
    <w:rsid w:val="6A8A7F20"/>
    <w:rsid w:val="6A9749E4"/>
    <w:rsid w:val="6AD0399A"/>
    <w:rsid w:val="6ADF52B8"/>
    <w:rsid w:val="6AEF2690"/>
    <w:rsid w:val="6AF87E20"/>
    <w:rsid w:val="6B0925F0"/>
    <w:rsid w:val="6B120F8F"/>
    <w:rsid w:val="6B131EAE"/>
    <w:rsid w:val="6B181169"/>
    <w:rsid w:val="6B26541A"/>
    <w:rsid w:val="6B322639"/>
    <w:rsid w:val="6B533A81"/>
    <w:rsid w:val="6B5969E9"/>
    <w:rsid w:val="6B78562C"/>
    <w:rsid w:val="6B9D763C"/>
    <w:rsid w:val="6BC02FE7"/>
    <w:rsid w:val="6BF05747"/>
    <w:rsid w:val="6BF40694"/>
    <w:rsid w:val="6C1018C1"/>
    <w:rsid w:val="6C2A4EDF"/>
    <w:rsid w:val="6C2F69D8"/>
    <w:rsid w:val="6C4910B5"/>
    <w:rsid w:val="6C4A46FE"/>
    <w:rsid w:val="6C636C38"/>
    <w:rsid w:val="6C716CF8"/>
    <w:rsid w:val="6CA23C0B"/>
    <w:rsid w:val="6CBA7B30"/>
    <w:rsid w:val="6CBC4E6C"/>
    <w:rsid w:val="6CCD2A2A"/>
    <w:rsid w:val="6D184854"/>
    <w:rsid w:val="6D1E00BF"/>
    <w:rsid w:val="6D33405E"/>
    <w:rsid w:val="6D3555D0"/>
    <w:rsid w:val="6D4449B9"/>
    <w:rsid w:val="6D5B38AF"/>
    <w:rsid w:val="6D5D765E"/>
    <w:rsid w:val="6D6D2028"/>
    <w:rsid w:val="6D71450A"/>
    <w:rsid w:val="6D897B66"/>
    <w:rsid w:val="6DA0222A"/>
    <w:rsid w:val="6DA02882"/>
    <w:rsid w:val="6DAA22D8"/>
    <w:rsid w:val="6DB34098"/>
    <w:rsid w:val="6DB352B5"/>
    <w:rsid w:val="6DB545B6"/>
    <w:rsid w:val="6DD864C0"/>
    <w:rsid w:val="6DE02FB4"/>
    <w:rsid w:val="6DE36EA6"/>
    <w:rsid w:val="6DE94E69"/>
    <w:rsid w:val="6DF92EE8"/>
    <w:rsid w:val="6E037954"/>
    <w:rsid w:val="6E1E4A1D"/>
    <w:rsid w:val="6E350903"/>
    <w:rsid w:val="6E514CED"/>
    <w:rsid w:val="6E54320B"/>
    <w:rsid w:val="6E5F7820"/>
    <w:rsid w:val="6E8B5D78"/>
    <w:rsid w:val="6E964FCD"/>
    <w:rsid w:val="6EAD16FA"/>
    <w:rsid w:val="6EB563D5"/>
    <w:rsid w:val="6ED343AF"/>
    <w:rsid w:val="6ED92677"/>
    <w:rsid w:val="6EEA46BC"/>
    <w:rsid w:val="6EEA6B83"/>
    <w:rsid w:val="6F0F019A"/>
    <w:rsid w:val="6F225983"/>
    <w:rsid w:val="6F597DA9"/>
    <w:rsid w:val="6F5B1A0F"/>
    <w:rsid w:val="6F8920FC"/>
    <w:rsid w:val="6F8C30A4"/>
    <w:rsid w:val="6F95350E"/>
    <w:rsid w:val="6FAD11CB"/>
    <w:rsid w:val="6FC1207D"/>
    <w:rsid w:val="6FD07112"/>
    <w:rsid w:val="6FD6394A"/>
    <w:rsid w:val="6FFC5590"/>
    <w:rsid w:val="70027824"/>
    <w:rsid w:val="70172D9B"/>
    <w:rsid w:val="701C4FF3"/>
    <w:rsid w:val="702428D1"/>
    <w:rsid w:val="70373F44"/>
    <w:rsid w:val="70517657"/>
    <w:rsid w:val="7056191E"/>
    <w:rsid w:val="706D1DD0"/>
    <w:rsid w:val="70856B87"/>
    <w:rsid w:val="709F306F"/>
    <w:rsid w:val="70AB281C"/>
    <w:rsid w:val="70AB3344"/>
    <w:rsid w:val="70BC6D7A"/>
    <w:rsid w:val="70D527EE"/>
    <w:rsid w:val="70FC6FE2"/>
    <w:rsid w:val="71250611"/>
    <w:rsid w:val="713B4588"/>
    <w:rsid w:val="714E754B"/>
    <w:rsid w:val="7153298B"/>
    <w:rsid w:val="715A01D8"/>
    <w:rsid w:val="715B5300"/>
    <w:rsid w:val="716F713B"/>
    <w:rsid w:val="7192566D"/>
    <w:rsid w:val="719728DF"/>
    <w:rsid w:val="71AD09C7"/>
    <w:rsid w:val="71D27F8A"/>
    <w:rsid w:val="71D96E1A"/>
    <w:rsid w:val="71FF01FC"/>
    <w:rsid w:val="72060BD5"/>
    <w:rsid w:val="72382EFF"/>
    <w:rsid w:val="72403883"/>
    <w:rsid w:val="72450ADE"/>
    <w:rsid w:val="724E0910"/>
    <w:rsid w:val="72553024"/>
    <w:rsid w:val="7269133D"/>
    <w:rsid w:val="72695938"/>
    <w:rsid w:val="72832F05"/>
    <w:rsid w:val="72BE337B"/>
    <w:rsid w:val="72E64ECF"/>
    <w:rsid w:val="72FD2525"/>
    <w:rsid w:val="73122968"/>
    <w:rsid w:val="731C10A7"/>
    <w:rsid w:val="731C29AB"/>
    <w:rsid w:val="731D3D3B"/>
    <w:rsid w:val="731F5D5E"/>
    <w:rsid w:val="732303DD"/>
    <w:rsid w:val="732F205C"/>
    <w:rsid w:val="73492F09"/>
    <w:rsid w:val="735B04F5"/>
    <w:rsid w:val="736B1B84"/>
    <w:rsid w:val="7372470B"/>
    <w:rsid w:val="73972F45"/>
    <w:rsid w:val="739E1612"/>
    <w:rsid w:val="73AF09DC"/>
    <w:rsid w:val="73B76076"/>
    <w:rsid w:val="73C51AD5"/>
    <w:rsid w:val="73EA0CFB"/>
    <w:rsid w:val="73F23626"/>
    <w:rsid w:val="740B1E2C"/>
    <w:rsid w:val="741E793C"/>
    <w:rsid w:val="742A10F7"/>
    <w:rsid w:val="74327946"/>
    <w:rsid w:val="74330F4B"/>
    <w:rsid w:val="743F6967"/>
    <w:rsid w:val="744272EE"/>
    <w:rsid w:val="745B7503"/>
    <w:rsid w:val="745E3944"/>
    <w:rsid w:val="74631727"/>
    <w:rsid w:val="74657F87"/>
    <w:rsid w:val="746721E2"/>
    <w:rsid w:val="74686B73"/>
    <w:rsid w:val="747C0639"/>
    <w:rsid w:val="747E7AD3"/>
    <w:rsid w:val="74855837"/>
    <w:rsid w:val="74880FC6"/>
    <w:rsid w:val="74A61683"/>
    <w:rsid w:val="74B26A79"/>
    <w:rsid w:val="74DA0D6F"/>
    <w:rsid w:val="74F00E5E"/>
    <w:rsid w:val="74F37016"/>
    <w:rsid w:val="75022441"/>
    <w:rsid w:val="75256B75"/>
    <w:rsid w:val="75324ED8"/>
    <w:rsid w:val="755C3532"/>
    <w:rsid w:val="757F4062"/>
    <w:rsid w:val="759266AB"/>
    <w:rsid w:val="75CE6BC9"/>
    <w:rsid w:val="75F509BD"/>
    <w:rsid w:val="75F95F25"/>
    <w:rsid w:val="760A5F00"/>
    <w:rsid w:val="7635099D"/>
    <w:rsid w:val="7644557E"/>
    <w:rsid w:val="76477B4D"/>
    <w:rsid w:val="764C032D"/>
    <w:rsid w:val="76632DF1"/>
    <w:rsid w:val="76793E14"/>
    <w:rsid w:val="76866162"/>
    <w:rsid w:val="769D09A3"/>
    <w:rsid w:val="76B455F0"/>
    <w:rsid w:val="771D3B6B"/>
    <w:rsid w:val="7749421A"/>
    <w:rsid w:val="77561C9D"/>
    <w:rsid w:val="77585F7B"/>
    <w:rsid w:val="776F7DBD"/>
    <w:rsid w:val="77727FBC"/>
    <w:rsid w:val="77762421"/>
    <w:rsid w:val="7776787C"/>
    <w:rsid w:val="778847EF"/>
    <w:rsid w:val="77B1255C"/>
    <w:rsid w:val="77B56B1F"/>
    <w:rsid w:val="77BC3740"/>
    <w:rsid w:val="77C81353"/>
    <w:rsid w:val="77F574BD"/>
    <w:rsid w:val="77FB2BD4"/>
    <w:rsid w:val="77FC16A8"/>
    <w:rsid w:val="7800080E"/>
    <w:rsid w:val="78030F16"/>
    <w:rsid w:val="780339AC"/>
    <w:rsid w:val="78093CC3"/>
    <w:rsid w:val="780F09F4"/>
    <w:rsid w:val="782A0CF2"/>
    <w:rsid w:val="78321E5C"/>
    <w:rsid w:val="78540BCC"/>
    <w:rsid w:val="786043BD"/>
    <w:rsid w:val="786D0D78"/>
    <w:rsid w:val="786F437A"/>
    <w:rsid w:val="78703F12"/>
    <w:rsid w:val="78A27DF6"/>
    <w:rsid w:val="78A90480"/>
    <w:rsid w:val="78AB113D"/>
    <w:rsid w:val="78B06666"/>
    <w:rsid w:val="78B66E40"/>
    <w:rsid w:val="78C10B9E"/>
    <w:rsid w:val="78CF04BF"/>
    <w:rsid w:val="78DA22C8"/>
    <w:rsid w:val="78E90E66"/>
    <w:rsid w:val="78F9343B"/>
    <w:rsid w:val="79276842"/>
    <w:rsid w:val="79403229"/>
    <w:rsid w:val="794C3DB3"/>
    <w:rsid w:val="795462E9"/>
    <w:rsid w:val="79582C38"/>
    <w:rsid w:val="795F4876"/>
    <w:rsid w:val="79810FBC"/>
    <w:rsid w:val="79855325"/>
    <w:rsid w:val="79A44542"/>
    <w:rsid w:val="79B806FE"/>
    <w:rsid w:val="79CA6ACB"/>
    <w:rsid w:val="79D93B6C"/>
    <w:rsid w:val="79E76CBC"/>
    <w:rsid w:val="7A1563A6"/>
    <w:rsid w:val="7A1A6207"/>
    <w:rsid w:val="7A2C14A8"/>
    <w:rsid w:val="7A364017"/>
    <w:rsid w:val="7A57156D"/>
    <w:rsid w:val="7A581063"/>
    <w:rsid w:val="7A6F1F5A"/>
    <w:rsid w:val="7A8265E1"/>
    <w:rsid w:val="7A87032F"/>
    <w:rsid w:val="7A9E1535"/>
    <w:rsid w:val="7AA74BCA"/>
    <w:rsid w:val="7AAE6592"/>
    <w:rsid w:val="7AE83584"/>
    <w:rsid w:val="7AF504B0"/>
    <w:rsid w:val="7B2C7050"/>
    <w:rsid w:val="7B4E200C"/>
    <w:rsid w:val="7B64557C"/>
    <w:rsid w:val="7B686D42"/>
    <w:rsid w:val="7B6D743F"/>
    <w:rsid w:val="7B7C4C2C"/>
    <w:rsid w:val="7B841746"/>
    <w:rsid w:val="7BA141A7"/>
    <w:rsid w:val="7BA71F7C"/>
    <w:rsid w:val="7BDA54A6"/>
    <w:rsid w:val="7BEC5FE6"/>
    <w:rsid w:val="7C02708E"/>
    <w:rsid w:val="7C036F35"/>
    <w:rsid w:val="7C2A1486"/>
    <w:rsid w:val="7C525081"/>
    <w:rsid w:val="7C6C154A"/>
    <w:rsid w:val="7C6C5AC7"/>
    <w:rsid w:val="7C787369"/>
    <w:rsid w:val="7CAC1D40"/>
    <w:rsid w:val="7CC21163"/>
    <w:rsid w:val="7CC6544B"/>
    <w:rsid w:val="7CE87DA1"/>
    <w:rsid w:val="7CF203A2"/>
    <w:rsid w:val="7D0239FF"/>
    <w:rsid w:val="7D4D5161"/>
    <w:rsid w:val="7D4F11E8"/>
    <w:rsid w:val="7D5176F5"/>
    <w:rsid w:val="7D5E40CD"/>
    <w:rsid w:val="7D6C452F"/>
    <w:rsid w:val="7D724FF0"/>
    <w:rsid w:val="7D82760D"/>
    <w:rsid w:val="7D8C705F"/>
    <w:rsid w:val="7D935F5F"/>
    <w:rsid w:val="7D943372"/>
    <w:rsid w:val="7DA55C93"/>
    <w:rsid w:val="7DC720AD"/>
    <w:rsid w:val="7DCC1471"/>
    <w:rsid w:val="7DCD56F2"/>
    <w:rsid w:val="7DE75733"/>
    <w:rsid w:val="7E1E01D5"/>
    <w:rsid w:val="7E3518B2"/>
    <w:rsid w:val="7E3C37FB"/>
    <w:rsid w:val="7E3F3458"/>
    <w:rsid w:val="7E455A6F"/>
    <w:rsid w:val="7E4D4360"/>
    <w:rsid w:val="7E5D39C2"/>
    <w:rsid w:val="7E9C6AB3"/>
    <w:rsid w:val="7EB60515"/>
    <w:rsid w:val="7ED76320"/>
    <w:rsid w:val="7EE87368"/>
    <w:rsid w:val="7F001CE7"/>
    <w:rsid w:val="7F02630E"/>
    <w:rsid w:val="7F08297D"/>
    <w:rsid w:val="7F0D7F6D"/>
    <w:rsid w:val="7F3217A8"/>
    <w:rsid w:val="7F5601B8"/>
    <w:rsid w:val="7F5834B1"/>
    <w:rsid w:val="7F5C0F04"/>
    <w:rsid w:val="7F6A7194"/>
    <w:rsid w:val="7F8B54BF"/>
    <w:rsid w:val="7F9B0BF2"/>
    <w:rsid w:val="7FAA57E2"/>
    <w:rsid w:val="7FE47E50"/>
    <w:rsid w:val="7FE96B6B"/>
    <w:rsid w:val="7FEA7272"/>
    <w:rsid w:val="7FFA16E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unhideWhenUsed="0" w:uiPriority="0" w:semiHidden="0" w:name="toc 2" w:locked="1"/>
    <w:lsdException w:qFormat="1"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qFormat="1"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99" w:semiHidden="0" w:name="Body Text First Indent" w:locked="1"/>
    <w:lsdException w:qFormat="1" w:uiPriority="0" w:semiHidden="0" w:name="Body Text First Indent 2" w:locked="1"/>
    <w:lsdException w:unhideWhenUsed="0" w:uiPriority="0" w:semiHidden="0" w:name="Note Heading" w:locked="1"/>
    <w:lsdException w:qFormat="1" w:unhideWhenUsed="0" w:uiPriority="0" w:semiHidden="0" w:name="Body Text 2" w:locked="1"/>
    <w:lsdException w:unhideWhenUsed="0" w:uiPriority="0" w:semiHidden="0" w:name="Body Text 3" w:locked="1"/>
    <w:lsdException w:qFormat="1" w:uiPriority="99" w:semiHidden="0" w:name="Body Text Indent 2" w:locked="1"/>
    <w:lsdException w:unhideWhenUsed="0" w:uiPriority="0" w:semiHidden="0" w:name="Body Text Indent 3" w:locked="1"/>
    <w:lsdException w:qFormat="1" w:unhideWhenUsed="0" w:uiPriority="0" w:semiHidden="0" w:name="Block Text" w:locked="1"/>
    <w:lsdException w:unhideWhenUsed="0" w:uiPriority="0" w:semiHidden="0" w:name="Hyperlink" w:locked="1"/>
    <w:lsdException w:qFormat="1"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99"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39" w:semiHidden="0" w:name="Table Grid"/>
    <w:lsdException w:unhideWhenUsed="0" w:uiPriority="0" w:semiHidden="0"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6">
    <w:name w:val="heading 1"/>
    <w:basedOn w:val="1"/>
    <w:next w:val="1"/>
    <w:qFormat/>
    <w:locked/>
    <w:uiPriority w:val="99"/>
    <w:pPr>
      <w:keepNext/>
      <w:overflowPunct w:val="0"/>
      <w:snapToGrid w:val="0"/>
      <w:spacing w:before="120" w:after="160" w:line="259" w:lineRule="auto"/>
      <w:ind w:left="432" w:hanging="432"/>
      <w:jc w:val="center"/>
      <w:outlineLvl w:val="0"/>
    </w:pPr>
    <w:rPr>
      <w:rFonts w:ascii="Times New Roman" w:hAnsi="Times New Roman" w:eastAsia="宋体"/>
      <w:b/>
      <w:bCs/>
      <w:color w:val="000000"/>
      <w:kern w:val="44"/>
      <w:sz w:val="30"/>
      <w:szCs w:val="30"/>
    </w:rPr>
  </w:style>
  <w:style w:type="paragraph" w:styleId="7">
    <w:name w:val="heading 2"/>
    <w:basedOn w:val="1"/>
    <w:next w:val="1"/>
    <w:link w:val="33"/>
    <w:qFormat/>
    <w:locked/>
    <w:uiPriority w:val="0"/>
    <w:pPr>
      <w:keepNext/>
      <w:keepLines/>
      <w:spacing w:before="260" w:after="260" w:line="416" w:lineRule="auto"/>
      <w:outlineLvl w:val="1"/>
    </w:pPr>
    <w:rPr>
      <w:rFonts w:ascii="Arial" w:hAnsi="Arial" w:eastAsia="黑体"/>
      <w:b/>
      <w:bCs/>
      <w:sz w:val="32"/>
      <w:szCs w:val="32"/>
    </w:rPr>
  </w:style>
  <w:style w:type="character" w:default="1" w:styleId="27">
    <w:name w:val="Default Paragraph Font"/>
    <w:semiHidden/>
    <w:qFormat/>
    <w:uiPriority w:val="0"/>
  </w:style>
  <w:style w:type="table" w:default="1" w:styleId="25">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First Indent 2"/>
    <w:basedOn w:val="3"/>
    <w:next w:val="1"/>
    <w:unhideWhenUsed/>
    <w:qFormat/>
    <w:locked/>
    <w:uiPriority w:val="0"/>
    <w:pPr>
      <w:spacing w:after="120" w:line="240" w:lineRule="auto"/>
      <w:ind w:left="420" w:leftChars="200" w:firstLine="420" w:firstLineChars="200"/>
    </w:pPr>
    <w:rPr>
      <w:sz w:val="21"/>
      <w:szCs w:val="21"/>
    </w:rPr>
  </w:style>
  <w:style w:type="paragraph" w:styleId="3">
    <w:name w:val="Body Text Indent"/>
    <w:basedOn w:val="1"/>
    <w:next w:val="4"/>
    <w:link w:val="45"/>
    <w:qFormat/>
    <w:uiPriority w:val="0"/>
    <w:pPr>
      <w:spacing w:after="120"/>
      <w:ind w:left="420" w:leftChars="200"/>
    </w:pPr>
    <w:rPr>
      <w:kern w:val="0"/>
      <w:sz w:val="24"/>
      <w:szCs w:val="20"/>
    </w:rPr>
  </w:style>
  <w:style w:type="paragraph" w:styleId="4">
    <w:name w:val="header"/>
    <w:basedOn w:val="1"/>
    <w:next w:val="5"/>
    <w:link w:val="42"/>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5">
    <w:name w:val="样式5"/>
    <w:qFormat/>
    <w:uiPriority w:val="0"/>
    <w:pPr>
      <w:widowControl/>
      <w:tabs>
        <w:tab w:val="left" w:pos="360"/>
        <w:tab w:val="left" w:pos="851"/>
        <w:tab w:val="left" w:pos="1080"/>
        <w:tab w:val="left" w:pos="1222"/>
      </w:tabs>
      <w:spacing w:beforeAutospacing="1" w:after="100" w:afterAutospacing="1" w:line="360" w:lineRule="auto"/>
      <w:ind w:firstLine="0" w:firstLineChars="0"/>
      <w:jc w:val="left"/>
      <w:outlineLvl w:val="0"/>
    </w:pPr>
    <w:rPr>
      <w:rFonts w:ascii="楷体_GB2312" w:hAnsi="楷体" w:eastAsia="黑体" w:cs="宋体"/>
      <w:b/>
      <w:color w:val="auto"/>
      <w:kern w:val="2"/>
      <w:sz w:val="28"/>
      <w:szCs w:val="28"/>
      <w:lang w:val="zh-CN" w:eastAsia="zh-CN" w:bidi="ar-SA"/>
    </w:rPr>
  </w:style>
  <w:style w:type="paragraph" w:styleId="8">
    <w:name w:val="Normal Indent"/>
    <w:basedOn w:val="1"/>
    <w:qFormat/>
    <w:locked/>
    <w:uiPriority w:val="0"/>
    <w:pPr>
      <w:spacing w:line="360" w:lineRule="auto"/>
      <w:ind w:firstLine="480" w:firstLineChars="200"/>
    </w:pPr>
    <w:rPr>
      <w:color w:val="000000"/>
      <w:sz w:val="24"/>
      <w:szCs w:val="18"/>
    </w:rPr>
  </w:style>
  <w:style w:type="paragraph" w:styleId="9">
    <w:name w:val="caption"/>
    <w:basedOn w:val="1"/>
    <w:next w:val="1"/>
    <w:qFormat/>
    <w:locked/>
    <w:uiPriority w:val="0"/>
    <w:pPr>
      <w:jc w:val="center"/>
    </w:pPr>
    <w:rPr>
      <w:rFonts w:ascii="宋体" w:hAnsi="宋体"/>
      <w:b/>
      <w:snapToGrid/>
      <w:color w:val="auto"/>
      <w:kern w:val="2"/>
    </w:rPr>
  </w:style>
  <w:style w:type="paragraph" w:styleId="10">
    <w:name w:val="annotation text"/>
    <w:basedOn w:val="1"/>
    <w:link w:val="34"/>
    <w:semiHidden/>
    <w:qFormat/>
    <w:uiPriority w:val="0"/>
    <w:pPr>
      <w:jc w:val="left"/>
    </w:pPr>
    <w:rPr>
      <w:kern w:val="0"/>
      <w:sz w:val="24"/>
      <w:szCs w:val="20"/>
    </w:rPr>
  </w:style>
  <w:style w:type="paragraph" w:styleId="11">
    <w:name w:val="Body Text"/>
    <w:basedOn w:val="1"/>
    <w:next w:val="1"/>
    <w:link w:val="35"/>
    <w:qFormat/>
    <w:uiPriority w:val="0"/>
    <w:pPr>
      <w:widowControl/>
      <w:snapToGrid w:val="0"/>
      <w:spacing w:before="60" w:after="160" w:line="259" w:lineRule="auto"/>
      <w:ind w:right="113"/>
    </w:pPr>
    <w:rPr>
      <w:kern w:val="0"/>
      <w:sz w:val="18"/>
      <w:szCs w:val="20"/>
    </w:rPr>
  </w:style>
  <w:style w:type="paragraph" w:styleId="12">
    <w:name w:val="Block Text"/>
    <w:basedOn w:val="1"/>
    <w:qFormat/>
    <w:locked/>
    <w:uiPriority w:val="0"/>
    <w:pPr>
      <w:spacing w:line="360" w:lineRule="exact"/>
      <w:ind w:left="-57" w:right="-57"/>
    </w:pPr>
    <w:rPr>
      <w:sz w:val="18"/>
      <w:szCs w:val="20"/>
    </w:rPr>
  </w:style>
  <w:style w:type="paragraph" w:styleId="13">
    <w:name w:val="toc 3"/>
    <w:basedOn w:val="1"/>
    <w:next w:val="1"/>
    <w:qFormat/>
    <w:locked/>
    <w:uiPriority w:val="0"/>
    <w:pPr>
      <w:ind w:left="420"/>
      <w:jc w:val="left"/>
    </w:pPr>
    <w:rPr>
      <w:i/>
      <w:iCs/>
      <w:sz w:val="20"/>
      <w:szCs w:val="20"/>
    </w:rPr>
  </w:style>
  <w:style w:type="paragraph" w:styleId="14">
    <w:name w:val="Plain Text"/>
    <w:basedOn w:val="1"/>
    <w:link w:val="37"/>
    <w:qFormat/>
    <w:locked/>
    <w:uiPriority w:val="99"/>
    <w:rPr>
      <w:rFonts w:ascii="宋体" w:hAnsi="Courier New"/>
      <w:snapToGrid/>
      <w:color w:val="auto"/>
      <w:sz w:val="20"/>
    </w:rPr>
  </w:style>
  <w:style w:type="paragraph" w:styleId="15">
    <w:name w:val="Date"/>
    <w:basedOn w:val="1"/>
    <w:next w:val="1"/>
    <w:link w:val="38"/>
    <w:qFormat/>
    <w:uiPriority w:val="0"/>
    <w:pPr>
      <w:ind w:left="100" w:leftChars="2500"/>
    </w:pPr>
    <w:rPr>
      <w:kern w:val="0"/>
      <w:sz w:val="24"/>
      <w:szCs w:val="20"/>
    </w:rPr>
  </w:style>
  <w:style w:type="paragraph" w:styleId="16">
    <w:name w:val="Body Text Indent 2"/>
    <w:basedOn w:val="1"/>
    <w:next w:val="1"/>
    <w:link w:val="39"/>
    <w:unhideWhenUsed/>
    <w:qFormat/>
    <w:locked/>
    <w:uiPriority w:val="99"/>
    <w:pPr>
      <w:spacing w:after="120" w:line="480" w:lineRule="auto"/>
      <w:ind w:left="420" w:leftChars="200"/>
    </w:pPr>
  </w:style>
  <w:style w:type="paragraph" w:styleId="17">
    <w:name w:val="Balloon Text"/>
    <w:basedOn w:val="1"/>
    <w:link w:val="40"/>
    <w:semiHidden/>
    <w:qFormat/>
    <w:uiPriority w:val="0"/>
    <w:rPr>
      <w:kern w:val="0"/>
      <w:sz w:val="18"/>
      <w:szCs w:val="20"/>
    </w:rPr>
  </w:style>
  <w:style w:type="paragraph" w:styleId="18">
    <w:name w:val="footer"/>
    <w:basedOn w:val="1"/>
    <w:link w:val="41"/>
    <w:qFormat/>
    <w:uiPriority w:val="99"/>
    <w:pPr>
      <w:tabs>
        <w:tab w:val="center" w:pos="4153"/>
        <w:tab w:val="right" w:pos="8306"/>
      </w:tabs>
      <w:snapToGrid w:val="0"/>
      <w:jc w:val="left"/>
    </w:pPr>
    <w:rPr>
      <w:kern w:val="0"/>
      <w:sz w:val="18"/>
      <w:szCs w:val="20"/>
    </w:rPr>
  </w:style>
  <w:style w:type="paragraph" w:styleId="19">
    <w:name w:val="toc 1"/>
    <w:basedOn w:val="1"/>
    <w:next w:val="1"/>
    <w:qFormat/>
    <w:locked/>
    <w:uiPriority w:val="0"/>
  </w:style>
  <w:style w:type="paragraph" w:styleId="20">
    <w:name w:val="table of figures"/>
    <w:basedOn w:val="1"/>
    <w:next w:val="1"/>
    <w:qFormat/>
    <w:locked/>
    <w:uiPriority w:val="0"/>
    <w:pPr>
      <w:ind w:left="200" w:leftChars="200" w:hanging="200" w:hangingChars="200"/>
    </w:pPr>
  </w:style>
  <w:style w:type="paragraph" w:styleId="21">
    <w:name w:val="Body Text 2"/>
    <w:basedOn w:val="1"/>
    <w:qFormat/>
    <w:locked/>
    <w:uiPriority w:val="0"/>
    <w:pPr>
      <w:widowControl/>
      <w:spacing w:after="120" w:line="480" w:lineRule="auto"/>
      <w:ind w:firstLine="643" w:firstLineChars="200"/>
      <w:jc w:val="left"/>
    </w:pPr>
    <w:rPr>
      <w:rFonts w:ascii="宋体" w:hAnsi="宋体" w:cs="宋体"/>
      <w:kern w:val="0"/>
      <w:sz w:val="24"/>
    </w:rPr>
  </w:style>
  <w:style w:type="paragraph" w:styleId="22">
    <w:name w:val="Normal (Web)"/>
    <w:basedOn w:val="1"/>
    <w:link w:val="43"/>
    <w:qFormat/>
    <w:uiPriority w:val="0"/>
    <w:pPr>
      <w:widowControl/>
      <w:spacing w:before="100" w:beforeAutospacing="1" w:after="100" w:afterAutospacing="1"/>
      <w:jc w:val="left"/>
    </w:pPr>
    <w:rPr>
      <w:rFonts w:ascii="宋体" w:hAnsi="宋体"/>
      <w:kern w:val="0"/>
      <w:sz w:val="24"/>
      <w:szCs w:val="20"/>
    </w:rPr>
  </w:style>
  <w:style w:type="paragraph" w:styleId="23">
    <w:name w:val="annotation subject"/>
    <w:basedOn w:val="10"/>
    <w:next w:val="10"/>
    <w:link w:val="44"/>
    <w:semiHidden/>
    <w:qFormat/>
    <w:uiPriority w:val="0"/>
    <w:rPr>
      <w:b/>
      <w:sz w:val="24"/>
      <w:szCs w:val="20"/>
    </w:rPr>
  </w:style>
  <w:style w:type="paragraph" w:styleId="24">
    <w:name w:val="Body Text First Indent"/>
    <w:basedOn w:val="11"/>
    <w:next w:val="1"/>
    <w:qFormat/>
    <w:locked/>
    <w:uiPriority w:val="99"/>
    <w:pPr>
      <w:spacing w:after="120"/>
      <w:ind w:firstLine="420" w:firstLineChars="100"/>
    </w:pPr>
    <w:rPr>
      <w:rFonts w:eastAsia="宋体"/>
      <w:sz w:val="21"/>
    </w:rPr>
  </w:style>
  <w:style w:type="table" w:styleId="26">
    <w:name w:val="Table Grid"/>
    <w:basedOn w:val="25"/>
    <w:qFormat/>
    <w:uiPriority w:val="39"/>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qFormat/>
    <w:locked/>
    <w:uiPriority w:val="0"/>
    <w:rPr>
      <w:b/>
    </w:rPr>
  </w:style>
  <w:style w:type="character" w:styleId="29">
    <w:name w:val="page number"/>
    <w:qFormat/>
    <w:locked/>
    <w:uiPriority w:val="0"/>
  </w:style>
  <w:style w:type="character" w:styleId="30">
    <w:name w:val="FollowedHyperlink"/>
    <w:basedOn w:val="27"/>
    <w:qFormat/>
    <w:locked/>
    <w:uiPriority w:val="0"/>
    <w:rPr>
      <w:color w:val="800080"/>
      <w:u w:val="single"/>
    </w:rPr>
  </w:style>
  <w:style w:type="character" w:styleId="31">
    <w:name w:val="annotation reference"/>
    <w:basedOn w:val="27"/>
    <w:semiHidden/>
    <w:qFormat/>
    <w:uiPriority w:val="0"/>
    <w:rPr>
      <w:sz w:val="21"/>
    </w:rPr>
  </w:style>
  <w:style w:type="paragraph" w:customStyle="1" w:styleId="32">
    <w:name w:val="正文首行缩进 21"/>
    <w:basedOn w:val="3"/>
    <w:next w:val="1"/>
    <w:qFormat/>
    <w:uiPriority w:val="0"/>
    <w:pPr>
      <w:ind w:firstLine="420" w:firstLineChars="200"/>
    </w:pPr>
  </w:style>
  <w:style w:type="character" w:customStyle="1" w:styleId="33">
    <w:name w:val="标题 2 Char"/>
    <w:basedOn w:val="27"/>
    <w:link w:val="7"/>
    <w:qFormat/>
    <w:uiPriority w:val="0"/>
    <w:rPr>
      <w:rFonts w:ascii="Arial" w:hAnsi="Arial" w:eastAsia="黑体"/>
      <w:b/>
      <w:bCs/>
      <w:kern w:val="2"/>
      <w:sz w:val="32"/>
      <w:szCs w:val="32"/>
    </w:rPr>
  </w:style>
  <w:style w:type="character" w:customStyle="1" w:styleId="34">
    <w:name w:val="批注文字 Char"/>
    <w:link w:val="10"/>
    <w:qFormat/>
    <w:locked/>
    <w:uiPriority w:val="0"/>
    <w:rPr>
      <w:rFonts w:ascii="Times New Roman" w:hAnsi="Times New Roman" w:eastAsia="宋体"/>
      <w:sz w:val="24"/>
    </w:rPr>
  </w:style>
  <w:style w:type="character" w:customStyle="1" w:styleId="35">
    <w:name w:val="正文文本 Char"/>
    <w:link w:val="11"/>
    <w:qFormat/>
    <w:locked/>
    <w:uiPriority w:val="0"/>
    <w:rPr>
      <w:sz w:val="18"/>
    </w:rPr>
  </w:style>
  <w:style w:type="character" w:customStyle="1" w:styleId="36">
    <w:name w:val="正文文本缩进 Char"/>
    <w:link w:val="3"/>
    <w:semiHidden/>
    <w:qFormat/>
    <w:locked/>
    <w:uiPriority w:val="0"/>
    <w:rPr>
      <w:rFonts w:ascii="Times New Roman" w:hAnsi="Times New Roman" w:eastAsia="宋体"/>
      <w:sz w:val="24"/>
    </w:rPr>
  </w:style>
  <w:style w:type="character" w:customStyle="1" w:styleId="37">
    <w:name w:val="纯文本 Char"/>
    <w:link w:val="14"/>
    <w:qFormat/>
    <w:uiPriority w:val="99"/>
    <w:rPr>
      <w:rFonts w:ascii="宋体" w:hAnsi="Courier New"/>
      <w:kern w:val="2"/>
      <w:szCs w:val="24"/>
    </w:rPr>
  </w:style>
  <w:style w:type="character" w:customStyle="1" w:styleId="38">
    <w:name w:val="日期 Char"/>
    <w:link w:val="15"/>
    <w:qFormat/>
    <w:locked/>
    <w:uiPriority w:val="0"/>
    <w:rPr>
      <w:rFonts w:ascii="Times New Roman" w:hAnsi="Times New Roman" w:eastAsia="宋体"/>
      <w:sz w:val="24"/>
    </w:rPr>
  </w:style>
  <w:style w:type="character" w:customStyle="1" w:styleId="39">
    <w:name w:val="正文文本缩进 2 Char"/>
    <w:link w:val="16"/>
    <w:qFormat/>
    <w:uiPriority w:val="99"/>
    <w:rPr>
      <w:kern w:val="2"/>
      <w:sz w:val="21"/>
      <w:szCs w:val="24"/>
    </w:rPr>
  </w:style>
  <w:style w:type="character" w:customStyle="1" w:styleId="40">
    <w:name w:val="批注框文本 Char"/>
    <w:link w:val="17"/>
    <w:semiHidden/>
    <w:qFormat/>
    <w:locked/>
    <w:uiPriority w:val="0"/>
    <w:rPr>
      <w:rFonts w:ascii="Times New Roman" w:hAnsi="Times New Roman" w:eastAsia="宋体"/>
      <w:sz w:val="18"/>
    </w:rPr>
  </w:style>
  <w:style w:type="character" w:customStyle="1" w:styleId="41">
    <w:name w:val="页脚 Char"/>
    <w:link w:val="18"/>
    <w:qFormat/>
    <w:locked/>
    <w:uiPriority w:val="99"/>
    <w:rPr>
      <w:sz w:val="18"/>
    </w:rPr>
  </w:style>
  <w:style w:type="character" w:customStyle="1" w:styleId="42">
    <w:name w:val="页眉 Char"/>
    <w:link w:val="4"/>
    <w:qFormat/>
    <w:locked/>
    <w:uiPriority w:val="0"/>
    <w:rPr>
      <w:sz w:val="18"/>
    </w:rPr>
  </w:style>
  <w:style w:type="character" w:customStyle="1" w:styleId="43">
    <w:name w:val="普通(网站) Char"/>
    <w:link w:val="22"/>
    <w:qFormat/>
    <w:locked/>
    <w:uiPriority w:val="0"/>
    <w:rPr>
      <w:rFonts w:ascii="宋体" w:hAnsi="宋体" w:eastAsia="宋体"/>
      <w:sz w:val="24"/>
    </w:rPr>
  </w:style>
  <w:style w:type="character" w:customStyle="1" w:styleId="44">
    <w:name w:val="批注主题 Char"/>
    <w:link w:val="23"/>
    <w:semiHidden/>
    <w:qFormat/>
    <w:locked/>
    <w:uiPriority w:val="0"/>
    <w:rPr>
      <w:rFonts w:ascii="Times New Roman" w:hAnsi="Times New Roman" w:eastAsia="宋体"/>
      <w:b/>
      <w:kern w:val="2"/>
      <w:sz w:val="24"/>
    </w:rPr>
  </w:style>
  <w:style w:type="character" w:customStyle="1" w:styleId="45">
    <w:name w:val="正文文本缩进 Char1"/>
    <w:link w:val="3"/>
    <w:qFormat/>
    <w:uiPriority w:val="99"/>
  </w:style>
  <w:style w:type="paragraph" w:customStyle="1" w:styleId="46">
    <w:name w:val="简单回函地址"/>
    <w:basedOn w:val="1"/>
    <w:next w:val="1"/>
    <w:qFormat/>
    <w:uiPriority w:val="0"/>
    <w:rPr>
      <w:snapToGrid/>
      <w:color w:val="auto"/>
      <w:kern w:val="2"/>
      <w:szCs w:val="20"/>
    </w:rPr>
  </w:style>
  <w:style w:type="paragraph" w:customStyle="1" w:styleId="47">
    <w:name w:val="样式 正文缩进正文缩进2正文缩进 Char Char正文缩进 Char Char Char Char正文缩进 Char ..."/>
    <w:basedOn w:val="8"/>
    <w:qFormat/>
    <w:uiPriority w:val="0"/>
    <w:pPr>
      <w:spacing w:line="360" w:lineRule="auto"/>
      <w:ind w:firstLine="200"/>
    </w:pPr>
    <w:rPr>
      <w:rFonts w:cs="宋体"/>
    </w:rPr>
  </w:style>
  <w:style w:type="paragraph" w:customStyle="1" w:styleId="48">
    <w:name w:val="正文2"/>
    <w:next w:val="1"/>
    <w:qFormat/>
    <w:uiPriority w:val="0"/>
    <w:pPr>
      <w:widowControl w:val="0"/>
      <w:suppressAutoHyphens/>
      <w:spacing w:line="520" w:lineRule="atLeast"/>
      <w:ind w:firstLine="680"/>
      <w:jc w:val="both"/>
    </w:pPr>
    <w:rPr>
      <w:rFonts w:ascii="Times New Roman" w:hAnsi="Times New Roman" w:eastAsia="宋体" w:cs="Times New Roman"/>
      <w:spacing w:val="18"/>
      <w:sz w:val="32"/>
      <w:lang w:val="en-US" w:eastAsia="zh-CN" w:bidi="ar-SA"/>
    </w:rPr>
  </w:style>
  <w:style w:type="character" w:customStyle="1" w:styleId="49">
    <w:name w:val="正文文本 字符1"/>
    <w:semiHidden/>
    <w:qFormat/>
    <w:uiPriority w:val="0"/>
    <w:rPr>
      <w:rFonts w:ascii="Times New Roman" w:hAnsi="Times New Roman" w:eastAsia="宋体"/>
      <w:sz w:val="24"/>
    </w:rPr>
  </w:style>
  <w:style w:type="character" w:customStyle="1" w:styleId="50">
    <w:name w:val="日期 字符"/>
    <w:semiHidden/>
    <w:qFormat/>
    <w:uiPriority w:val="0"/>
    <w:rPr>
      <w:rFonts w:ascii="Times New Roman" w:hAnsi="Times New Roman" w:eastAsia="宋体"/>
      <w:sz w:val="24"/>
    </w:rPr>
  </w:style>
  <w:style w:type="character" w:customStyle="1" w:styleId="51">
    <w:name w:val="表格 Char"/>
    <w:link w:val="52"/>
    <w:qFormat/>
    <w:locked/>
    <w:uiPriority w:val="0"/>
    <w:rPr>
      <w:rFonts w:ascii="宋体"/>
      <w:sz w:val="21"/>
    </w:rPr>
  </w:style>
  <w:style w:type="paragraph" w:customStyle="1" w:styleId="52">
    <w:name w:val="表格"/>
    <w:basedOn w:val="1"/>
    <w:next w:val="1"/>
    <w:link w:val="51"/>
    <w:qFormat/>
    <w:uiPriority w:val="0"/>
    <w:pPr>
      <w:adjustRightInd w:val="0"/>
      <w:snapToGrid w:val="0"/>
      <w:spacing w:beforeLines="10" w:afterLines="10" w:line="259" w:lineRule="auto"/>
      <w:jc w:val="center"/>
    </w:pPr>
    <w:rPr>
      <w:rFonts w:ascii="宋体"/>
      <w:kern w:val="0"/>
      <w:szCs w:val="20"/>
    </w:rPr>
  </w:style>
  <w:style w:type="character" w:customStyle="1" w:styleId="53">
    <w:name w:val="批注文字 字符1"/>
    <w:semiHidden/>
    <w:qFormat/>
    <w:uiPriority w:val="0"/>
    <w:rPr>
      <w:rFonts w:ascii="Times New Roman" w:hAnsi="Times New Roman" w:eastAsia="宋体"/>
      <w:sz w:val="24"/>
    </w:rPr>
  </w:style>
  <w:style w:type="character" w:customStyle="1" w:styleId="54">
    <w:name w:val="页脚 字符"/>
    <w:qFormat/>
    <w:uiPriority w:val="99"/>
  </w:style>
  <w:style w:type="paragraph" w:styleId="55">
    <w:name w:val="No Spacing"/>
    <w:qFormat/>
    <w:uiPriority w:val="1"/>
    <w:pPr>
      <w:widowControl w:val="0"/>
      <w:jc w:val="center"/>
    </w:pPr>
    <w:rPr>
      <w:rFonts w:ascii="Times New Roman" w:hAnsi="Times New Roman" w:eastAsia="宋体" w:cs="Times New Roman"/>
      <w:kern w:val="2"/>
      <w:lang w:val="en-US" w:eastAsia="zh-CN" w:bidi="ar-SA"/>
    </w:rPr>
  </w:style>
  <w:style w:type="paragraph" w:customStyle="1" w:styleId="56">
    <w:name w:val="WPSOffice手动目录 1"/>
    <w:qFormat/>
    <w:uiPriority w:val="0"/>
    <w:rPr>
      <w:rFonts w:ascii="Times New Roman" w:hAnsi="Times New Roman" w:eastAsia="宋体" w:cs="Times New Roman"/>
      <w:lang w:val="en-US" w:eastAsia="zh-CN" w:bidi="ar-SA"/>
    </w:rPr>
  </w:style>
  <w:style w:type="paragraph" w:customStyle="1" w:styleId="57">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58">
    <w:name w:val="表题注"/>
    <w:basedOn w:val="9"/>
    <w:qFormat/>
    <w:uiPriority w:val="0"/>
    <w:pPr>
      <w:spacing w:line="360" w:lineRule="auto"/>
      <w:ind w:firstLine="200" w:firstLineChars="200"/>
      <w:jc w:val="center"/>
    </w:pPr>
    <w:rPr>
      <w:rFonts w:ascii="宋体" w:hAnsi="宋体" w:eastAsia="宋体" w:cs="宋体"/>
      <w:bCs/>
      <w:sz w:val="24"/>
    </w:rPr>
  </w:style>
  <w:style w:type="paragraph" w:customStyle="1" w:styleId="59">
    <w:name w:val="标准正文"/>
    <w:basedOn w:val="1"/>
    <w:qFormat/>
    <w:uiPriority w:val="0"/>
    <w:pPr>
      <w:adjustRightInd w:val="0"/>
      <w:spacing w:line="460" w:lineRule="atLeast"/>
      <w:ind w:firstLine="567"/>
      <w:jc w:val="left"/>
    </w:pPr>
    <w:rPr>
      <w:kern w:val="28"/>
      <w:sz w:val="28"/>
      <w:szCs w:val="20"/>
    </w:rPr>
  </w:style>
  <w:style w:type="paragraph" w:customStyle="1" w:styleId="60">
    <w:name w:val="Table Paragraph"/>
    <w:basedOn w:val="1"/>
    <w:qFormat/>
    <w:uiPriority w:val="0"/>
    <w:pPr>
      <w:autoSpaceDE w:val="0"/>
      <w:autoSpaceDN w:val="0"/>
      <w:jc w:val="left"/>
    </w:pPr>
    <w:rPr>
      <w:rFonts w:ascii="宋体" w:hAnsi="宋体" w:cs="宋体"/>
      <w:snapToGrid/>
      <w:color w:val="auto"/>
      <w:sz w:val="22"/>
      <w:szCs w:val="22"/>
      <w:lang w:eastAsia="en-US"/>
    </w:rPr>
  </w:style>
  <w:style w:type="paragraph" w:customStyle="1" w:styleId="61">
    <w:name w:val="0正文"/>
    <w:basedOn w:val="1"/>
    <w:qFormat/>
    <w:uiPriority w:val="0"/>
    <w:pPr>
      <w:spacing w:line="360" w:lineRule="auto"/>
      <w:ind w:firstLine="480"/>
    </w:pPr>
    <w:rPr>
      <w:kern w:val="0"/>
      <w:szCs w:val="21"/>
    </w:rPr>
  </w:style>
  <w:style w:type="paragraph" w:customStyle="1" w:styleId="62">
    <w:name w:val="Default"/>
    <w:basedOn w:val="63"/>
    <w:next w:val="1"/>
    <w:qFormat/>
    <w:uiPriority w:val="0"/>
    <w:pPr>
      <w:widowControl w:val="0"/>
      <w:autoSpaceDE w:val="0"/>
      <w:autoSpaceDN w:val="0"/>
      <w:adjustRightInd w:val="0"/>
    </w:pPr>
    <w:rPr>
      <w:color w:val="000000"/>
      <w:sz w:val="24"/>
      <w:szCs w:val="24"/>
      <w:lang w:val="en-US" w:eastAsia="zh-CN" w:bidi="ar-SA"/>
    </w:rPr>
  </w:style>
  <w:style w:type="paragraph" w:customStyle="1" w:styleId="63">
    <w:name w:val="批注文字1"/>
    <w:qFormat/>
    <w:uiPriority w:val="0"/>
    <w:pPr>
      <w:widowControl w:val="0"/>
    </w:pPr>
    <w:rPr>
      <w:rFonts w:ascii="Calibri" w:hAnsi="Calibri" w:eastAsia="宋体" w:cs="Arial"/>
      <w:color w:val="000000"/>
      <w:kern w:val="2"/>
      <w:sz w:val="21"/>
      <w:szCs w:val="24"/>
      <w:lang w:val="en-US" w:eastAsia="zh-CN" w:bidi="ar-SA"/>
    </w:rPr>
  </w:style>
  <w:style w:type="paragraph" w:customStyle="1" w:styleId="64">
    <w:name w:val="纯文本1"/>
    <w:basedOn w:val="1"/>
    <w:qFormat/>
    <w:uiPriority w:val="0"/>
    <w:pPr>
      <w:adjustRightInd w:val="0"/>
    </w:pPr>
    <w:rPr>
      <w:rFonts w:ascii="宋体" w:hAnsi="Courier New"/>
      <w:szCs w:val="20"/>
    </w:rPr>
  </w:style>
  <w:style w:type="paragraph" w:customStyle="1" w:styleId="65">
    <w:name w:val="表格文字2"/>
    <w:basedOn w:val="1"/>
    <w:qFormat/>
    <w:uiPriority w:val="0"/>
    <w:pPr>
      <w:adjustRightInd w:val="0"/>
      <w:spacing w:before="60"/>
      <w:jc w:val="center"/>
      <w:textAlignment w:val="baseline"/>
    </w:pPr>
    <w:rPr>
      <w:rFonts w:ascii="宋体"/>
      <w:sz w:val="24"/>
      <w:szCs w:val="20"/>
    </w:rPr>
  </w:style>
  <w:style w:type="paragraph" w:customStyle="1" w:styleId="66">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7">
    <w:name w:val="PSPSPSPS"/>
    <w:basedOn w:val="1"/>
    <w:semiHidden/>
    <w:qFormat/>
    <w:uiPriority w:val="0"/>
    <w:pPr>
      <w:adjustRightInd w:val="0"/>
      <w:spacing w:line="600" w:lineRule="atLeast"/>
      <w:textAlignment w:val="baseline"/>
    </w:pPr>
    <w:rPr>
      <w:snapToGrid/>
      <w:color w:val="auto"/>
      <w:sz w:val="28"/>
      <w:szCs w:val="20"/>
    </w:rPr>
  </w:style>
  <w:style w:type="paragraph" w:customStyle="1" w:styleId="68">
    <w:name w:val="报告"/>
    <w:basedOn w:val="1"/>
    <w:qFormat/>
    <w:uiPriority w:val="0"/>
    <w:pPr>
      <w:adjustRightInd w:val="0"/>
      <w:spacing w:line="360" w:lineRule="auto"/>
      <w:ind w:firstLine="505"/>
      <w:jc w:val="left"/>
      <w:textAlignment w:val="baseline"/>
    </w:pPr>
    <w:rPr>
      <w:rFonts w:ascii="Times New Roman" w:hAnsi="Times New Roman"/>
      <w:snapToGrid/>
      <w:color w:val="auto"/>
      <w:sz w:val="24"/>
      <w:szCs w:val="20"/>
    </w:rPr>
  </w:style>
  <w:style w:type="paragraph" w:customStyle="1" w:styleId="69">
    <w:name w:val="表格内容"/>
    <w:basedOn w:val="1"/>
    <w:link w:val="70"/>
    <w:qFormat/>
    <w:uiPriority w:val="0"/>
    <w:pPr>
      <w:jc w:val="center"/>
    </w:pPr>
    <w:rPr>
      <w:rFonts w:eastAsia="Times New Roman"/>
      <w:szCs w:val="21"/>
    </w:rPr>
  </w:style>
  <w:style w:type="character" w:customStyle="1" w:styleId="70">
    <w:name w:val="表格内容 Char"/>
    <w:link w:val="69"/>
    <w:qFormat/>
    <w:uiPriority w:val="0"/>
    <w:rPr>
      <w:rFonts w:eastAsia="Times New Roman"/>
      <w:kern w:val="2"/>
      <w:sz w:val="21"/>
      <w:szCs w:val="21"/>
    </w:rPr>
  </w:style>
  <w:style w:type="paragraph" w:customStyle="1" w:styleId="71">
    <w:name w:val="标题3-吴"/>
    <w:next w:val="1"/>
    <w:qFormat/>
    <w:uiPriority w:val="0"/>
    <w:pPr>
      <w:spacing w:line="360" w:lineRule="auto"/>
      <w:outlineLvl w:val="2"/>
    </w:pPr>
    <w:rPr>
      <w:rFonts w:ascii="Times New Roman" w:hAnsi="Times New Roman" w:eastAsia="黑体" w:cs="Times New Roman"/>
      <w:bCs/>
      <w:kern w:val="2"/>
      <w:sz w:val="24"/>
      <w:szCs w:val="32"/>
      <w:lang w:val="en-US" w:eastAsia="zh-CN" w:bidi="ar-SA"/>
    </w:rPr>
  </w:style>
  <w:style w:type="paragraph" w:customStyle="1" w:styleId="72">
    <w:name w:val="正文样式"/>
    <w:basedOn w:val="1"/>
    <w:qFormat/>
    <w:uiPriority w:val="0"/>
    <w:pPr>
      <w:tabs>
        <w:tab w:val="left" w:pos="1440"/>
        <w:tab w:val="left" w:pos="4368"/>
      </w:tabs>
      <w:spacing w:line="360" w:lineRule="auto"/>
      <w:ind w:firstLine="493"/>
    </w:pPr>
    <w:rPr>
      <w:color w:val="FF0000"/>
      <w:sz w:val="24"/>
    </w:rPr>
  </w:style>
  <w:style w:type="paragraph" w:customStyle="1" w:styleId="73">
    <w:name w:val="我的样式"/>
    <w:basedOn w:val="1"/>
    <w:qFormat/>
    <w:uiPriority w:val="0"/>
    <w:pPr>
      <w:adjustRightInd w:val="0"/>
      <w:snapToGrid w:val="0"/>
      <w:spacing w:line="360" w:lineRule="auto"/>
      <w:ind w:firstLine="200" w:firstLineChars="200"/>
      <w:jc w:val="left"/>
      <w:textAlignment w:val="baseline"/>
    </w:pPr>
    <w:rPr>
      <w:snapToGrid w:val="0"/>
      <w:sz w:val="28"/>
    </w:rPr>
  </w:style>
  <w:style w:type="paragraph" w:styleId="74">
    <w:name w:val="List Paragraph"/>
    <w:basedOn w:val="1"/>
    <w:qFormat/>
    <w:uiPriority w:val="34"/>
    <w:pPr>
      <w:ind w:firstLine="420" w:firstLineChars="200"/>
    </w:pPr>
  </w:style>
  <w:style w:type="paragraph" w:customStyle="1" w:styleId="75">
    <w:name w:val="列出段落11"/>
    <w:basedOn w:val="1"/>
    <w:qFormat/>
    <w:uiPriority w:val="0"/>
    <w:pPr>
      <w:ind w:firstLine="420" w:firstLineChars="200"/>
    </w:pPr>
    <w:rPr>
      <w:szCs w:val="21"/>
    </w:rPr>
  </w:style>
  <w:style w:type="paragraph" w:customStyle="1" w:styleId="76">
    <w:name w:val="列出段落1"/>
    <w:basedOn w:val="1"/>
    <w:qFormat/>
    <w:uiPriority w:val="34"/>
    <w:pPr>
      <w:ind w:firstLine="420" w:firstLineChars="200"/>
    </w:pPr>
    <w:rPr>
      <w:rFonts w:ascii="Calibri" w:hAnsi="Calibri" w:eastAsia="宋体" w:cs="Times New Roman"/>
    </w:rPr>
  </w:style>
  <w:style w:type="paragraph" w:customStyle="1" w:styleId="77">
    <w:name w:val="正文首行缩进1"/>
    <w:basedOn w:val="1"/>
    <w:next w:val="1"/>
    <w:qFormat/>
    <w:uiPriority w:val="0"/>
    <w:pPr>
      <w:spacing w:after="120"/>
      <w:ind w:firstLine="420" w:firstLineChars="100"/>
      <w:jc w:val="center"/>
    </w:pPr>
    <w:rPr>
      <w:rFonts w:hAnsi="Plotter"/>
      <w:kern w:val="0"/>
      <w:sz w:val="20"/>
      <w:szCs w:val="20"/>
    </w:rPr>
  </w:style>
  <w:style w:type="character" w:customStyle="1" w:styleId="78">
    <w:name w:val="font11"/>
    <w:basedOn w:val="27"/>
    <w:qFormat/>
    <w:uiPriority w:val="0"/>
    <w:rPr>
      <w:rFonts w:hint="eastAsia" w:ascii="宋体" w:hAnsi="宋体" w:eastAsia="宋体"/>
      <w:color w:val="000000"/>
      <w:sz w:val="28"/>
      <w:szCs w:val="28"/>
      <w:u w:val="none"/>
    </w:rPr>
  </w:style>
  <w:style w:type="character" w:customStyle="1" w:styleId="79">
    <w:name w:val="font21"/>
    <w:basedOn w:val="27"/>
    <w:qFormat/>
    <w:uiPriority w:val="0"/>
    <w:rPr>
      <w:rFonts w:hint="default" w:ascii="Times New Roman" w:hAnsi="Times New Roman" w:cs="Times New Roman"/>
      <w:color w:val="000000"/>
      <w:sz w:val="28"/>
      <w:szCs w:val="28"/>
      <w:u w:val="none"/>
    </w:rPr>
  </w:style>
  <w:style w:type="character" w:customStyle="1" w:styleId="80">
    <w:name w:val="font31"/>
    <w:basedOn w:val="27"/>
    <w:qFormat/>
    <w:uiPriority w:val="0"/>
    <w:rPr>
      <w:rFonts w:hint="default" w:ascii="Times New Roman" w:hAnsi="Times New Roman" w:cs="Times New Roman"/>
      <w:color w:val="000000"/>
      <w:sz w:val="28"/>
      <w:szCs w:val="28"/>
      <w:u w:val="none"/>
      <w:vertAlign w:val="subscript"/>
    </w:rPr>
  </w:style>
  <w:style w:type="paragraph" w:customStyle="1" w:styleId="81">
    <w:name w:val="四级目录1"/>
    <w:basedOn w:val="1"/>
    <w:qFormat/>
    <w:uiPriority w:val="0"/>
    <w:pPr>
      <w:adjustRightInd w:val="0"/>
      <w:spacing w:line="360" w:lineRule="auto"/>
      <w:textAlignment w:val="baseline"/>
    </w:pPr>
    <w:rPr>
      <w:b/>
      <w:color w:val="0000FF"/>
      <w:sz w:val="24"/>
      <w:szCs w:val="20"/>
    </w:rPr>
  </w:style>
  <w:style w:type="character" w:customStyle="1" w:styleId="82">
    <w:name w:val="标题 2 Char1"/>
    <w:qFormat/>
    <w:uiPriority w:val="0"/>
    <w:rPr>
      <w:rFonts w:ascii="Arial" w:hAnsi="Arial" w:eastAsia="黑体"/>
      <w:b/>
      <w:bCs/>
      <w:sz w:val="32"/>
      <w:szCs w:val="32"/>
    </w:rPr>
  </w:style>
  <w:style w:type="character" w:customStyle="1" w:styleId="83">
    <w:name w:val="标题 2 字符"/>
    <w:qFormat/>
    <w:locked/>
    <w:uiPriority w:val="99"/>
    <w:rPr>
      <w:rFonts w:ascii="Arial" w:hAnsi="Arial" w:eastAsia="黑体" w:cs="Times New Roman"/>
      <w:b/>
      <w:sz w:val="32"/>
    </w:rPr>
  </w:style>
  <w:style w:type="paragraph" w:customStyle="1" w:styleId="84">
    <w:name w:val="List Paragraph1"/>
    <w:basedOn w:val="1"/>
    <w:qFormat/>
    <w:uiPriority w:val="0"/>
    <w:pPr>
      <w:spacing w:before="1"/>
      <w:ind w:left="244" w:hanging="601"/>
    </w:pPr>
    <w:rPr>
      <w:rFonts w:ascii="宋体" w:hAnsi="宋体" w:cs="宋体"/>
      <w:szCs w:val="21"/>
      <w:lang w:val="zh-CN" w:bidi="zh-CN"/>
    </w:rPr>
  </w:style>
  <w:style w:type="paragraph" w:customStyle="1" w:styleId="85">
    <w:name w:val="表格文字"/>
    <w:qFormat/>
    <w:uiPriority w:val="0"/>
    <w:pPr>
      <w:widowControl w:val="0"/>
      <w:autoSpaceDE w:val="0"/>
      <w:autoSpaceDN w:val="0"/>
      <w:adjustRightInd w:val="0"/>
      <w:textAlignment w:val="baseline"/>
    </w:pPr>
    <w:rPr>
      <w:rFonts w:ascii="宋体" w:hAnsi="Times New Roman" w:eastAsia="宋体" w:cs="Times New Roman"/>
      <w:color w:val="000000"/>
      <w:sz w:val="24"/>
      <w:lang w:val="en-US" w:eastAsia="zh-CN" w:bidi="ar-SA"/>
    </w:rPr>
  </w:style>
  <w:style w:type="paragraph" w:customStyle="1" w:styleId="86">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paragraph" w:customStyle="1" w:styleId="87">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table" w:customStyle="1" w:styleId="88">
    <w:name w:val="Table Grid_0"/>
    <w:basedOn w:val="25"/>
    <w:qFormat/>
    <w:uiPriority w:val="0"/>
    <w:rPr>
      <w:rFonts w:ascii="Times New Roman" w:hAnsi="Times New Roman" w:eastAsia="仿宋"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9">
    <w:name w:val="lwx-正文"/>
    <w:basedOn w:val="90"/>
    <w:qFormat/>
    <w:uiPriority w:val="0"/>
    <w:pPr>
      <w:spacing w:after="0" w:afterLines="0" w:line="360" w:lineRule="auto"/>
      <w:ind w:firstLine="200" w:firstLineChars="200"/>
      <w:jc w:val="both"/>
    </w:pPr>
    <w:rPr>
      <w:b w:val="0"/>
      <w:sz w:val="24"/>
    </w:rPr>
  </w:style>
  <w:style w:type="paragraph" w:customStyle="1" w:styleId="90">
    <w:name w:val="lwx-图名"/>
    <w:basedOn w:val="91"/>
    <w:qFormat/>
    <w:uiPriority w:val="0"/>
    <w:pPr>
      <w:spacing w:before="0" w:beforeLines="0" w:after="50" w:afterLines="50"/>
    </w:pPr>
  </w:style>
  <w:style w:type="paragraph" w:customStyle="1" w:styleId="91">
    <w:name w:val="lwx-表头"/>
    <w:basedOn w:val="92"/>
    <w:qFormat/>
    <w:uiPriority w:val="0"/>
    <w:pPr>
      <w:spacing w:before="50" w:beforeLines="50"/>
    </w:pPr>
    <w:rPr>
      <w:b/>
    </w:rPr>
  </w:style>
  <w:style w:type="paragraph" w:customStyle="1" w:styleId="92">
    <w:name w:val="lwx-表内文字"/>
    <w:basedOn w:val="1"/>
    <w:qFormat/>
    <w:uiPriority w:val="0"/>
    <w:pPr>
      <w:adjustRightInd w:val="0"/>
      <w:snapToGrid w:val="0"/>
      <w:jc w:val="center"/>
    </w:pPr>
    <w:rPr>
      <w:bCs/>
      <w:szCs w:val="21"/>
    </w:rPr>
  </w:style>
  <w:style w:type="paragraph" w:customStyle="1" w:styleId="93">
    <w:name w:val="c标3"/>
    <w:basedOn w:val="1"/>
    <w:qFormat/>
    <w:uiPriority w:val="0"/>
    <w:pPr>
      <w:spacing w:beforeLines="30" w:after="100" w:afterAutospacing="1" w:line="500" w:lineRule="exact"/>
      <w:ind w:firstLine="98" w:firstLineChars="98"/>
    </w:pPr>
    <w:rPr>
      <w:rFonts w:cs="Times New Roman"/>
      <w:b/>
      <w:sz w:val="24"/>
      <w:szCs w:val="24"/>
    </w:rPr>
  </w:style>
  <w:style w:type="paragraph" w:customStyle="1" w:styleId="94">
    <w:name w:val="居中正文"/>
    <w:basedOn w:val="24"/>
    <w:qFormat/>
    <w:uiPriority w:val="0"/>
    <w:pPr>
      <w:adjustRightInd w:val="0"/>
      <w:spacing w:before="120" w:after="0" w:line="360" w:lineRule="auto"/>
      <w:ind w:firstLine="0" w:firstLineChars="0"/>
      <w:jc w:val="center"/>
      <w:textAlignment w:val="baseline"/>
    </w:pPr>
    <w:rPr>
      <w:kern w:val="28"/>
      <w:szCs w:val="20"/>
    </w:rPr>
  </w:style>
  <w:style w:type="paragraph" w:customStyle="1" w:styleId="95">
    <w:name w:val="Char Char Char Char Char Char Char"/>
    <w:basedOn w:val="1"/>
    <w:qFormat/>
    <w:uiPriority w:val="0"/>
    <w:rPr>
      <w:szCs w:val="21"/>
    </w:rPr>
  </w:style>
  <w:style w:type="paragraph" w:customStyle="1" w:styleId="96">
    <w:name w:val="样式1"/>
    <w:basedOn w:val="1"/>
    <w:qFormat/>
    <w:uiPriority w:val="0"/>
    <w:pPr>
      <w:adjustRightInd w:val="0"/>
      <w:spacing w:line="480" w:lineRule="atLeast"/>
      <w:ind w:firstLine="539"/>
    </w:pPr>
    <w:rPr>
      <w:rFonts w:eastAsia="仿宋_GB2312"/>
      <w:kern w:val="0"/>
      <w:sz w:val="28"/>
      <w:szCs w:val="28"/>
    </w:rPr>
  </w:style>
  <w:style w:type="paragraph" w:customStyle="1" w:styleId="97">
    <w:name w:val="0正文缩"/>
    <w:basedOn w:val="1"/>
    <w:qFormat/>
    <w:uiPriority w:val="0"/>
    <w:pPr>
      <w:adjustRightInd w:val="0"/>
      <w:snapToGrid w:val="0"/>
      <w:spacing w:line="360" w:lineRule="auto"/>
      <w:ind w:firstLine="200" w:firstLineChars="200"/>
    </w:pPr>
    <w:rPr>
      <w:sz w:val="24"/>
    </w:rPr>
  </w:style>
  <w:style w:type="paragraph" w:customStyle="1" w:styleId="98">
    <w:name w:val="1、表内字"/>
    <w:basedOn w:val="1"/>
    <w:qFormat/>
    <w:uiPriority w:val="0"/>
    <w:pPr>
      <w:widowControl/>
      <w:adjustRightInd w:val="0"/>
      <w:snapToGrid w:val="0"/>
      <w:spacing w:line="240" w:lineRule="exact"/>
      <w:jc w:val="center"/>
    </w:pPr>
    <w:rPr>
      <w:kern w:val="0"/>
      <w:sz w:val="24"/>
      <w:szCs w:val="21"/>
    </w:rPr>
  </w:style>
  <w:style w:type="paragraph" w:customStyle="1" w:styleId="99">
    <w:name w:val="表名"/>
    <w:basedOn w:val="1"/>
    <w:qFormat/>
    <w:uiPriority w:val="0"/>
    <w:pPr>
      <w:autoSpaceDE w:val="0"/>
      <w:autoSpaceDN w:val="0"/>
      <w:adjustRightInd w:val="0"/>
      <w:jc w:val="center"/>
      <w:textAlignment w:val="baseline"/>
    </w:pPr>
    <w:rPr>
      <w:b/>
      <w:kern w:val="0"/>
      <w:sz w:val="24"/>
    </w:rPr>
  </w:style>
  <w:style w:type="paragraph" w:customStyle="1" w:styleId="100">
    <w:name w:val="表内字"/>
    <w:qFormat/>
    <w:uiPriority w:val="0"/>
    <w:pPr>
      <w:tabs>
        <w:tab w:val="left" w:pos="1572"/>
      </w:tabs>
      <w:spacing w:line="240" w:lineRule="exact"/>
      <w:jc w:val="center"/>
    </w:pPr>
    <w:rPr>
      <w:rFonts w:ascii="Times New Roman" w:hAnsi="Times New Roman" w:eastAsia="宋体" w:cs="Times New Roman"/>
      <w:iCs/>
      <w:color w:val="000000"/>
      <w:kern w:val="2"/>
      <w:sz w:val="21"/>
      <w:szCs w:val="15"/>
      <w:lang w:val="en-US" w:eastAsia="zh-CN" w:bidi="ar-SA"/>
    </w:rPr>
  </w:style>
  <w:style w:type="paragraph" w:customStyle="1" w:styleId="101">
    <w:name w:val="表格内容11"/>
    <w:basedOn w:val="1"/>
    <w:qFormat/>
    <w:uiPriority w:val="0"/>
    <w:pPr>
      <w:adjustRightInd w:val="0"/>
      <w:snapToGrid w:val="0"/>
      <w:spacing w:line="360" w:lineRule="auto"/>
      <w:ind w:firstLine="200" w:firstLineChars="200"/>
      <w:jc w:val="center"/>
    </w:pPr>
    <w:rPr>
      <w:color w:val="FF0000"/>
      <w:kern w:val="0"/>
      <w:sz w:val="22"/>
      <w:szCs w:val="21"/>
    </w:rPr>
  </w:style>
  <w:style w:type="paragraph" w:customStyle="1" w:styleId="102">
    <w:name w:val="样式6"/>
    <w:basedOn w:val="14"/>
    <w:qFormat/>
    <w:uiPriority w:val="0"/>
    <w:pPr>
      <w:tabs>
        <w:tab w:val="left" w:pos="-280"/>
        <w:tab w:val="left" w:pos="-220"/>
      </w:tabs>
    </w:pPr>
    <w:rPr>
      <w:rFonts w:ascii="Times New Roman" w:hAnsi="Times New Roman" w:cs="Times New Roman"/>
      <w:sz w:val="24"/>
      <w:szCs w:val="20"/>
    </w:rPr>
  </w:style>
  <w:style w:type="paragraph" w:customStyle="1" w:styleId="103">
    <w:name w:val="表格文字-Y"/>
    <w:basedOn w:val="1"/>
    <w:qFormat/>
    <w:uiPriority w:val="0"/>
    <w:pPr>
      <w:adjustRightInd w:val="0"/>
      <w:snapToGrid w:val="0"/>
      <w:jc w:val="center"/>
    </w:pPr>
    <w:rPr>
      <w:rFonts w:ascii="Times New Roman" w:hAnsi="Times New Roman"/>
      <w:szCs w:val="21"/>
    </w:rPr>
  </w:style>
  <w:style w:type="paragraph" w:customStyle="1" w:styleId="104">
    <w:name w:val="a-w表格"/>
    <w:qFormat/>
    <w:uiPriority w:val="0"/>
    <w:pPr>
      <w:jc w:val="center"/>
    </w:pPr>
    <w:rPr>
      <w:rFonts w:ascii="Times New Roman" w:hAnsi="Times New Roman" w:eastAsia="宋体" w:cs="Times New Roman"/>
      <w:kern w:val="2"/>
      <w:sz w:val="21"/>
      <w:szCs w:val="21"/>
      <w:lang w:val="en-US" w:eastAsia="zh-CN" w:bidi="ar-SA"/>
    </w:rPr>
  </w:style>
  <w:style w:type="character" w:customStyle="1" w:styleId="105">
    <w:name w:val="font41"/>
    <w:basedOn w:val="27"/>
    <w:qFormat/>
    <w:uiPriority w:val="0"/>
    <w:rPr>
      <w:rFonts w:hint="default" w:ascii="Times New Roman" w:hAnsi="Times New Roman" w:cs="Times New Roman"/>
      <w:b/>
      <w:bCs/>
      <w:color w:val="000000"/>
      <w:sz w:val="21"/>
      <w:szCs w:val="21"/>
      <w:u w:val="none"/>
    </w:rPr>
  </w:style>
  <w:style w:type="character" w:customStyle="1" w:styleId="106">
    <w:name w:val="font51"/>
    <w:basedOn w:val="27"/>
    <w:qFormat/>
    <w:uiPriority w:val="0"/>
    <w:rPr>
      <w:rFonts w:hint="default" w:ascii="Times New Roman" w:hAnsi="Times New Roman" w:cs="Times New Roman"/>
      <w:b/>
      <w:bCs/>
      <w:color w:val="000000"/>
      <w:sz w:val="21"/>
      <w:szCs w:val="21"/>
      <w:u w:val="none"/>
      <w:vertAlign w:val="superscript"/>
    </w:rPr>
  </w:style>
  <w:style w:type="character" w:customStyle="1" w:styleId="107">
    <w:name w:val="font61"/>
    <w:basedOn w:val="27"/>
    <w:qFormat/>
    <w:uiPriority w:val="0"/>
    <w:rPr>
      <w:rFonts w:hint="default" w:ascii="Times New Roman" w:hAnsi="Times New Roman" w:cs="Times New Roman"/>
      <w:color w:val="000000"/>
      <w:sz w:val="21"/>
      <w:szCs w:val="21"/>
      <w:u w:val="none"/>
      <w:vertAlign w:val="subscript"/>
    </w:rPr>
  </w:style>
  <w:style w:type="paragraph" w:customStyle="1" w:styleId="108">
    <w:name w:val="正文A"/>
    <w:basedOn w:val="1"/>
    <w:qFormat/>
    <w:uiPriority w:val="0"/>
    <w:pPr>
      <w:autoSpaceDE w:val="0"/>
      <w:autoSpaceDN w:val="0"/>
      <w:adjustRightInd w:val="0"/>
      <w:snapToGrid w:val="0"/>
      <w:ind w:firstLine="200"/>
      <w:textAlignment w:val="baseline"/>
    </w:pPr>
    <w:rPr>
      <w:kern w:val="0"/>
      <w:szCs w:val="20"/>
    </w:rPr>
  </w:style>
  <w:style w:type="paragraph" w:customStyle="1" w:styleId="109">
    <w:name w:val="Body text|1"/>
    <w:basedOn w:val="1"/>
    <w:qFormat/>
    <w:uiPriority w:val="0"/>
    <w:pPr>
      <w:spacing w:line="458" w:lineRule="auto"/>
      <w:ind w:firstLine="400"/>
    </w:pPr>
    <w:rPr>
      <w:rFonts w:ascii="宋体" w:hAnsi="宋体" w:cs="宋体"/>
      <w:sz w:val="20"/>
      <w:szCs w:val="20"/>
      <w:lang w:val="zh-TW" w:eastAsia="zh-TW" w:bidi="zh-TW"/>
    </w:rPr>
  </w:style>
  <w:style w:type="paragraph" w:customStyle="1" w:styleId="110">
    <w:name w:val="c正文"/>
    <w:basedOn w:val="1"/>
    <w:qFormat/>
    <w:uiPriority w:val="0"/>
    <w:pPr>
      <w:adjustRightInd w:val="0"/>
      <w:snapToGrid w:val="0"/>
      <w:spacing w:line="500" w:lineRule="exact"/>
      <w:ind w:firstLine="480" w:firstLineChars="200"/>
    </w:pPr>
    <w:rPr>
      <w:sz w:val="24"/>
    </w:rPr>
  </w:style>
  <w:style w:type="character" w:customStyle="1" w:styleId="111">
    <w:name w:val="font81"/>
    <w:basedOn w:val="27"/>
    <w:qFormat/>
    <w:uiPriority w:val="0"/>
    <w:rPr>
      <w:rFonts w:hint="default" w:ascii="Times New Roman" w:hAnsi="Times New Roman" w:cs="Times New Roman"/>
      <w:color w:val="000000"/>
      <w:sz w:val="21"/>
      <w:szCs w:val="21"/>
      <w:u w:val="none"/>
      <w:vertAlign w:val="superscript"/>
    </w:rPr>
  </w:style>
  <w:style w:type="character" w:customStyle="1" w:styleId="112">
    <w:name w:val="font91"/>
    <w:basedOn w:val="27"/>
    <w:qFormat/>
    <w:uiPriority w:val="0"/>
    <w:rPr>
      <w:rFonts w:hint="default" w:ascii="Times New Roman" w:hAnsi="Times New Roman" w:cs="Times New Roman"/>
      <w:b/>
      <w:bCs/>
      <w:color w:val="000000"/>
      <w:sz w:val="21"/>
      <w:szCs w:val="21"/>
      <w:u w:val="none"/>
      <w:vertAlign w:val="subscript"/>
    </w:rPr>
  </w:style>
  <w:style w:type="character" w:customStyle="1" w:styleId="113">
    <w:name w:val="font71"/>
    <w:basedOn w:val="27"/>
    <w:qFormat/>
    <w:uiPriority w:val="0"/>
    <w:rPr>
      <w:rFonts w:hint="default" w:ascii="Times New Roman" w:hAnsi="Times New Roman" w:cs="Times New Roman"/>
      <w:b/>
      <w:bCs/>
      <w:color w:val="000000"/>
      <w:sz w:val="21"/>
      <w:szCs w:val="21"/>
      <w:u w:val="none"/>
      <w:vertAlign w:val="subscript"/>
    </w:rPr>
  </w:style>
  <w:style w:type="paragraph" w:customStyle="1" w:styleId="114">
    <w:name w:val="新格式表"/>
    <w:basedOn w:val="1"/>
    <w:qFormat/>
    <w:uiPriority w:val="0"/>
    <w:pPr>
      <w:adjustRightInd w:val="0"/>
      <w:snapToGrid w:val="0"/>
      <w:spacing w:line="0" w:lineRule="atLeast"/>
      <w:ind w:firstLine="643" w:firstLineChars="200"/>
      <w:jc w:val="center"/>
    </w:pPr>
    <w:rPr>
      <w:sz w:val="24"/>
      <w:szCs w:val="21"/>
    </w:rPr>
  </w:style>
  <w:style w:type="paragraph" w:customStyle="1" w:styleId="115">
    <w:name w:val="表格内容居中"/>
    <w:qFormat/>
    <w:uiPriority w:val="0"/>
    <w:pPr>
      <w:adjustRightInd w:val="0"/>
      <w:snapToGrid w:val="0"/>
      <w:jc w:val="center"/>
    </w:pPr>
    <w:rPr>
      <w:rFonts w:ascii="Times New Roman" w:hAnsi="Times New Roman" w:eastAsia="宋体" w:cs="Times New Roman"/>
      <w:snapToGrid w:val="0"/>
      <w:sz w:val="21"/>
      <w:szCs w:val="21"/>
      <w:lang w:val="en-US" w:eastAsia="zh-CN" w:bidi="ar-SA"/>
    </w:rPr>
  </w:style>
  <w:style w:type="paragraph" w:customStyle="1" w:styleId="116">
    <w:name w:val="【表内字】"/>
    <w:basedOn w:val="1"/>
    <w:qFormat/>
    <w:uiPriority w:val="0"/>
    <w:pPr>
      <w:jc w:val="center"/>
    </w:pPr>
    <w:rPr>
      <w:snapToGrid w:val="0"/>
      <w:kern w:val="0"/>
      <w:lang w:val="zh-CN"/>
    </w:rPr>
  </w:style>
  <w:style w:type="paragraph" w:customStyle="1" w:styleId="117">
    <w:name w:val="a-w正文"/>
    <w:qFormat/>
    <w:uiPriority w:val="0"/>
    <w:pPr>
      <w:tabs>
        <w:tab w:val="left" w:pos="567"/>
        <w:tab w:val="left" w:pos="851"/>
      </w:tabs>
      <w:adjustRightInd w:val="0"/>
      <w:snapToGrid w:val="0"/>
      <w:spacing w:line="360" w:lineRule="auto"/>
      <w:ind w:firstLine="480" w:firstLineChars="200"/>
      <w:jc w:val="both"/>
    </w:pPr>
    <w:rPr>
      <w:rFonts w:ascii="Times New Roman" w:hAnsi="Times New Roman" w:eastAsia="宋体" w:cs="Times New Roman"/>
      <w:kern w:val="2"/>
      <w:sz w:val="24"/>
      <w:szCs w:val="24"/>
      <w:lang w:val="en-US" w:eastAsia="zh-CN" w:bidi="ar-SA"/>
    </w:rPr>
  </w:style>
  <w:style w:type="paragraph" w:customStyle="1" w:styleId="118">
    <w:name w:val="Table Text"/>
    <w:basedOn w:val="1"/>
    <w:semiHidden/>
    <w:qFormat/>
    <w:uiPriority w:val="0"/>
    <w:rPr>
      <w:rFonts w:ascii="宋体" w:hAnsi="宋体" w:cs="宋体"/>
      <w:sz w:val="24"/>
      <w:lang w:eastAsia="en-US"/>
    </w:rPr>
  </w:style>
  <w:style w:type="paragraph" w:customStyle="1" w:styleId="119">
    <w:name w:val="报告正文"/>
    <w:basedOn w:val="1"/>
    <w:qFormat/>
    <w:uiPriority w:val="0"/>
    <w:pPr>
      <w:spacing w:line="440" w:lineRule="exact"/>
      <w:ind w:firstLine="480" w:firstLineChars="200"/>
    </w:pPr>
    <w:rPr>
      <w:color w:val="000000"/>
      <w:sz w:val="24"/>
      <w:szCs w:val="24"/>
      <w:lang w:val="zh-CN" w:eastAsia="zh-CN"/>
    </w:rPr>
  </w:style>
  <w:style w:type="paragraph" w:customStyle="1" w:styleId="120">
    <w:name w:val="Zheng砂场"/>
    <w:basedOn w:val="1"/>
    <w:qFormat/>
    <w:uiPriority w:val="0"/>
    <w:pPr>
      <w:adjustRightInd w:val="0"/>
      <w:snapToGrid w:val="0"/>
      <w:spacing w:line="360" w:lineRule="auto"/>
      <w:ind w:firstLine="200" w:firstLineChars="200"/>
    </w:pPr>
    <w:rPr>
      <w:rFonts w:eastAsia="仿宋_GB2312"/>
      <w:bCs/>
      <w:kern w:val="0"/>
      <w:sz w:val="24"/>
      <w:szCs w:val="20"/>
    </w:rPr>
  </w:style>
  <w:style w:type="paragraph" w:customStyle="1" w:styleId="121">
    <w:name w:val="表中文字"/>
    <w:basedOn w:val="1"/>
    <w:autoRedefine/>
    <w:qFormat/>
    <w:uiPriority w:val="0"/>
    <w:pPr>
      <w:adjustRightInd w:val="0"/>
      <w:snapToGrid w:val="0"/>
      <w:spacing w:line="240" w:lineRule="atLeast"/>
      <w:ind w:firstLine="643" w:firstLineChars="200"/>
      <w:jc w:val="center"/>
    </w:pPr>
    <w:rPr>
      <w:snapToGrid w:val="0"/>
      <w:kern w:val="0"/>
      <w:sz w:val="24"/>
      <w:szCs w:val="20"/>
    </w:rPr>
  </w:style>
  <w:style w:type="paragraph" w:customStyle="1" w:styleId="122">
    <w:name w:val="..正文"/>
    <w:qFormat/>
    <w:uiPriority w:val="0"/>
    <w:pPr>
      <w:spacing w:line="360" w:lineRule="auto"/>
      <w:ind w:firstLine="200" w:firstLineChars="200"/>
      <w:jc w:val="both"/>
    </w:pPr>
    <w:rPr>
      <w:rFonts w:ascii="Times New Roman" w:hAnsi="Times New Roman" w:eastAsia="宋体" w:cs="Times New Roman"/>
      <w:kern w:val="2"/>
      <w:sz w:val="24"/>
      <w:szCs w:val="25"/>
      <w:lang w:val="en-US" w:eastAsia="zh-CN" w:bidi="ar-SA"/>
    </w:rPr>
  </w:style>
  <w:style w:type="table" w:customStyle="1" w:styleId="123">
    <w:name w:val="Table Normal"/>
    <w:unhideWhenUsed/>
    <w:qFormat/>
    <w:uiPriority w:val="0"/>
    <w:tblPr>
      <w:tblCellMar>
        <w:top w:w="0" w:type="dxa"/>
        <w:left w:w="0" w:type="dxa"/>
        <w:bottom w:w="0" w:type="dxa"/>
        <w:right w:w="0" w:type="dxa"/>
      </w:tblCellMar>
    </w:tblPr>
  </w:style>
  <w:style w:type="paragraph" w:customStyle="1" w:styleId="124">
    <w:name w:val="环评字符段落"/>
    <w:basedOn w:val="1"/>
    <w:qFormat/>
    <w:uiPriority w:val="0"/>
    <w:pPr>
      <w:spacing w:line="360" w:lineRule="auto"/>
      <w:ind w:firstLine="643" w:firstLineChars="200"/>
    </w:pPr>
    <w:rPr>
      <w:kern w:val="0"/>
      <w:sz w:val="24"/>
    </w:rPr>
  </w:style>
  <w:style w:type="paragraph" w:customStyle="1" w:styleId="125">
    <w:name w:val="L表格"/>
    <w:basedOn w:val="126"/>
    <w:qFormat/>
    <w:uiPriority w:val="0"/>
    <w:pPr>
      <w:spacing w:line="320" w:lineRule="exact"/>
      <w:jc w:val="center"/>
    </w:pPr>
    <w:rPr>
      <w:rFonts w:eastAsia="Times New Roman"/>
    </w:rPr>
  </w:style>
  <w:style w:type="paragraph" w:customStyle="1" w:styleId="126">
    <w:name w:val="L正文"/>
    <w:basedOn w:val="1"/>
    <w:qFormat/>
    <w:uiPriority w:val="0"/>
    <w:pPr>
      <w:adjustRightInd w:val="0"/>
      <w:snapToGrid w:val="0"/>
      <w:spacing w:line="360" w:lineRule="auto"/>
      <w:ind w:firstLine="200" w:firstLineChars="200"/>
      <w:jc w:val="left"/>
    </w:pPr>
    <w:rPr>
      <w:sz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9" Type="http://schemas.openxmlformats.org/officeDocument/2006/relationships/fontTable" Target="fontTable.xml"/><Relationship Id="rId38" Type="http://schemas.openxmlformats.org/officeDocument/2006/relationships/customXml" Target="../customXml/item1.xml"/><Relationship Id="rId37" Type="http://schemas.openxmlformats.org/officeDocument/2006/relationships/image" Target="media/image28.wmf"/><Relationship Id="rId36" Type="http://schemas.openxmlformats.org/officeDocument/2006/relationships/image" Target="media/image27.png"/><Relationship Id="rId35" Type="http://schemas.openxmlformats.org/officeDocument/2006/relationships/image" Target="media/image26.wmf"/><Relationship Id="rId34" Type="http://schemas.openxmlformats.org/officeDocument/2006/relationships/image" Target="media/image25.wmf"/><Relationship Id="rId33" Type="http://schemas.openxmlformats.org/officeDocument/2006/relationships/image" Target="media/image24.png"/><Relationship Id="rId32" Type="http://schemas.openxmlformats.org/officeDocument/2006/relationships/image" Target="media/image23.wmf"/><Relationship Id="rId31" Type="http://schemas.openxmlformats.org/officeDocument/2006/relationships/image" Target="media/image22.wmf"/><Relationship Id="rId30" Type="http://schemas.openxmlformats.org/officeDocument/2006/relationships/image" Target="media/image21.wmf"/><Relationship Id="rId3" Type="http://schemas.openxmlformats.org/officeDocument/2006/relationships/footer" Target="footer1.xml"/><Relationship Id="rId29" Type="http://schemas.openxmlformats.org/officeDocument/2006/relationships/image" Target="media/image20.wmf"/><Relationship Id="rId28" Type="http://schemas.openxmlformats.org/officeDocument/2006/relationships/image" Target="media/image19.wmf"/><Relationship Id="rId27" Type="http://schemas.openxmlformats.org/officeDocument/2006/relationships/image" Target="media/image18.wmf"/><Relationship Id="rId26" Type="http://schemas.openxmlformats.org/officeDocument/2006/relationships/image" Target="media/image17.wmf"/><Relationship Id="rId25" Type="http://schemas.openxmlformats.org/officeDocument/2006/relationships/image" Target="media/image16.wmf"/><Relationship Id="rId24" Type="http://schemas.openxmlformats.org/officeDocument/2006/relationships/image" Target="media/image15.wmf"/><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jpe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91</Pages>
  <Words>3198</Words>
  <Characters>3484</Characters>
  <Lines>396</Lines>
  <Paragraphs>111</Paragraphs>
  <TotalTime>26</TotalTime>
  <ScaleCrop>false</ScaleCrop>
  <LinksUpToDate>false</LinksUpToDate>
  <CharactersWithSpaces>3577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2022-11-14T03:30:00Z</dcterms:created>
  <dc:creator>lhj</dc:creator>
  <cp:lastModifiedBy>半城繁華半城傷づ</cp:lastModifiedBy>
  <cp:lastPrinted>2022-04-19T01:50:00Z</cp:lastPrinted>
  <dcterms:modified xsi:type="dcterms:W3CDTF">2025-07-21T00:52:14Z</dcterms:modified>
  <dc:title>附件2</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C7C188205DD34209815A493807110236_13</vt:lpwstr>
  </property>
  <property fmtid="{D5CDD505-2E9C-101B-9397-08002B2CF9AE}" pid="4" name="KSOTemplateDocerSaveRecord">
    <vt:lpwstr>eyJoZGlkIjoiZjQ0ZjJhYzMyN2U5NjMzMmY5Y2RjODQ4OGU5ZWMxZGQiLCJ1c2VySWQiOiIxMDQ1Mzk0NTAzIn0=</vt:lpwstr>
  </property>
</Properties>
</file>